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SUMER JACQUELYN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CULLINAN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SUITE 1350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Cullinan Therapeutics, Inc.</w:t>
              </w:r>
            </w:hyperlink>
            <w:r>
              <w:rPr/>
              <w:t xml:space="preserve"> [ </w:t>
            </w:r>
            <w:r>
              <w:rPr>
                <w:rFonts w:ascii="Times;serif" w:hAnsi="Times;serif"/>
                <w:color w:val="0000FF"/>
                <w:sz w:val="24"/>
                <w:shd w:fill="FFFFFF" w:val="clear"/>
              </w:rPr>
              <w:t>CGEM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w:t>
            </w:r>
            <w:r>
              <w:rPr>
                <w:rFonts w:ascii="Times;serif" w:hAnsi="Times;serif"/>
                <w:color w:val="008000"/>
                <w:position w:val="7"/>
                <w:sz w:val="16"/>
                <w:sz w:val="20"/>
                <w:shd w:fill="FFFFFF" w:val="clear"/>
              </w:rPr>
              <w:t>(2)</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130,559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Issuer's 2021 Employee Stock Purchase Plan (the "ESPP"), for the purchase period of January 1, 2026 through June 30, 2026. This transaction is also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 shares were purchased based on 85% of the closing price of the Issuer's common stock on January 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Jacquelyn Sumer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824" TargetMode="External"/><Relationship Id="rId5" Type="http://schemas.openxmlformats.org/officeDocument/2006/relationships/hyperlink" Target="http://www.sec.gov/cgi-bin/browse-edgar?action=getcompany&amp;CIK=0001789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3442</Characters>
  <CharactersWithSpaces>4018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