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CULLINAN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81-3879991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Main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617 410-4650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CGEM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(the “Annual Meeting”) of Cullinan Therapeutics, Inc. (the “Company”) was held on June 16, 2026. The holders present voted on the three proposals presented at the Annual Meeting as follows.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two Class III directors to the Company’s Board of Directors for three-year terms or until his successor has been duly elected and qualified, or until his earlier death, resignation or removal,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4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4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3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191"/>
        </w:trPr>
        <w:tc>
          <w:tcPr>
            <w:tcW w:w="28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Nadim Ahmed</w:t>
            </w:r>
          </w:p>
        </w:tc>
        <w:tc>
          <w:tcPr>
            <w:tcW w:w="340" w:type="dxa"/>
            <w:vAlign w:val="bottom"/>
          </w:tcPr>
          <w:p>
            <w:pPr>
              <w:spacing w:after="0"/>
              <w:rPr>
                <w:sz w:val="16"/>
                <w:szCs w:val="16"/>
                <w:color w:val="auto"/>
              </w:rPr>
            </w:pPr>
          </w:p>
        </w:tc>
        <w:tc>
          <w:tcPr>
            <w:tcW w:w="2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37,519,241</w:t>
            </w:r>
          </w:p>
        </w:tc>
        <w:tc>
          <w:tcPr>
            <w:tcW w:w="340" w:type="dxa"/>
            <w:vAlign w:val="bottom"/>
          </w:tcPr>
          <w:p>
            <w:pPr>
              <w:spacing w:after="0"/>
              <w:rPr>
                <w:sz w:val="16"/>
                <w:szCs w:val="16"/>
                <w:color w:val="auto"/>
              </w:rPr>
            </w:pPr>
          </w:p>
        </w:tc>
        <w:tc>
          <w:tcPr>
            <w:tcW w:w="2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12,116,759</w:t>
            </w:r>
          </w:p>
        </w:tc>
        <w:tc>
          <w:tcPr>
            <w:tcW w:w="340" w:type="dxa"/>
            <w:vAlign w:val="bottom"/>
          </w:tcPr>
          <w:p>
            <w:pPr>
              <w:spacing w:after="0"/>
              <w:rPr>
                <w:sz w:val="16"/>
                <w:szCs w:val="16"/>
                <w:color w:val="auto"/>
              </w:rPr>
            </w:pPr>
          </w:p>
        </w:tc>
        <w:tc>
          <w:tcPr>
            <w:tcW w:w="2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4,126,430</w:t>
            </w:r>
          </w:p>
        </w:tc>
      </w:tr>
      <w:tr>
        <w:trPr>
          <w:trHeight w:val="234"/>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Stephen Webster</w:t>
            </w:r>
          </w:p>
        </w:tc>
        <w:tc>
          <w:tcPr>
            <w:tcW w:w="2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36,963,086</w:t>
            </w:r>
          </w:p>
        </w:tc>
        <w:tc>
          <w:tcPr>
            <w:tcW w:w="24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12,672,914</w:t>
            </w:r>
          </w:p>
        </w:tc>
        <w:tc>
          <w:tcPr>
            <w:tcW w:w="3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4,126,430</w:t>
            </w:r>
          </w:p>
        </w:tc>
      </w:tr>
    </w:tbl>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Accounting Firm</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accounting firm for the fiscal year ending December 31, 2026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8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8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53,722,477</w:t>
            </w:r>
          </w:p>
        </w:tc>
        <w:tc>
          <w:tcPr>
            <w:tcW w:w="380" w:type="dxa"/>
            <w:vAlign w:val="bottom"/>
          </w:tcPr>
          <w:p>
            <w:pPr>
              <w:spacing w:after="0"/>
              <w:rPr>
                <w:sz w:val="19"/>
                <w:szCs w:val="19"/>
                <w:color w:val="auto"/>
              </w:rPr>
            </w:pPr>
          </w:p>
        </w:tc>
        <w:tc>
          <w:tcPr>
            <w:tcW w:w="24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36,815</w:t>
            </w:r>
          </w:p>
        </w:tc>
        <w:tc>
          <w:tcPr>
            <w:tcW w:w="360" w:type="dxa"/>
            <w:vAlign w:val="bottom"/>
          </w:tcPr>
          <w:p>
            <w:pPr>
              <w:spacing w:after="0"/>
              <w:rPr>
                <w:sz w:val="19"/>
                <w:szCs w:val="19"/>
                <w:color w:val="auto"/>
              </w:rPr>
            </w:pPr>
          </w:p>
        </w:tc>
        <w:tc>
          <w:tcPr>
            <w:tcW w:w="20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3,138</w:t>
            </w:r>
          </w:p>
        </w:tc>
        <w:tc>
          <w:tcPr>
            <w:tcW w:w="380" w:type="dxa"/>
            <w:vAlign w:val="bottom"/>
          </w:tcPr>
          <w:p>
            <w:pPr>
              <w:spacing w:after="0"/>
              <w:rPr>
                <w:sz w:val="19"/>
                <w:szCs w:val="19"/>
                <w:color w:val="auto"/>
              </w:rPr>
            </w:pPr>
          </w:p>
        </w:tc>
        <w:tc>
          <w:tcPr>
            <w:tcW w:w="28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Advisory Vote on Executive Compensation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stockholders approved the advisory vote on the compensation of the Company’s named executive officers by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6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4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48,536,734</w:t>
            </w:r>
          </w:p>
        </w:tc>
        <w:tc>
          <w:tcPr>
            <w:tcW w:w="360" w:type="dxa"/>
            <w:vAlign w:val="bottom"/>
          </w:tcPr>
          <w:p>
            <w:pPr>
              <w:spacing w:after="0"/>
              <w:rPr>
                <w:sz w:val="19"/>
                <w:szCs w:val="19"/>
                <w:color w:val="auto"/>
              </w:rPr>
            </w:pPr>
          </w:p>
        </w:tc>
        <w:tc>
          <w:tcPr>
            <w:tcW w:w="23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1,092,209</w:t>
            </w:r>
          </w:p>
        </w:tc>
        <w:tc>
          <w:tcPr>
            <w:tcW w:w="360" w:type="dxa"/>
            <w:vAlign w:val="bottom"/>
          </w:tcPr>
          <w:p>
            <w:pPr>
              <w:spacing w:after="0"/>
              <w:rPr>
                <w:sz w:val="19"/>
                <w:szCs w:val="19"/>
                <w:color w:val="auto"/>
              </w:rPr>
            </w:pPr>
          </w:p>
        </w:tc>
        <w:tc>
          <w:tcPr>
            <w:tcW w:w="20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7,057</w:t>
            </w:r>
          </w:p>
        </w:tc>
        <w:tc>
          <w:tcPr>
            <w:tcW w:w="340" w:type="dxa"/>
            <w:vAlign w:val="bottom"/>
          </w:tcPr>
          <w:p>
            <w:pPr>
              <w:spacing w:after="0"/>
              <w:rPr>
                <w:sz w:val="19"/>
                <w:szCs w:val="19"/>
                <w:color w:val="auto"/>
              </w:rPr>
            </w:pPr>
          </w:p>
        </w:tc>
        <w:tc>
          <w:tcPr>
            <w:tcW w:w="30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4,126,430</w:t>
            </w:r>
          </w:p>
        </w:tc>
      </w:tr>
      <w:tr>
        <w:trPr>
          <w:trHeight w:val="1312"/>
        </w:trPr>
        <w:tc>
          <w:tcPr>
            <w:tcW w:w="2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16, 2026</w:t>
      </w:r>
      <w:r>
        <w:rPr>
          <w:sz w:val="20"/>
          <w:szCs w:val="20"/>
          <w:color w:val="auto"/>
        </w:rPr>
        <w:tab/>
      </w:r>
      <w:r>
        <w:rPr>
          <w:rFonts w:ascii="Times New Roman" w:cs="Times New Roman" w:eastAsia="Times New Roman" w:hAnsi="Times New Roman"/>
          <w:sz w:val="18"/>
          <w:szCs w:val="18"/>
          <w:color w:val="auto"/>
        </w:rPr>
        <w:t>By:</w:t>
        <w:tab/>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Mary Kay Fenton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2026-06-16T16:20:04Z</dcterms:created>
  <dcterms:modified xsi:type="dcterms:W3CDTF">2026-06-16T16:20:04Z</dcterms:modified>
</cp:coreProperties>
</file>