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18, 2020.</w:t>
      </w:r>
    </w:p>
    <w:p>
      <w:pPr>
        <w:spacing w:after="0" w:line="6" w:lineRule="exact"/>
        <w:rPr>
          <w:sz w:val="24"/>
          <w:szCs w:val="24"/>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CULLINAN ONCOLOGY, LLC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succeeded by Cullinan Management, Inc. in the reorganization)</w:t>
      </w: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5"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292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46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81-3867811</w:t>
            </w:r>
          </w:p>
        </w:tc>
      </w:tr>
      <w:tr>
        <w:trPr>
          <w:trHeight w:val="149"/>
        </w:trPr>
        <w:tc>
          <w:tcPr>
            <w:tcW w:w="2920" w:type="dxa"/>
            <w:vAlign w:val="bottom"/>
          </w:tcPr>
          <w:p>
            <w:pPr>
              <w:jc w:val="center"/>
              <w:ind w:right="90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6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2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6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One Main Street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Suite 520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Cambridge, MA 02142</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(617) 410-4650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Owen Hughes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Cullinan Oncology, LLC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One Main Street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Suite 520</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Cambridge, MA 02142</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(617) 410-4650</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2" w:lineRule="exact"/>
        <w:rPr>
          <w:sz w:val="24"/>
          <w:szCs w:val="24"/>
          <w:color w:val="auto"/>
        </w:rPr>
      </w:pPr>
    </w:p>
    <w:tbl>
      <w:tblPr>
        <w:tblLayout w:type="fixed"/>
        <w:tblInd w:w="114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5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Please send copies of all communications to:</w:t>
            </w:r>
          </w:p>
        </w:tc>
        <w:tc>
          <w:tcPr>
            <w:tcW w:w="1640" w:type="dxa"/>
            <w:vAlign w:val="bottom"/>
          </w:tcPr>
          <w:p>
            <w:pPr>
              <w:spacing w:after="0"/>
              <w:rPr>
                <w:sz w:val="16"/>
                <w:szCs w:val="16"/>
                <w:color w:val="auto"/>
              </w:rPr>
            </w:pPr>
          </w:p>
        </w:tc>
      </w:tr>
      <w:tr>
        <w:trPr>
          <w:trHeight w:val="228"/>
        </w:trPr>
        <w:tc>
          <w:tcPr>
            <w:tcW w:w="18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Mitchell S. Bloom</w:t>
            </w:r>
          </w:p>
        </w:tc>
        <w:tc>
          <w:tcPr>
            <w:tcW w:w="54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Jeffrey Trigilio</w:t>
            </w:r>
          </w:p>
        </w:tc>
        <w:tc>
          <w:tcPr>
            <w:tcW w:w="16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Patrick O’Brien</w:t>
            </w:r>
          </w:p>
        </w:tc>
      </w:tr>
      <w:tr>
        <w:trPr>
          <w:trHeight w:val="149"/>
        </w:trPr>
        <w:tc>
          <w:tcPr>
            <w:tcW w:w="1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Danielle M. Lauzon</w:t>
            </w:r>
          </w:p>
        </w:tc>
        <w:tc>
          <w:tcPr>
            <w:tcW w:w="54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16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Nicholas Roper</w:t>
            </w:r>
          </w:p>
        </w:tc>
      </w:tr>
      <w:tr>
        <w:trPr>
          <w:trHeight w:val="148"/>
        </w:trPr>
        <w:tc>
          <w:tcPr>
            <w:tcW w:w="1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Gabriela Morales-Rivera</w:t>
            </w:r>
          </w:p>
        </w:tc>
        <w:tc>
          <w:tcPr>
            <w:tcW w:w="54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Cullinan Oncology, LLC</w:t>
            </w:r>
          </w:p>
        </w:tc>
        <w:tc>
          <w:tcPr>
            <w:tcW w:w="16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Ropes &amp; Gray LLP</w:t>
            </w:r>
          </w:p>
        </w:tc>
      </w:tr>
      <w:tr>
        <w:trPr>
          <w:trHeight w:val="148"/>
        </w:trPr>
        <w:tc>
          <w:tcPr>
            <w:tcW w:w="1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54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One Main Street</w:t>
            </w:r>
          </w:p>
        </w:tc>
        <w:tc>
          <w:tcPr>
            <w:tcW w:w="16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Prudential Tower</w:t>
            </w:r>
          </w:p>
        </w:tc>
      </w:tr>
      <w:tr>
        <w:trPr>
          <w:trHeight w:val="149"/>
        </w:trPr>
        <w:tc>
          <w:tcPr>
            <w:tcW w:w="1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100 Northern Avenue</w:t>
            </w:r>
          </w:p>
        </w:tc>
        <w:tc>
          <w:tcPr>
            <w:tcW w:w="54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Suite 520</w:t>
            </w:r>
          </w:p>
        </w:tc>
        <w:tc>
          <w:tcPr>
            <w:tcW w:w="16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800 Boylston Street</w:t>
            </w:r>
          </w:p>
        </w:tc>
      </w:tr>
      <w:tr>
        <w:trPr>
          <w:trHeight w:val="148"/>
        </w:trPr>
        <w:tc>
          <w:tcPr>
            <w:tcW w:w="184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02110</w:t>
            </w:r>
          </w:p>
        </w:tc>
        <w:tc>
          <w:tcPr>
            <w:tcW w:w="54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Cambridge, MA 02142</w:t>
            </w:r>
          </w:p>
        </w:tc>
        <w:tc>
          <w:tcPr>
            <w:tcW w:w="16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02199</w:t>
            </w:r>
          </w:p>
        </w:tc>
      </w:tr>
      <w:tr>
        <w:trPr>
          <w:trHeight w:val="190"/>
        </w:trPr>
        <w:tc>
          <w:tcPr>
            <w:tcW w:w="18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(617) 570-1000</w:t>
            </w:r>
          </w:p>
        </w:tc>
        <w:tc>
          <w:tcPr>
            <w:tcW w:w="5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(617) 410-4650</w:t>
            </w:r>
          </w:p>
        </w:tc>
        <w:tc>
          <w:tcPr>
            <w:tcW w:w="16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(617) 951-7000</w:t>
            </w:r>
          </w:p>
        </w:tc>
      </w:tr>
      <w:tr>
        <w:trPr>
          <w:trHeight w:val="174"/>
        </w:trPr>
        <w:tc>
          <w:tcPr>
            <w:tcW w:w="1840" w:type="dxa"/>
            <w:vAlign w:val="bottom"/>
          </w:tcPr>
          <w:p>
            <w:pPr>
              <w:spacing w:after="0"/>
              <w:rPr>
                <w:sz w:val="15"/>
                <w:szCs w:val="15"/>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the proposed sale to the public:</w:t>
            </w:r>
          </w:p>
        </w:tc>
        <w:tc>
          <w:tcPr>
            <w:tcW w:w="1640" w:type="dxa"/>
            <w:vAlign w:val="bottom"/>
          </w:tcPr>
          <w:p>
            <w:pPr>
              <w:spacing w:after="0"/>
              <w:rPr>
                <w:sz w:val="15"/>
                <w:szCs w:val="15"/>
                <w:color w:val="auto"/>
              </w:rPr>
            </w:pPr>
          </w:p>
        </w:tc>
      </w:tr>
      <w:tr>
        <w:trPr>
          <w:trHeight w:val="190"/>
        </w:trPr>
        <w:tc>
          <w:tcPr>
            <w:tcW w:w="1840" w:type="dxa"/>
            <w:vAlign w:val="bottom"/>
          </w:tcPr>
          <w:p>
            <w:pPr>
              <w:spacing w:after="0"/>
              <w:rPr>
                <w:sz w:val="16"/>
                <w:szCs w:val="16"/>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tc>
        <w:tc>
          <w:tcPr>
            <w:tcW w:w="1640" w:type="dxa"/>
            <w:vAlign w:val="bottom"/>
          </w:tcPr>
          <w:p>
            <w:pPr>
              <w:spacing w:after="0"/>
              <w:rPr>
                <w:sz w:val="16"/>
                <w:szCs w:val="16"/>
                <w:color w:val="auto"/>
              </w:rPr>
            </w:pPr>
          </w:p>
        </w:tc>
      </w:tr>
    </w:tbl>
    <w:p>
      <w:pPr>
        <w:spacing w:after="0" w:line="4"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48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Times New Roman" w:cs="Times New Roman" w:eastAsia="Times New Roman" w:hAnsi="Times New Roman"/>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04"/>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0"/>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60" w:type="dxa"/>
            <w:vAlign w:val="bottom"/>
          </w:tcPr>
          <w:p>
            <w:pPr>
              <w:spacing w:after="0"/>
              <w:rPr>
                <w:sz w:val="9"/>
                <w:szCs w:val="9"/>
                <w:color w:val="auto"/>
              </w:rPr>
            </w:pPr>
          </w:p>
        </w:tc>
      </w:tr>
      <w:tr>
        <w:trPr>
          <w:trHeight w:val="148"/>
        </w:trPr>
        <w:tc>
          <w:tcPr>
            <w:tcW w:w="79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ind w:left="1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60" w:type="dxa"/>
            <w:vAlign w:val="bottom"/>
          </w:tcPr>
          <w:p>
            <w:pPr>
              <w:spacing w:after="0"/>
              <w:rPr>
                <w:sz w:val="12"/>
                <w:szCs w:val="12"/>
                <w:color w:val="auto"/>
              </w:rPr>
            </w:pPr>
          </w:p>
        </w:tc>
      </w:tr>
      <w:tr>
        <w:trPr>
          <w:trHeight w:val="160"/>
        </w:trPr>
        <w:tc>
          <w:tcPr>
            <w:tcW w:w="79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80" w:type="dxa"/>
            <w:vAlign w:val="bottom"/>
            <w:tcBorders>
              <w:right w:val="single" w:sz="8" w:color="auto"/>
            </w:tcBorders>
          </w:tcPr>
          <w:p>
            <w:pPr>
              <w:jc w:val="center"/>
              <w:ind w:left="10"/>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60" w:type="dxa"/>
            <w:vAlign w:val="bottom"/>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5"/>
        </w:trPr>
        <w:tc>
          <w:tcPr>
            <w:tcW w:w="7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2"/>
                <w:szCs w:val="12"/>
                <w:b w:val="1"/>
                <w:bCs w:val="1"/>
                <w:color w:val="auto"/>
              </w:rPr>
              <w:t>(1)</w:t>
            </w:r>
          </w:p>
        </w:tc>
        <w:tc>
          <w:tcPr>
            <w:tcW w:w="16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(2)</w:t>
            </w: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168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Times New Roman" w:cs="Times New Roman" w:eastAsia="Times New Roman" w:hAnsi="Times New Roman"/>
                <w:sz w:val="14"/>
                <w:szCs w:val="14"/>
                <w:color w:val="auto"/>
              </w:rPr>
              <w:t>$100,000,000</w:t>
            </w:r>
          </w:p>
        </w:tc>
        <w:tc>
          <w:tcPr>
            <w:tcW w:w="1660" w:type="dxa"/>
            <w:vAlign w:val="bottom"/>
            <w:tcBorders>
              <w:bottom w:val="single" w:sz="8" w:color="auto"/>
            </w:tcBorders>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$10,910</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8" w:lineRule="exact"/>
        <w:rPr>
          <w:sz w:val="24"/>
          <w:szCs w:val="24"/>
          <w:color w:val="auto"/>
        </w:rPr>
      </w:pPr>
    </w:p>
    <w:p>
      <w:pPr>
        <w:ind w:left="460" w:right="700" w:hanging="452"/>
        <w:spacing w:after="0" w:line="233" w:lineRule="auto"/>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 Includes the offering price of any additional shares that the underwriters have the option to purchase.</w:t>
      </w:r>
    </w:p>
    <w:p>
      <w:pPr>
        <w:ind w:left="460" w:hanging="452"/>
        <w:spacing w:after="0"/>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pursuant to Rule 457(o) under the Securities Act based on an estimate of the proposed maximum aggregate offering price.</w:t>
      </w:r>
    </w:p>
    <w:p>
      <w:pPr>
        <w:spacing w:after="0" w:line="24" w:lineRule="exact"/>
        <w:rPr>
          <w:sz w:val="24"/>
          <w:szCs w:val="24"/>
          <w:color w:val="auto"/>
        </w:rPr>
      </w:pPr>
    </w:p>
    <w:p>
      <w:pPr>
        <w:ind w:right="280" w:firstLine="449"/>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currently operate as Cullinan Oncology, LLC, or the LLC entity, the registrant whose name appears on the cover of this registration statement. The LLC entity is a Delaware limited liability company. Prior to the completion of this offering, pursuant to a Contribution Agreement, the LLC entity will contribute all of the stock it owns of each of Cullinan Apollo Corp., Cullinan Florentine Corp., Cullinan Amber Corp., Cullinan Pearl Corp., and Cullinan MICA Corp., or collectively, the Asset Subsidiaries, to Cullinan Management, Inc., a Delaware corporation and currently a direct wholly-owned subsidiary of the LLC entity, or the Corporation, in exchange for common stock of the Corporation, and as a result, the Asset Subsidiaries will become subsidiaries of the Corporation, or the Contribution. Following the Contribution and prior to the completion of this offering, the LLC entity will merge with and into the Corporation with the Corporation being the surviving entity of such merger, or the LLC Merger. As a result of this merger, the holders of existing units in the LLC entity will exchange those units for corresponding shares of capital stock of the Corporation.</w:t>
      </w:r>
    </w:p>
    <w:p>
      <w:pPr>
        <w:spacing w:after="0" w:line="19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refer to these transactions throughout the prospectus included in this registration statement collectively as the “Reorganization.” See “Reorganization” for further detail regarding these transactions. On the effective date of the Reorganization, the members of the board of managers of the LLC entity will become the members of the board of directors of the Corporation and the officers of the LLC entity will become the officers of the Corporation.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the common stock of the Corporation are being offered by the prospectus included in this registration statement.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2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Except as disclosed in the accompanying prospectus, the audited consolidated financial statements for the years ended December 31, 2018 and 2019 and the notes thereto and the condensed consolidated financial statements as of and for the nine months ended September 30, 2019 and 2020 and the notes thereto and selected historical consolidated financial data and other financial information included in this registration statement are those of the LLC entity and do not give effect to the Reorganization.</w:t>
      </w:r>
    </w:p>
    <w:p>
      <w:pPr>
        <w:sectPr>
          <w:pgSz w:w="11900" w:h="16838" w:orient="portrait"/>
          <w:cols w:equalWidth="0" w:num="1">
            <w:col w:w="11180"/>
          </w:cols>
          <w:pgMar w:left="320" w:top="455"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0"/>
                <w:szCs w:val="20"/>
                <w:color w:val="auto"/>
              </w:rPr>
            </w:pPr>
            <w:r>
              <w:rPr>
                <w:rFonts w:ascii="Times New Roman" w:cs="Times New Roman" w:eastAsia="Times New Roman" w:hAnsi="Times New Roman"/>
                <w:sz w:val="22"/>
                <w:szCs w:val="22"/>
                <w:i w:val="1"/>
                <w:iCs w:val="1"/>
                <w:color w:val="CC062A"/>
              </w:rPr>
              <w:t>SUBJECT TO COMPLETION, DATED</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CC062A"/>
              </w:rPr>
              <w:t>, 2021</w:t>
            </w:r>
          </w:p>
        </w:tc>
      </w:tr>
      <w:tr>
        <w:trPr>
          <w:trHeight w:val="286"/>
        </w:trPr>
        <w:tc>
          <w:tcPr>
            <w:tcW w:w="3860" w:type="dxa"/>
            <w:vAlign w:val="bottom"/>
          </w:tcPr>
          <w:p>
            <w:pPr>
              <w:spacing w:after="0"/>
              <w:rPr>
                <w:sz w:val="20"/>
                <w:szCs w:val="20"/>
                <w:color w:val="auto"/>
              </w:rPr>
            </w:pPr>
            <w:r>
              <w:rPr>
                <w:rFonts w:ascii="Times New Roman" w:cs="Times New Roman" w:eastAsia="Times New Roman" w:hAnsi="Times New Roman"/>
                <w:sz w:val="22"/>
                <w:szCs w:val="22"/>
                <w:i w:val="1"/>
                <w:iCs w:val="1"/>
                <w:color w:val="CC062A"/>
              </w:rPr>
              <w:t>Preliminary Prospectus</w:t>
            </w:r>
          </w:p>
        </w:tc>
        <w:tc>
          <w:tcPr>
            <w:tcW w:w="980" w:type="dxa"/>
            <w:vAlign w:val="bottom"/>
          </w:tcPr>
          <w:p>
            <w:pPr>
              <w:spacing w:after="0"/>
              <w:rPr>
                <w:sz w:val="24"/>
                <w:szCs w:val="24"/>
                <w:color w:val="auto"/>
              </w:rPr>
            </w:pPr>
          </w:p>
        </w:tc>
      </w:tr>
    </w:tbl>
    <w:p>
      <w:pPr>
        <w:spacing w:after="0" w:line="23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3129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i w:val="1"/>
          <w:iCs w:val="1"/>
          <w:color w:val="auto"/>
        </w:rPr>
        <w:t>We are offering</w:t>
      </w:r>
      <w:r>
        <w:rPr>
          <w:sz w:val="20"/>
          <w:szCs w:val="20"/>
          <w:color w:val="auto"/>
        </w:rPr>
        <w:tab/>
      </w:r>
      <w:r>
        <w:rPr>
          <w:rFonts w:ascii="Times New Roman" w:cs="Times New Roman" w:eastAsia="Times New Roman" w:hAnsi="Times New Roman"/>
          <w:sz w:val="17"/>
          <w:szCs w:val="17"/>
          <w:b w:val="1"/>
          <w:bCs w:val="1"/>
          <w:i w:val="1"/>
          <w:iCs w:val="1"/>
          <w:color w:val="auto"/>
        </w:rPr>
        <w:t>shares of our common stock. This is our initial public offering and no public market currently exists for our common stock.</w:t>
      </w:r>
    </w:p>
    <w:p>
      <w:pPr>
        <w:spacing w:after="0" w:line="31" w:lineRule="exact"/>
        <w:rPr>
          <w:sz w:val="20"/>
          <w:szCs w:val="20"/>
          <w:color w:val="auto"/>
        </w:rPr>
      </w:pPr>
    </w:p>
    <w:p>
      <w:pPr>
        <w:spacing w:after="0"/>
        <w:tabs>
          <w:tab w:leader="none" w:pos="4940" w:val="left"/>
          <w:tab w:leader="none" w:pos="6080" w:val="left"/>
        </w:tabs>
        <w:rPr>
          <w:sz w:val="20"/>
          <w:szCs w:val="20"/>
          <w:color w:val="auto"/>
        </w:rPr>
      </w:pPr>
      <w:r>
        <w:rPr>
          <w:rFonts w:ascii="Times New Roman" w:cs="Times New Roman" w:eastAsia="Times New Roman" w:hAnsi="Times New Roman"/>
          <w:sz w:val="18"/>
          <w:szCs w:val="18"/>
          <w:b w:val="1"/>
          <w:bCs w:val="1"/>
          <w:i w:val="1"/>
          <w:iCs w:val="1"/>
          <w:color w:val="auto"/>
        </w:rPr>
        <w:t>We expect the initial public offering price to be between $</w:t>
      </w:r>
      <w:r>
        <w:rPr>
          <w:sz w:val="20"/>
          <w:szCs w:val="20"/>
          <w:color w:val="auto"/>
        </w:rPr>
        <w:tab/>
      </w:r>
      <w:r>
        <w:rPr>
          <w:rFonts w:ascii="Times New Roman" w:cs="Times New Roman" w:eastAsia="Times New Roman" w:hAnsi="Times New Roman"/>
          <w:sz w:val="18"/>
          <w:szCs w:val="18"/>
          <w:b w:val="1"/>
          <w:bCs w:val="1"/>
          <w:i w:val="1"/>
          <w:iCs w:val="1"/>
          <w:color w:val="auto"/>
        </w:rPr>
        <w:t>and $</w:t>
      </w:r>
      <w:r>
        <w:rPr>
          <w:sz w:val="20"/>
          <w:szCs w:val="20"/>
          <w:color w:val="auto"/>
        </w:rPr>
        <w:tab/>
      </w:r>
      <w:r>
        <w:rPr>
          <w:rFonts w:ascii="Times New Roman" w:cs="Times New Roman" w:eastAsia="Times New Roman" w:hAnsi="Times New Roman"/>
          <w:sz w:val="17"/>
          <w:szCs w:val="17"/>
          <w:b w:val="1"/>
          <w:bCs w:val="1"/>
          <w:i w:val="1"/>
          <w:iCs w:val="1"/>
          <w:color w:val="auto"/>
        </w:rPr>
        <w:t>per share. We have applied to list our common stock on The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under the symbol “CGEM.”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228600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as defined under the U.S. federal securities laws and will be subject to reduced public company reporting requirements for this prospectus and future filings.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216535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68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Investing in our common stock involves a high degree of risk. Please read “</w:t>
      </w:r>
      <w:hyperlink w:anchor="page19">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199390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198120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PER</w:t>
            </w:r>
          </w:p>
        </w:tc>
        <w:tc>
          <w:tcPr>
            <w:tcW w:w="1100" w:type="dxa"/>
            <w:vAlign w:val="bottom"/>
          </w:tcPr>
          <w:p>
            <w:pPr>
              <w:spacing w:after="0"/>
              <w:rPr>
                <w:sz w:val="13"/>
                <w:szCs w:val="13"/>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TOTAL</w:t>
            </w:r>
          </w:p>
        </w:tc>
        <w:tc>
          <w:tcPr>
            <w:tcW w:w="0" w:type="dxa"/>
            <w:vAlign w:val="bottom"/>
          </w:tcPr>
          <w:p>
            <w:pPr>
              <w:spacing w:after="0"/>
              <w:rPr>
                <w:sz w:val="1"/>
                <w:szCs w:val="1"/>
                <w:color w:val="auto"/>
              </w:rPr>
            </w:pPr>
          </w:p>
        </w:tc>
      </w:tr>
      <w:tr>
        <w:trPr>
          <w:trHeight w:val="175"/>
        </w:trPr>
        <w:tc>
          <w:tcPr>
            <w:tcW w:w="5960" w:type="dxa"/>
            <w:vAlign w:val="bottom"/>
          </w:tcPr>
          <w:p>
            <w:pPr>
              <w:spacing w:after="0"/>
              <w:rPr>
                <w:sz w:val="15"/>
                <w:szCs w:val="15"/>
                <w:color w:val="auto"/>
              </w:rPr>
            </w:pPr>
          </w:p>
        </w:tc>
        <w:tc>
          <w:tcPr>
            <w:tcW w:w="3500" w:type="dxa"/>
            <w:vAlign w:val="bottom"/>
            <w:gridSpan w:val="2"/>
          </w:tcPr>
          <w:p>
            <w:pPr>
              <w:jc w:val="center"/>
              <w:ind w:left="2895"/>
              <w:spacing w:after="0"/>
              <w:rPr>
                <w:sz w:val="20"/>
                <w:szCs w:val="20"/>
                <w:color w:val="auto"/>
              </w:rPr>
            </w:pPr>
            <w:r>
              <w:rPr>
                <w:rFonts w:ascii="Times New Roman" w:cs="Times New Roman" w:eastAsia="Times New Roman" w:hAnsi="Times New Roman"/>
                <w:sz w:val="14"/>
                <w:szCs w:val="14"/>
                <w:b w:val="1"/>
                <w:bCs w:val="1"/>
                <w:i w:val="1"/>
                <w:iCs w:val="1"/>
                <w:color w:val="auto"/>
              </w:rPr>
              <w:t>SHARE</w:t>
            </w:r>
          </w:p>
        </w:tc>
        <w:tc>
          <w:tcPr>
            <w:tcW w:w="1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6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30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480" w:type="dxa"/>
            <w:vAlign w:val="bottom"/>
            <w:tcBorders>
              <w:top w:val="single" w:sz="8" w:color="auto"/>
            </w:tcBorders>
          </w:tcPr>
          <w:p>
            <w:pPr>
              <w:spacing w:after="0"/>
              <w:rPr>
                <w:sz w:val="16"/>
                <w:szCs w:val="16"/>
                <w:color w:val="auto"/>
              </w:rPr>
            </w:pPr>
          </w:p>
        </w:tc>
        <w:tc>
          <w:tcPr>
            <w:tcW w:w="11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discounts and commissions</w:t>
            </w:r>
            <w:r>
              <w:rPr>
                <w:rFonts w:ascii="Times New Roman" w:cs="Times New Roman" w:eastAsia="Times New Roman" w:hAnsi="Times New Roman"/>
                <w:sz w:val="15"/>
                <w:szCs w:val="15"/>
                <w:i w:val="1"/>
                <w:iCs w:val="1"/>
                <w:color w:val="auto"/>
              </w:rPr>
              <w:t>(1)</w:t>
            </w:r>
          </w:p>
        </w:tc>
        <w:tc>
          <w:tcPr>
            <w:tcW w:w="3020" w:type="dxa"/>
            <w:vAlign w:val="bottom"/>
          </w:tcPr>
          <w:p>
            <w:pPr>
              <w:jc w:val="right"/>
              <w:ind w:right="55"/>
              <w:spacing w:after="0"/>
              <w:rPr>
                <w:sz w:val="20"/>
                <w:szCs w:val="20"/>
                <w:color w:val="auto"/>
              </w:rPr>
            </w:pPr>
            <w:r>
              <w:rPr>
                <w:rFonts w:ascii="Times New Roman" w:cs="Times New Roman" w:eastAsia="Times New Roman" w:hAnsi="Times New Roman"/>
                <w:sz w:val="18"/>
                <w:szCs w:val="18"/>
                <w:i w:val="1"/>
                <w:iCs w:val="1"/>
                <w:color w:val="auto"/>
              </w:rPr>
              <w:t>$</w:t>
            </w:r>
          </w:p>
        </w:tc>
        <w:tc>
          <w:tcPr>
            <w:tcW w:w="4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us</w:t>
            </w:r>
          </w:p>
        </w:tc>
        <w:tc>
          <w:tcPr>
            <w:tcW w:w="3020" w:type="dxa"/>
            <w:vAlign w:val="bottom"/>
          </w:tcPr>
          <w:p>
            <w:pPr>
              <w:jc w:val="right"/>
              <w:ind w:right="55"/>
              <w:spacing w:after="0"/>
              <w:rPr>
                <w:sz w:val="20"/>
                <w:szCs w:val="20"/>
                <w:color w:val="auto"/>
              </w:rPr>
            </w:pPr>
            <w:r>
              <w:rPr>
                <w:rFonts w:ascii="Times New Roman" w:cs="Times New Roman" w:eastAsia="Times New Roman" w:hAnsi="Times New Roman"/>
                <w:sz w:val="18"/>
                <w:szCs w:val="18"/>
                <w:i w:val="1"/>
                <w:iCs w:val="1"/>
                <w:color w:val="auto"/>
              </w:rPr>
              <w:t>$</w:t>
            </w:r>
          </w:p>
        </w:tc>
        <w:tc>
          <w:tcPr>
            <w:tcW w:w="4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“Underwriting” for a description of all compensation payable to the underwriters.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We have granted the underwriters an option for a period of 30 days from the date of this prospectus to purchase an additional</w:t>
            </w:r>
          </w:p>
        </w:tc>
        <w:tc>
          <w:tcPr>
            <w:tcW w:w="2160" w:type="dxa"/>
            <w:vAlign w:val="bottom"/>
          </w:tcPr>
          <w:p>
            <w:pPr>
              <w:jc w:val="right"/>
              <w:ind w:right="64"/>
              <w:spacing w:after="0"/>
              <w:rPr>
                <w:sz w:val="20"/>
                <w:szCs w:val="20"/>
                <w:color w:val="auto"/>
              </w:rPr>
            </w:pPr>
            <w:r>
              <w:rPr>
                <w:rFonts w:ascii="Times New Roman" w:cs="Times New Roman" w:eastAsia="Times New Roman" w:hAnsi="Times New Roman"/>
                <w:sz w:val="18"/>
                <w:szCs w:val="18"/>
                <w:i w:val="1"/>
                <w:iCs w:val="1"/>
                <w:color w:val="auto"/>
              </w:rPr>
              <w:t>shares of common</w:t>
            </w:r>
          </w:p>
        </w:tc>
      </w:tr>
      <w:tr>
        <w:trPr>
          <w:trHeight w:val="236"/>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w:t>
            </w:r>
          </w:p>
        </w:tc>
        <w:tc>
          <w:tcPr>
            <w:tcW w:w="1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32"/>
        </w:trPr>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against payment in New York. New York on or about</w:t>
            </w:r>
          </w:p>
        </w:tc>
        <w:tc>
          <w:tcPr>
            <w:tcW w:w="2160" w:type="dxa"/>
            <w:vAlign w:val="bottom"/>
          </w:tcPr>
          <w:p>
            <w:pPr>
              <w:jc w:val="right"/>
              <w:ind w:right="1564"/>
              <w:spacing w:after="0"/>
              <w:rPr>
                <w:sz w:val="20"/>
                <w:szCs w:val="20"/>
                <w:color w:val="auto"/>
              </w:rPr>
            </w:pPr>
            <w:r>
              <w:rPr>
                <w:rFonts w:ascii="Times New Roman" w:cs="Times New Roman" w:eastAsia="Times New Roman" w:hAnsi="Times New Roman"/>
                <w:sz w:val="18"/>
                <w:szCs w:val="18"/>
                <w:i w:val="1"/>
                <w:iCs w:val="1"/>
                <w:color w:val="auto"/>
                <w:w w:val="96"/>
              </w:rPr>
              <w:t>, 2021.</w:t>
            </w:r>
          </w:p>
        </w:tc>
      </w:tr>
      <w:tr>
        <w:trPr>
          <w:trHeight w:val="351"/>
        </w:trPr>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25"/>
        </w:trPr>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4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2160" w:type="dxa"/>
            <w:vAlign w:val="bottom"/>
          </w:tcPr>
          <w:p>
            <w:pPr>
              <w:spacing w:after="0"/>
              <w:rPr>
                <w:sz w:val="24"/>
                <w:szCs w:val="24"/>
                <w:color w:val="auto"/>
              </w:rPr>
            </w:pPr>
          </w:p>
        </w:tc>
      </w:tr>
      <w:tr>
        <w:trPr>
          <w:trHeight w:val="498"/>
        </w:trPr>
        <w:tc>
          <w:tcPr>
            <w:tcW w:w="31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MORGAN STANLEY</w:t>
            </w:r>
          </w:p>
        </w:tc>
        <w:tc>
          <w:tcPr>
            <w:tcW w:w="1320" w:type="dxa"/>
            <w:vAlign w:val="bottom"/>
          </w:tcPr>
          <w:p>
            <w:pPr>
              <w:spacing w:after="0"/>
              <w:rPr>
                <w:sz w:val="24"/>
                <w:szCs w:val="24"/>
                <w:color w:val="auto"/>
              </w:rPr>
            </w:pPr>
          </w:p>
        </w:tc>
        <w:tc>
          <w:tcPr>
            <w:tcW w:w="4640" w:type="dxa"/>
            <w:vAlign w:val="bottom"/>
            <w:gridSpan w:val="2"/>
          </w:tcPr>
          <w:p>
            <w:pPr>
              <w:ind w:left="660"/>
              <w:spacing w:after="0"/>
              <w:rPr>
                <w:sz w:val="20"/>
                <w:szCs w:val="20"/>
                <w:color w:val="auto"/>
              </w:rPr>
            </w:pPr>
            <w:r>
              <w:rPr>
                <w:rFonts w:ascii="Times New Roman" w:cs="Times New Roman" w:eastAsia="Times New Roman" w:hAnsi="Times New Roman"/>
                <w:sz w:val="22"/>
                <w:szCs w:val="22"/>
                <w:i w:val="1"/>
                <w:iCs w:val="1"/>
                <w:color w:val="auto"/>
              </w:rPr>
              <w:t>SVB LEERINK</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EVERCORE ISI</w:t>
            </w:r>
          </w:p>
        </w:tc>
      </w:tr>
      <w:tr>
        <w:trPr>
          <w:trHeight w:val="420"/>
        </w:trPr>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4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i w:val="1"/>
                <w:iCs w:val="1"/>
                <w:color w:val="auto"/>
                <w:w w:val="99"/>
              </w:rPr>
              <w:t>Lead Manager</w:t>
            </w:r>
          </w:p>
        </w:tc>
        <w:tc>
          <w:tcPr>
            <w:tcW w:w="2160" w:type="dxa"/>
            <w:vAlign w:val="bottom"/>
          </w:tcPr>
          <w:p>
            <w:pPr>
              <w:spacing w:after="0"/>
              <w:rPr>
                <w:sz w:val="24"/>
                <w:szCs w:val="24"/>
                <w:color w:val="auto"/>
              </w:rPr>
            </w:pPr>
          </w:p>
        </w:tc>
      </w:tr>
      <w:tr>
        <w:trPr>
          <w:trHeight w:val="323"/>
        </w:trPr>
        <w:tc>
          <w:tcPr>
            <w:tcW w:w="3120" w:type="dxa"/>
            <w:vAlign w:val="bottom"/>
          </w:tcPr>
          <w:p>
            <w:pPr>
              <w:spacing w:after="0"/>
              <w:rPr>
                <w:sz w:val="24"/>
                <w:szCs w:val="24"/>
                <w:color w:val="auto"/>
              </w:rPr>
            </w:pPr>
          </w:p>
        </w:tc>
        <w:tc>
          <w:tcPr>
            <w:tcW w:w="5960" w:type="dxa"/>
            <w:vAlign w:val="bottom"/>
            <w:gridSpan w:val="3"/>
          </w:tcPr>
          <w:p>
            <w:pPr>
              <w:jc w:val="center"/>
              <w:ind w:right="940"/>
              <w:spacing w:after="0"/>
              <w:rPr>
                <w:sz w:val="20"/>
                <w:szCs w:val="20"/>
                <w:color w:val="auto"/>
              </w:rPr>
            </w:pPr>
            <w:r>
              <w:rPr>
                <w:rFonts w:ascii="Times New Roman" w:cs="Times New Roman" w:eastAsia="Times New Roman" w:hAnsi="Times New Roman"/>
                <w:sz w:val="22"/>
                <w:szCs w:val="22"/>
                <w:i w:val="1"/>
                <w:iCs w:val="1"/>
                <w:color w:val="auto"/>
                <w:w w:val="97"/>
              </w:rPr>
              <w:t>H.C. WAINWRIGHT &amp; CO.</w:t>
            </w:r>
          </w:p>
        </w:tc>
        <w:tc>
          <w:tcPr>
            <w:tcW w:w="2160" w:type="dxa"/>
            <w:vAlign w:val="bottom"/>
          </w:tcPr>
          <w:p>
            <w:pPr>
              <w:spacing w:after="0"/>
              <w:rPr>
                <w:sz w:val="24"/>
                <w:szCs w:val="24"/>
                <w:color w:val="auto"/>
              </w:rPr>
            </w:pPr>
          </w:p>
        </w:tc>
      </w:tr>
    </w:tbl>
    <w:p>
      <w:pPr>
        <w:spacing w:after="0" w:line="197" w:lineRule="exact"/>
        <w:rPr>
          <w:sz w:val="20"/>
          <w:szCs w:val="20"/>
          <w:color w:val="auto"/>
        </w:rPr>
      </w:pPr>
    </w:p>
    <w:p>
      <w:pPr>
        <w:sectPr>
          <w:pgSz w:w="11900" w:h="16838" w:orient="portrait"/>
          <w:cols w:equalWidth="0" w:num="1">
            <w:col w:w="11240"/>
          </w:cols>
          <w:pgMar w:left="320" w:top="455" w:right="339" w:bottom="1440" w:gutter="0" w:footer="0" w:header="0"/>
        </w:sectPr>
      </w:pPr>
    </w:p>
    <w:p>
      <w:pPr>
        <w:spacing w:after="0"/>
        <w:tabs>
          <w:tab w:leader="none" w:pos="2800" w:val="left"/>
        </w:tabs>
        <w:rPr>
          <w:sz w:val="20"/>
          <w:szCs w:val="20"/>
          <w:color w:val="auto"/>
        </w:rPr>
      </w:pPr>
      <w:r>
        <w:rPr>
          <w:rFonts w:ascii="Times New Roman" w:cs="Times New Roman" w:eastAsia="Times New Roman" w:hAnsi="Times New Roman"/>
          <w:sz w:val="18"/>
          <w:szCs w:val="18"/>
          <w:i w:val="1"/>
          <w:iCs w:val="1"/>
          <w:color w:val="auto"/>
        </w:rPr>
        <w:t>The date of this prospectus is</w:t>
      </w:r>
      <w:r>
        <w:rPr>
          <w:sz w:val="20"/>
          <w:szCs w:val="20"/>
          <w:color w:val="auto"/>
        </w:rPr>
        <w:tab/>
      </w:r>
      <w:r>
        <w:rPr>
          <w:rFonts w:ascii="Times New Roman" w:cs="Times New Roman" w:eastAsia="Times New Roman" w:hAnsi="Times New Roman"/>
          <w:sz w:val="18"/>
          <w:szCs w:val="18"/>
          <w:i w:val="1"/>
          <w:iCs w:val="1"/>
          <w:color w:val="auto"/>
        </w:rPr>
        <w:t>, 2021.</w:t>
      </w:r>
    </w:p>
    <w:p>
      <w:pPr>
        <w:sectPr>
          <w:pgSz w:w="11900" w:h="16838" w:orient="portrait"/>
          <w:cols w:equalWidth="0" w:num="1">
            <w:col w:w="11240"/>
          </w:cols>
          <w:pgMar w:left="320" w:top="455"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285115</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80" w:type="dxa"/>
            <w:vAlign w:val="bottom"/>
            <w:gridSpan w:val="6"/>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00" w:type="dxa"/>
            <w:vAlign w:val="bottom"/>
            <w:gridSpan w:val="7"/>
            <w:vMerge w:val="restart"/>
          </w:tcPr>
          <w:p>
            <w:pPr>
              <w:ind w:left="200"/>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MANAGEMENT</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980" w:type="dxa"/>
            <w:vAlign w:val="bottom"/>
            <w:gridSpan w:val="6"/>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6"/>
                <w:szCs w:val="16"/>
                <w:color w:val="auto"/>
              </w:rPr>
            </w:pPr>
          </w:p>
        </w:tc>
        <w:tc>
          <w:tcPr>
            <w:tcW w:w="5300" w:type="dxa"/>
            <w:vAlign w:val="bottom"/>
            <w:gridSpan w:val="7"/>
            <w:vMerge w:val="continue"/>
          </w:tcPr>
          <w:p>
            <w:pPr>
              <w:spacing w:after="0"/>
              <w:rPr>
                <w:sz w:val="16"/>
                <w:szCs w:val="16"/>
                <w:color w:val="auto"/>
              </w:rPr>
            </w:pPr>
          </w:p>
        </w:tc>
        <w:tc>
          <w:tcPr>
            <w:tcW w:w="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530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EXECUTIVE COMPENSATION</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4"/>
        </w:trPr>
        <w:tc>
          <w:tcPr>
            <w:tcW w:w="4980" w:type="dxa"/>
            <w:vAlign w:val="bottom"/>
            <w:gridSpan w:val="6"/>
          </w:tcPr>
          <w:p>
            <w:pPr>
              <w:spacing w:after="0" w:line="194"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SPECIAL NOTE REGARDING FORWARD-LOOKING</w:t>
              </w:r>
            </w:hyperlink>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00" w:type="dxa"/>
            <w:vAlign w:val="bottom"/>
            <w:gridSpan w:val="7"/>
          </w:tcPr>
          <w:p>
            <w:pPr>
              <w:ind w:left="200"/>
              <w:spacing w:after="0" w:line="194" w:lineRule="exact"/>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DIRECTOR COMPENSATION</w:t>
              </w:r>
            </w:hyperlink>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STATEMENTS</w:t>
              </w:r>
            </w:hyperlink>
          </w:p>
        </w:tc>
        <w:tc>
          <w:tcPr>
            <w:tcW w:w="840" w:type="dxa"/>
            <w:vAlign w:val="bottom"/>
            <w:gridSpan w:val="2"/>
          </w:tcPr>
          <w:p>
            <w:pPr>
              <w:spacing w:after="0"/>
              <w:rPr>
                <w:sz w:val="17"/>
                <w:szCs w:val="17"/>
                <w:color w:val="auto"/>
              </w:rPr>
            </w:pPr>
          </w:p>
        </w:tc>
        <w:tc>
          <w:tcPr>
            <w:tcW w:w="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5300" w:type="dxa"/>
            <w:vAlign w:val="bottom"/>
            <w:gridSpan w:val="7"/>
          </w:tcPr>
          <w:p>
            <w:pPr>
              <w:ind w:left="200"/>
              <w:spacing w:after="0" w:line="196" w:lineRule="exact"/>
              <w:rPr>
                <w:rFonts w:ascii="Times New Roman" w:cs="Times New Roman" w:eastAsia="Times New Roman" w:hAnsi="Times New Roman"/>
                <w:sz w:val="18"/>
                <w:szCs w:val="18"/>
                <w:color w:val="0000EE"/>
              </w:rPr>
            </w:pPr>
            <w:hyperlink w:anchor="page213">
              <w:r>
                <w:rPr>
                  <w:rFonts w:ascii="Times New Roman" w:cs="Times New Roman" w:eastAsia="Times New Roman" w:hAnsi="Times New Roman"/>
                  <w:sz w:val="18"/>
                  <w:szCs w:val="18"/>
                  <w:color w:val="0000EE"/>
                </w:rPr>
                <w:t>CERTAIN RELATIONSHIPS AND RELATED PERSON</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6"/>
          </w:tcPr>
          <w:p>
            <w:pPr>
              <w:spacing w:after="0" w:line="196" w:lineRule="exact"/>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USE OF PROCEEDS</w:t>
              </w:r>
            </w:hyperlink>
          </w:p>
        </w:tc>
        <w:tc>
          <w:tcPr>
            <w:tcW w:w="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213">
              <w:r>
                <w:rPr>
                  <w:rFonts w:ascii="Times New Roman" w:cs="Times New Roman" w:eastAsia="Times New Roman" w:hAnsi="Times New Roman"/>
                  <w:sz w:val="18"/>
                  <w:szCs w:val="18"/>
                  <w:color w:val="0000EE"/>
                  <w:w w:val="99"/>
                </w:rPr>
                <w:t>TRANSACTIONS</w:t>
              </w:r>
            </w:hyperlink>
          </w:p>
        </w:tc>
        <w:tc>
          <w:tcPr>
            <w:tcW w:w="35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8"/>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DIVIDEND POLICY</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530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REORGANIZATION</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530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CAPITALIZATION</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530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94"/>
        </w:trPr>
        <w:tc>
          <w:tcPr>
            <w:tcW w:w="498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DILUTION</w:t>
              </w:r>
            </w:hyperlink>
          </w:p>
        </w:tc>
        <w:tc>
          <w:tcPr>
            <w:tcW w:w="5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6"/>
                <w:szCs w:val="16"/>
                <w:color w:val="auto"/>
              </w:rPr>
            </w:pPr>
          </w:p>
        </w:tc>
        <w:tc>
          <w:tcPr>
            <w:tcW w:w="5100" w:type="dxa"/>
            <w:vAlign w:val="bottom"/>
            <w:gridSpan w:val="6"/>
          </w:tcPr>
          <w:p>
            <w:pPr>
              <w:spacing w:after="0" w:line="194" w:lineRule="exact"/>
              <w:rPr>
                <w:rFonts w:ascii="Times New Roman" w:cs="Times New Roman" w:eastAsia="Times New Roman" w:hAnsi="Times New Roman"/>
                <w:sz w:val="18"/>
                <w:szCs w:val="18"/>
                <w:color w:val="0000EE"/>
              </w:rPr>
            </w:pPr>
            <w:hyperlink w:anchor="page229">
              <w:r>
                <w:rPr>
                  <w:rFonts w:ascii="Times New Roman" w:cs="Times New Roman" w:eastAsia="Times New Roman" w:hAnsi="Times New Roman"/>
                  <w:sz w:val="18"/>
                  <w:szCs w:val="18"/>
                  <w:color w:val="0000EE"/>
                </w:rPr>
                <w:t>MATERIAL U.S. FEDERAL INCOME TAX CONSIDERATIONS</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gridSpan w:val="6"/>
          </w:tcPr>
          <w:p>
            <w:pPr>
              <w:spacing w:after="0" w:line="196" w:lineRule="exact"/>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SELECTED CONSOLIDATED FINANCIAL DATA</w:t>
              </w:r>
            </w:hyperlink>
          </w:p>
        </w:tc>
        <w:tc>
          <w:tcPr>
            <w:tcW w:w="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29">
              <w:r>
                <w:rPr>
                  <w:rFonts w:ascii="Times New Roman" w:cs="Times New Roman" w:eastAsia="Times New Roman" w:hAnsi="Times New Roman"/>
                  <w:sz w:val="18"/>
                  <w:szCs w:val="18"/>
                  <w:color w:val="0000EE"/>
                </w:rPr>
                <w:t>FOR NON-U.S. HOLDERS OF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49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6"/>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MANAGEMENT’S DISCUSSION AND ANALYSIS OF</w:t>
              </w:r>
            </w:hyperlink>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gridSpan w:val="7"/>
          </w:tcPr>
          <w:p>
            <w:pPr>
              <w:ind w:left="200"/>
              <w:spacing w:after="0" w:line="196" w:lineRule="exact"/>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UNDERWRITING</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FINANCIAL CONDITION AND RESULTS OF</w:t>
              </w:r>
            </w:hyperlink>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gridSpan w:val="7"/>
          </w:tcPr>
          <w:p>
            <w:pPr>
              <w:ind w:left="200"/>
              <w:spacing w:after="0" w:line="196" w:lineRule="exact"/>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OPERATIONS</w:t>
              </w:r>
            </w:hyperlink>
          </w:p>
        </w:tc>
        <w:tc>
          <w:tcPr>
            <w:tcW w:w="1280" w:type="dxa"/>
            <w:vAlign w:val="bottom"/>
            <w:gridSpan w:val="3"/>
          </w:tcPr>
          <w:p>
            <w:pPr>
              <w:spacing w:after="0"/>
              <w:rPr>
                <w:sz w:val="17"/>
                <w:szCs w:val="17"/>
                <w:color w:val="auto"/>
              </w:rPr>
            </w:pPr>
          </w:p>
        </w:tc>
        <w:tc>
          <w:tcPr>
            <w:tcW w:w="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300" w:type="dxa"/>
            <w:vAlign w:val="bottom"/>
            <w:gridSpan w:val="7"/>
          </w:tcPr>
          <w:p>
            <w:pPr>
              <w:ind w:left="200"/>
              <w:spacing w:after="0" w:line="196" w:lineRule="exact"/>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BUSINESS</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530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45">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0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9" w:lineRule="exact"/>
        <w:rPr>
          <w:sz w:val="20"/>
          <w:szCs w:val="20"/>
          <w:color w:val="auto"/>
        </w:rPr>
      </w:pPr>
    </w:p>
    <w:p>
      <w:pPr>
        <w:ind w:right="120"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0"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Except as disclosed in this prospectus, the audited consolidated financial statements for the years ended December 31, 2018 and 2019 and the notes thereto and the condensed consolidated financial statements as of and for the nine months ended September 30, 2019 and 2020 and the notes thereto, and selected historical consolidated financial data and other financial information included in this registration statement are those of the LLC entity and do not give effect to the Reorganization described below.</w:t>
      </w:r>
    </w:p>
    <w:p>
      <w:pPr>
        <w:spacing w:after="0" w:line="18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Certain numerical figures included in this prospectus have been rounded. Accordingly, numerical figures shown as totals in various tables may not be arithmetic aggregations of the figures that precede them.</w:t>
      </w:r>
    </w:p>
    <w:p>
      <w:pPr>
        <w:sectPr>
          <w:pgSz w:w="11900" w:h="16838" w:orient="portrait"/>
          <w:cols w:equalWidth="0" w:num="1">
            <w:col w:w="11220"/>
          </w:cols>
          <w:pgMar w:left="320" w:top="455"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10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read the entire prospectus carefully, including the sections entitled “Risk Factors,” “Special Note Regarding Forward-Looking Statements,” and “Management’s Discussion and Analysis of Financial Condition and Results of Operations” and our consolidated financial statements and the related notes.</w:t>
      </w:r>
    </w:p>
    <w:p>
      <w:pPr>
        <w:spacing w:after="0" w:line="180"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i w:val="1"/>
          <w:iCs w:val="1"/>
          <w:color w:val="auto"/>
        </w:rPr>
        <w:t>Prior to the completion of this offering, we will complete a series of transactions pursuant to which Cullinan Oncology, LLC will merge with and into its wholly-owned subsidiary, Cullinan Management, Inc., a Delaware corporation, with Cullinan Management, Inc. being the surviving entity of such merger and the entity whose shares are being offered hereby. Prior to the merger, Cullinan Oncology, LLC will contribute all of the stock it owns in each of Cullinan Apollo Corp., Cullinan Florentine Corp., Cullinan Amber Corp., Cullinan Pearl Corp., and Cullinan MICA Corp., to Cullinan Management, Inc., in exchange for common stock of Cullinan Management, Inc. See “Reorganization.” Except where the context otherwise requires or where otherwise indicated, the terms “Cullinan,” “we,” “us,” “our,” “our company,” “the company,” and “our business” refer, prior to the Reorganization discussed below, to Cullinan Oncology, LLC and its consolidated subsidiaries and, after the Reorganization, to Cullinan Management, Inc. and its consolidated subsidiaries.</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focused on developing a diversified pipeline of targeted oncology and immuno-oncology therapies with transformative potential for cancer patients. Our strategy is to build a pipeline of therapeutic candidates that are uncorrelated across multiple dimensions, with a focus on assets that we believe have novel technology, employ differentiated mechanisms, are in a more advanced stage of development than competing candidates, or have a combination of these attributes. In approximately three and a half years, we have efficiently developed or in-licensed a pipeline of seven distinct programs by leveraging our hub-and-spoke business model. We continue to prioritize probability of success and capital efficiency. Specifically, before we advance a therapeutic candidate into clinical development, we evaluate its ability to generate an immune system response or to inhibit oncogenic drivers as a single agent. Importantly, we have terminated programs that do not meet our rigorous criteria for advancement and will continue to do so when we believe we can more efficiently allocate our capital. We currently have one clinical-stage targeted oncology candidate in Phase 1/2a development and six preclinical immuno-oncology therapeutic candidates and programs. We believe our approach will allow us to advance at least one therapeutic candidate into the clinic and one program into IND-enabling studies each year for at least the next several years.</w:t>
      </w:r>
    </w:p>
    <w:p>
      <w:pPr>
        <w:spacing w:after="0" w:line="192" w:lineRule="exact"/>
        <w:rPr>
          <w:sz w:val="20"/>
          <w:szCs w:val="20"/>
          <w:color w:val="auto"/>
        </w:rPr>
      </w:pPr>
    </w:p>
    <w:p>
      <w:pPr>
        <w:ind w:left="200" w:right="20" w:firstLine="434"/>
        <w:spacing w:after="0" w:line="253" w:lineRule="auto"/>
        <w:rPr>
          <w:sz w:val="20"/>
          <w:szCs w:val="20"/>
          <w:color w:val="auto"/>
        </w:rPr>
      </w:pPr>
      <w:r>
        <w:rPr>
          <w:rFonts w:ascii="Times New Roman" w:cs="Times New Roman" w:eastAsia="Times New Roman" w:hAnsi="Times New Roman"/>
          <w:sz w:val="18"/>
          <w:szCs w:val="18"/>
          <w:color w:val="auto"/>
        </w:rPr>
        <w:t>Our lead candidate, CLN-081, is an orally available small molecule designed as a next generation, irreversible epidermal growth factor receptor, or EGFR, inhibitor that is designed to selectively target cells expressing mutant EGFR variants, including EGFR exon 20 insertion, or EGFRex20ins, mutations, with relative sparing of cells expressing wild type EGFR. We are currently evaluating CLN-081 as a treatment for non-small cell lung cancer, or NSCLC, in adult patients with EGFRex20ins mutations in a Phase 1/2a trial. Our most advanced immuno-oncology therapeutic candidates include CLN-049, a bispecific antibody targeting FLT3 and CD3; and CLN-619, a monoclonal antibody designed to stimulate natural killer, or NK, and T cell responses by engaging a unique target, MICA/B. We intend to initially develop CLN-049 for the treatment of acute myeloid leukemia, or AML, and CLN-619 for the treatment of solid tumors. In addition, through our AMBER platform, we are developing CLN-617, a fusion protein uniquely combining, in a single agent, two potent antitumor cytokines, interleukin-2, or IL-2, and interleukin-12, or IL-12, fused with a collagen-binding domain designed to enable tumor retention for the treatment of solid tumors. Our pipeline includes three additional immuno-oncology programs in the lead optimization stage that we believe have compelling mechanisms of action and potential for clinical development. We currently hold worldwide development and commercialization rights to each of our therapeutic candidates, except for CLN-081 in Japan.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0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2076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Cullinan Approach</w:t>
      </w:r>
    </w:p>
    <w:p>
      <w:pPr>
        <w:spacing w:after="0" w:line="121" w:lineRule="exact"/>
        <w:rPr>
          <w:sz w:val="20"/>
          <w:szCs w:val="20"/>
          <w:color w:val="auto"/>
        </w:rPr>
      </w:pPr>
    </w:p>
    <w:p>
      <w:pPr>
        <w:ind w:left="200" w:right="80" w:firstLine="434"/>
        <w:spacing w:after="0" w:line="258" w:lineRule="auto"/>
        <w:rPr>
          <w:sz w:val="20"/>
          <w:szCs w:val="20"/>
          <w:color w:val="auto"/>
        </w:rPr>
      </w:pPr>
      <w:r>
        <w:rPr>
          <w:rFonts w:ascii="Times New Roman" w:cs="Times New Roman" w:eastAsia="Times New Roman" w:hAnsi="Times New Roman"/>
          <w:sz w:val="18"/>
          <w:szCs w:val="18"/>
          <w:color w:val="auto"/>
        </w:rPr>
        <w:t>Our mission is to advance and grow a portfolio of innovative, early-stage oncology assets based on the latest scientific breakthroughs. Given these foundations, we think about capital allocation and risk as much as we think about drug development. By focusing our efforts on translational medicine and portfolio diversification, we seek to mitigate overall exposure to many of the inherent risks of drug development. Fundamental to our success is our ability to apply a disciplined set of criteria for asset evaluation and advancement, as well as sequenced capital allocation that preserves resources for programs with greater potential. Our approach is guided by the following core elements:</w:t>
      </w:r>
    </w:p>
    <w:p>
      <w:pPr>
        <w:spacing w:after="0" w:line="89" w:lineRule="exact"/>
        <w:rPr>
          <w:sz w:val="20"/>
          <w:szCs w:val="20"/>
          <w:color w:val="auto"/>
        </w:rPr>
      </w:pPr>
    </w:p>
    <w:p>
      <w:pPr>
        <w:ind w:left="1160" w:hanging="53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diversification to mitigate risk and maximize optionality</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based on risk-adjusted potential, including staged funding to pre-specified scientific and clinical results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infrastructure and key external relationships to maintain a lean operating base</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development capabilities complemented by external business development</w:t>
      </w:r>
    </w:p>
    <w:p>
      <w:pPr>
        <w:spacing w:after="0" w:line="128"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Focus on translational medicine and therapeutic candidates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single agent activity</w:t>
      </w:r>
    </w:p>
    <w:p>
      <w:pPr>
        <w:spacing w:after="0" w:line="132"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asset evaluation and selection</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Hub-and-Spoke Business Model</w:t>
      </w:r>
    </w:p>
    <w:p>
      <w:pPr>
        <w:spacing w:after="0" w:line="121" w:lineRule="exact"/>
        <w:rPr>
          <w:sz w:val="20"/>
          <w:szCs w:val="20"/>
          <w:color w:val="auto"/>
        </w:rPr>
      </w:pPr>
    </w:p>
    <w:p>
      <w:pPr>
        <w:ind w:left="200" w:right="60" w:firstLine="434"/>
        <w:spacing w:after="0" w:line="254" w:lineRule="auto"/>
        <w:rPr>
          <w:sz w:val="20"/>
          <w:szCs w:val="20"/>
          <w:color w:val="auto"/>
        </w:rPr>
      </w:pPr>
      <w:r>
        <w:rPr>
          <w:rFonts w:ascii="Times New Roman" w:cs="Times New Roman" w:eastAsia="Times New Roman" w:hAnsi="Times New Roman"/>
          <w:sz w:val="18"/>
          <w:szCs w:val="18"/>
          <w:color w:val="auto"/>
        </w:rPr>
        <w:t>We employ a hub-and-spoke business model to execute our strategy of building a diversified oncology company in a capital efficient manner and to provide us with the flexibility to either advance therapeutic candidates ourselves or through transactions with third parties. Our “hub” consists of a holding company, Cullinan Oncology, LLC, or the LLC entity, and an operating company, Cullinan Management, Inc., or Cullinan Management, which, collectively, provide capital, human resources, and other services to each spoke via a shared services agreement. We believe that by centralizing these shared services, including all research and development operations, administrative services, and business development, and allocating employees and resources to each spoke, we can enhance operational efficiency and maintain an optimal cost structure. For example, as of November 30, 2020, we had 17 full time employees, one part-time employee, and two consultants working on a pipeline of seven active programs. See “Certain Relationships and Related Person Transactions–Agreements with our Subsidiaries–</w:t>
      </w:r>
      <w:r>
        <w:rPr>
          <w:rFonts w:ascii="Times New Roman" w:cs="Times New Roman" w:eastAsia="Times New Roman" w:hAnsi="Times New Roman"/>
          <w:sz w:val="18"/>
          <w:szCs w:val="18"/>
          <w:i w:val="1"/>
          <w:iCs w:val="1"/>
          <w:color w:val="auto"/>
        </w:rPr>
        <w:t>Services Agreements</w:t>
      </w:r>
      <w:r>
        <w:rPr>
          <w:rFonts w:ascii="Times New Roman" w:cs="Times New Roman" w:eastAsia="Times New Roman" w:hAnsi="Times New Roman"/>
          <w:sz w:val="18"/>
          <w:szCs w:val="18"/>
          <w:color w:val="auto"/>
        </w:rPr>
        <w:t>” for more information.</w:t>
      </w:r>
    </w:p>
    <w:p>
      <w:pPr>
        <w:spacing w:after="0" w:line="192"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Our hub-and-spoke model also enables us to access both internal and external expertise to build and develop our pipeline. We incubate internal programs, such as NexGem, Opal, and Jade, in our hub, leveraging Cullinan Management’s network of service providers as needed to support our discovery, lead optimization, and IND-enabling efforts. When we decide to license from or collaborate with external parties, we establish distinct subsidiaries, or “spokes”, to hold and advance those programs. This structure enables us to keep licensors economically incentivized at the program level through our ability to offer equity and access to potential cash milestones and royalty payments. Further, because each spoke is a separate legal entity that holds all of the assets related to the development candidate, including the relevant intellectual property, and has no employees, fixed assets, or overhead costs, we have flexibility both to raise capital at either the parent or subsidiary level and to pursue subsidiary-level licenses or stock sales. See “Business–Our Hub-and-Spoke Business Model” for more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320" w:top="455" w:right="5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716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80" w:firstLine="434"/>
        <w:spacing w:after="0" w:line="282" w:lineRule="auto"/>
        <w:rPr>
          <w:sz w:val="20"/>
          <w:szCs w:val="20"/>
          <w:color w:val="auto"/>
        </w:rPr>
      </w:pPr>
      <w:r>
        <w:rPr>
          <w:rFonts w:ascii="Times New Roman" w:cs="Times New Roman" w:eastAsia="Times New Roman" w:hAnsi="Times New Roman"/>
          <w:sz w:val="18"/>
          <w:szCs w:val="18"/>
          <w:color w:val="auto"/>
        </w:rPr>
        <w:t>In the figure below, each “spoke” contains the subsidiary’s therapeutic candidate as well as any relevant licensors or shareholders. The LLC entity’s ownership, as of December 18, 2020, as a percentage of fully-diluted shares outstanding is listed below each circle.</w:t>
      </w:r>
    </w:p>
    <w:p>
      <w:pPr>
        <w:spacing w:after="0" w:line="2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Hub-and-Spoke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8"/>
          <w:szCs w:val="18"/>
          <w:color w:val="auto"/>
        </w:rPr>
        <w:t>The structure of our financing arrangements with each subsidiary enable us to increase our economic ownership when we provide additional capital. Further information about our subsidiaries, including ownership and governance, is included in the “Management’s Discussion and Analysis” section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320" w:top="455" w:right="6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5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3530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200" w:right="40" w:firstLine="434"/>
        <w:spacing w:after="0" w:line="258" w:lineRule="auto"/>
        <w:rPr>
          <w:sz w:val="20"/>
          <w:szCs w:val="20"/>
          <w:color w:val="auto"/>
        </w:rPr>
      </w:pPr>
      <w:r>
        <w:rPr>
          <w:rFonts w:ascii="Times New Roman" w:cs="Times New Roman" w:eastAsia="Times New Roman" w:hAnsi="Times New Roman"/>
          <w:sz w:val="18"/>
          <w:szCs w:val="18"/>
          <w:color w:val="auto"/>
        </w:rPr>
        <w:t>We have built a pipeline of targeted oncology and immuno-oncology therapeutic candidates and programs that are diversified by mechanism, therapeutic approach, modality, and stage of development. On a quarterly basis, we rigorously assess each of our programs using internally defined success criteria to justify continued investment and determine proper capital allocation. When certain programs do not meet our de-risking criteria for advancement, we terminate those programs and preserve our capital and resources to invest in programs with greater potential. As a result, our pipeline will continue to be dynamic. Our current pipeline is summarized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CLN-081</w:t>
      </w:r>
    </w:p>
    <w:p>
      <w:pPr>
        <w:spacing w:after="0" w:line="121"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CLN-081 is an orally available small molecule designed as a next generation, irreversible EGFR inhibitor in development for the treatment of a genetically defined subset of patients with NSCLC. CLN-081 is being developed by our partially-owned subsidiary Cullinan Pearl, and is currently in a Phase 1/2a dose escalation and expansion trial evaluating oral, twice-daily, or BID, administration of various doses in patients with NSCLC harboring EGFRex20ins mutations that have had at least one prior treatment with platinum based chemotherapy or another approved standard therapy. In September 2020, at the European Society for Medical Oncology virtual congress, we disclosed preliminary results based on the first 22 patients dosed in this ongoing trial. As of September 1, 2020, amongst 17 evaluable patients across all dose cohorts, we observed a best overall response of partial response in six patients and stable disease in 11 patients. The partial responses included two confirmed and four unconfirmed partial responses, three of whom had not yet reached a confirmatory scan and one who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73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69" w:lineRule="auto"/>
        <w:rPr>
          <w:sz w:val="20"/>
          <w:szCs w:val="20"/>
          <w:color w:val="auto"/>
        </w:rPr>
      </w:pPr>
      <w:r>
        <w:rPr>
          <w:rFonts w:ascii="Times New Roman" w:cs="Times New Roman" w:eastAsia="Times New Roman" w:hAnsi="Times New Roman"/>
          <w:sz w:val="17"/>
          <w:szCs w:val="17"/>
          <w:color w:val="auto"/>
        </w:rPr>
        <w:t>progressed prior to a confirmatory scan. As of the September 1, 2020 data cut-off, no dose limiting toxicities, or DLTs, or Grade 3 treatment-related adverse events, or TRAEs, had been reported. As of the November 10, 2020 data cut-off, amongst 25 evaluable patients across all dose cohorts, we observed a best overall response of partial response in 10 patients, stable disease in 14 patients, and disease progression in one patient. The partial responses included six confirmed and four unconfirmed partial responses, two of whom had not yet reached a confirmatory scan. Regarding the two remaining patients with unconfirmed partial responses, one experienced progressive disease due to a new brain lesion and one died before their second scan after experiencing aspirational pneumonia that was deemed unrelated to study drug by the investigator. As of the November 10, 2020 data cut-off, we observed one DLT, which was Grade 3 diarrhea TRAE in the 150mg BID dosing cohort, our highest dose evaluated to date, and one other Grade 3 TRAE, which was anemia. We observed no Grade 2 diarrhea TRAEs in the 30, 45, 65, or 100mg BID dose cohorts. We observed one Grade 2 diarrhea TRAE in the 150mg BID dose cohort. As of the November 10, 2020 data cutoff, we observed eight Grade 2 skin rash TRAEs across all dose cohorts. Although these results are preliminary and based on a small number of patients with limited follow-up, we believe that the preclinical and early clinical data as of the data cut-off collectively support the potential of CLN-081 to be a clinically active molecule with a favorable product profile. Given the trial was designed as a dose escalation and expansion study, we anticipate observing additional TRAEs as we enroll more patients and follow them over longer duration periods at higher dose levels. We intend to provide a clinical update in the first half of 2021.</w:t>
      </w:r>
    </w:p>
    <w:p>
      <w:pPr>
        <w:spacing w:after="0" w:line="176"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EGFR mutations are present in approximately 15% to 25% of U.S. and Western European NSCLC patients, and approximately 30% to 50% of Asian NSCLC patients. Among EGFR mutations, EGFRex20ins mutations account for 7% to 13% of all EGFR mutations in NSCLC patients, with an estimated annual incidence of 2,000 to 5,000 patients in the U.S. and approximately 1,000 to 3,000 patients in France, Germany, Italy, Spain, and the United Kingdom, or EU5. These patients typically have poorer outcomes than those with common types of EGFR mutations, such as exon 19 deletion and exon 21 L858R substitution mutations. Currently, there are no targeted therapies approved for the treatment of NSCLC patients with EGFRex20ins mutations, and approved EGFR inhibitors do not adequately address the needs of this patient population.</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CLN-049</w:t>
      </w:r>
    </w:p>
    <w:p>
      <w:pPr>
        <w:spacing w:after="0" w:line="121"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 xml:space="preserve">CLN-049 is a humanized bispecific antibody that we are developing at our partially-owned subsidiary Cullinan Florentine for the treatment of AML. CLN-049 is designed to simultaneously bind to FLT3 on target leukemic cells and to CD3 on T cells, triggering the T cells to kill the targeted cancer cells via their intrinsic cytolytic mechanisms. FLT3 is expressed frequently on AML cells and leukemic blasts but minimally on healthy blood cells, unlike other tumor surface antigens identified in AML, such as CD33 and CD123. We believe that the expression of FLT3 on the surface of leukemic blasts in most AML patients and its role as a known oncogenic driver make it an attractive therapeutic target for a T cell engager approach. Furthermore, by targeting the extracellular domain of FLT3, we believe CLN-049 has the potential to address a broader patient population than existing small molecule FLT3 kinase inhibitors acting within the intracellular domain, but are limited to a subset of approximately 25% of AML patients with certain mutations. We have observed that CLN-049 led to potent FLT3-dependent killing of leukemic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a wide range of FLT3 expression levels on AML cells. In preclinical studies, treatment with CLN-049, even at low doses, led to survival benefit in an AML xenograft model and complete elimination of leukemic blasts in various mouse models implanted with primary patient leukemic cells or AML cell lines. We have completed IND-enabling pharmacology, pharmacokinetic, and safety studies, and we expect to submit our IND for CLN-049 in the first quarter of 2021.</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CLN-619</w:t>
      </w:r>
    </w:p>
    <w:p>
      <w:pPr>
        <w:spacing w:after="0" w:line="121" w:lineRule="exact"/>
        <w:rPr>
          <w:sz w:val="20"/>
          <w:szCs w:val="20"/>
          <w:color w:val="auto"/>
        </w:rPr>
      </w:pPr>
    </w:p>
    <w:p>
      <w:pPr>
        <w:ind w:left="200" w:right="300" w:firstLine="434"/>
        <w:spacing w:after="0" w:line="282" w:lineRule="auto"/>
        <w:rPr>
          <w:sz w:val="20"/>
          <w:szCs w:val="20"/>
          <w:color w:val="auto"/>
        </w:rPr>
      </w:pPr>
      <w:r>
        <w:rPr>
          <w:rFonts w:ascii="Times New Roman" w:cs="Times New Roman" w:eastAsia="Times New Roman" w:hAnsi="Times New Roman"/>
          <w:sz w:val="18"/>
          <w:szCs w:val="18"/>
          <w:color w:val="auto"/>
        </w:rPr>
        <w:t>CLN-619, which is being developed by our partially-owned subsidiary Cullinan MICA, is a MICA/B-targeted, humanized IgG1 monoclonal antibody that we are initially developing for the treatment of patients</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36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 xml:space="preserve">with advanced solid tumors. CLN-619 was designed to promote an antitumor response through multiple mechanisms of action, including engagement of NK and T cells for enhanced lysis of cancer cells. The MICA/B receptor, NKG2D, is expressed in both innate and adaptive effector cell populations. Although several companies have disclosed preclinical programs targeting MICA/B, we are unaware of any clinical-stage programs in development. In preclinical studies, CLN-619 demonstrated antitumor activity as a single agent in multiple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We believe CLN-619 has the potential to become a novel backbone agent for immuno-oncology therapy given the broad expression of MICA/B across tumor types and the biologic rationale for combining CLN-619 with other agents. We have completed IND-enabling pharmacology and toxicology studies and are completing good manufacturing practice, or GMP, process work to support an IND submission in the first half of 2021.</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CLN-617</w:t>
      </w:r>
    </w:p>
    <w:p>
      <w:pPr>
        <w:spacing w:after="0" w:line="121" w:lineRule="exact"/>
        <w:rPr>
          <w:sz w:val="20"/>
          <w:szCs w:val="20"/>
          <w:color w:val="auto"/>
        </w:rPr>
      </w:pPr>
    </w:p>
    <w:p>
      <w:pPr>
        <w:ind w:left="200" w:right="60" w:firstLine="434"/>
        <w:spacing w:after="0" w:line="255" w:lineRule="auto"/>
        <w:rPr>
          <w:sz w:val="20"/>
          <w:szCs w:val="20"/>
          <w:color w:val="auto"/>
        </w:rPr>
      </w:pPr>
      <w:r>
        <w:rPr>
          <w:rFonts w:ascii="Times New Roman" w:cs="Times New Roman" w:eastAsia="Times New Roman" w:hAnsi="Times New Roman"/>
          <w:sz w:val="18"/>
          <w:szCs w:val="18"/>
          <w:color w:val="auto"/>
        </w:rPr>
        <w:t>We are also developing CLN-617, a fusion protein uniquely combining, in a single agent, two antitumor cytokines, IL-2 and IL-12, with a collagen-binding domain for the treatment of solid tumors. This collagen-binding domain is designed to retain the cytokines in the tumor microenvironment following intratumoral administration, with the goal of minimizing systemic dissemination and associated toxicities of cytokines while prolonging their immunostimulatory antitumor activity. For nearly five decades, clinical researchers have characterized the powerful role cytokines play in stimulating an immune response to cancer. However, despite numerous advancements in protein engineering, delivery and targeting mechanisms, the short serum half-life and severe toxicities associated with systemic cytokine administration have hindered their clinical development and commercial uptake.</w:t>
      </w:r>
    </w:p>
    <w:p>
      <w:pPr>
        <w:spacing w:after="0" w:line="189"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We believe that CLN-617, by utilizing a collagen-binding domain, has the potential to address these shortcomings and is the only anti-cancer therapeutic candidate in development that we are aware of that combines IL-2 and IL-12. In preclinical studies, murine surrogates of CLN-617 demonstrated robust single agent antitumor activity in both injected and non-injected contralateral tumors without inducing systemic toxicity, as measured by reduction in body weight. Based on these results, we believe CLN-617 may be capable of generating a systemic immune response that can mediate tumor regression, even in non-injected distal tumors. Given the broad expression of collagens across multiple tumor types and the well-validated antitumor activity of cytokine-based therapies, CLN-617 may have utility across many different types of solid tumors. CLN-617 is being developed by our partially-owned subsidiary Cullinan Amber, and we expect to submit an IND for CLN-617 in 2022. We refer to the collagen-binding technology used in CLN-617 as AMBER, which we believe represents a novel platform with the potential to broaden the therapeutic window of cytokines and other immunostimulatory agents by potentially reducing systemic toxicity.</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CLN-978</w:t>
      </w:r>
    </w:p>
    <w:p>
      <w:pPr>
        <w:spacing w:after="0" w:line="121" w:lineRule="exact"/>
        <w:rPr>
          <w:sz w:val="20"/>
          <w:szCs w:val="20"/>
          <w:color w:val="auto"/>
        </w:rPr>
      </w:pPr>
    </w:p>
    <w:p>
      <w:pPr>
        <w:ind w:left="200" w:right="20" w:firstLine="434"/>
        <w:spacing w:after="0" w:line="271" w:lineRule="auto"/>
        <w:rPr>
          <w:sz w:val="20"/>
          <w:szCs w:val="20"/>
          <w:color w:val="auto"/>
        </w:rPr>
      </w:pPr>
      <w:r>
        <w:rPr>
          <w:rFonts w:ascii="Times New Roman" w:cs="Times New Roman" w:eastAsia="Times New Roman" w:hAnsi="Times New Roman"/>
          <w:sz w:val="17"/>
          <w:szCs w:val="17"/>
          <w:color w:val="auto"/>
        </w:rPr>
        <w:t xml:space="preserve">CLN-978 is a half-life extended, humanized, single-chain T cell engaging antibody construct designed to simultaneously engage CD19 on target cancer cells and CD3 on T cells, triggering redirected T cells to lyse the target cancer cells. In addition to CD19 and CD3 binding domains, CLN-978 has a human serum albumin binding antibody domain, which is designed to prolong its serum half-life. We believe that by potentially extending the serum half-life of CLN-978, we can address limitations related to the dosing regimen of blinatumomab, the only CD19-targeting bispecific T cell engager approved for the treatment of relapsed or refractory B-cell acute lymphoblastic leukemia, or ALL, and potentially offer unique advantages and broader access for patients. CLN-978, referred to as NexGem, mediated highly potent CD19-dependent target cell lysis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at various CD19 target expression levels. In preclinical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treatment with NexGem, at extremely low doses and with infrequent dosing, led to inhibition of tumor growth and tumor regression in a human CD3e transgenic lymphoma mouse model. CLN-978 is held in our wholly-owned subsidiary Cullinan Management, Inc. We intend to initially evaluate CLN-978 as a novel treatment for B-cell ALL, and expect to submit our IND for CLN-978 in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579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Other Research Stage Programs</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In addition to the therapeutic candidates and programs described above, we are currently evaluating two discovery-stage immuno-oncology programs. Opal is a bispecific fusion protein that is designed to block the PD-1 axis and to selectively activate the 4-IBB/CD137 pathway on T cells in tumors. Jade is a cell therapy that is designed to target a novel senescence and cancer-related protein, and we are collaborating with the Fred Hutchinson Cancer Research Center to identify naturally occurring T cell receptors against this target.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Terminated Programs</w:t>
      </w:r>
    </w:p>
    <w:p>
      <w:pPr>
        <w:spacing w:after="0" w:line="121" w:lineRule="exact"/>
        <w:rPr>
          <w:sz w:val="20"/>
          <w:szCs w:val="20"/>
          <w:color w:val="auto"/>
        </w:rPr>
      </w:pPr>
    </w:p>
    <w:p>
      <w:pPr>
        <w:ind w:left="200" w:right="60" w:firstLine="434"/>
        <w:spacing w:after="0" w:line="258" w:lineRule="auto"/>
        <w:rPr>
          <w:sz w:val="20"/>
          <w:szCs w:val="20"/>
          <w:color w:val="auto"/>
        </w:rPr>
      </w:pPr>
      <w:r>
        <w:rPr>
          <w:rFonts w:ascii="Times New Roman" w:cs="Times New Roman" w:eastAsia="Times New Roman" w:hAnsi="Times New Roman"/>
          <w:sz w:val="18"/>
          <w:szCs w:val="18"/>
          <w:color w:val="auto"/>
        </w:rPr>
        <w:t>Based on early preclinical and clinical results, we have terminated multiple programs in order to allocate resources to what we believe are more promising programs in our portfolio. We believe these decisions demonstrate our commitment and discipline with respect to our strategy and business model. For example, Apollo, our oral small molecule targeting EBNA1, was terminated due to a lack of translation of the compelling pharmacodynamic effect and antitumor activity seen in preclinical studies into patients. We were able to efficiently evaluate this program with minimal costs, spending approximately $10 million from initial licensing to date, including the costs related to the sponsored research agreement.</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right="300" w:firstLine="434"/>
        <w:spacing w:after="0" w:line="282" w:lineRule="auto"/>
        <w:rPr>
          <w:sz w:val="20"/>
          <w:szCs w:val="20"/>
          <w:color w:val="auto"/>
        </w:rPr>
      </w:pPr>
      <w:r>
        <w:rPr>
          <w:rFonts w:ascii="Times New Roman" w:cs="Times New Roman" w:eastAsia="Times New Roman" w:hAnsi="Times New Roman"/>
          <w:sz w:val="18"/>
          <w:szCs w:val="18"/>
          <w:color w:val="auto"/>
        </w:rPr>
        <w:t>Our goal is to develop targeted oncology and immuno-oncology therapeutics that will dramatically improve the standard-of-care for patients with cancer. The key elements of our strategy are to:</w:t>
      </w:r>
    </w:p>
    <w:p>
      <w:pPr>
        <w:spacing w:after="0" w:line="67" w:lineRule="exact"/>
        <w:rPr>
          <w:sz w:val="20"/>
          <w:szCs w:val="20"/>
          <w:color w:val="auto"/>
        </w:rPr>
      </w:pPr>
    </w:p>
    <w:p>
      <w:pPr>
        <w:ind w:left="1160" w:right="2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pipeline of differentiated oncology therapeutic candidates that are diversified by mechanism, therapeutic approach, modality, and stage of development</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through research collaborations, business development, and internally designed programs</w:t>
      </w:r>
    </w:p>
    <w:p>
      <w:pPr>
        <w:spacing w:after="0" w:line="130" w:lineRule="exact"/>
        <w:rPr>
          <w:rFonts w:ascii="Times New Roman" w:cs="Times New Roman" w:eastAsia="Times New Roman" w:hAnsi="Times New Roman"/>
          <w:sz w:val="18"/>
          <w:szCs w:val="18"/>
          <w:color w:val="auto"/>
        </w:rPr>
      </w:pPr>
    </w:p>
    <w:p>
      <w:pPr>
        <w:ind w:left="1160" w:right="24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therapeutic candidate, CLN-081, toward potential regulatory approval for the targeted treatment of NSCLC patients with EGFRex20ins mutations</w:t>
      </w:r>
    </w:p>
    <w:p>
      <w:pPr>
        <w:spacing w:after="0" w:line="67" w:lineRule="exact"/>
        <w:rPr>
          <w:rFonts w:ascii="Times New Roman" w:cs="Times New Roman" w:eastAsia="Times New Roman" w:hAnsi="Times New Roman"/>
          <w:sz w:val="18"/>
          <w:szCs w:val="18"/>
          <w:color w:val="auto"/>
        </w:rPr>
      </w:pPr>
    </w:p>
    <w:p>
      <w:pPr>
        <w:ind w:left="1160" w:right="4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clinical proof-of-concept for our most advanced immuno-oncology therapeutic candidates, CLN-619 and CLN-049, in patients with solid tumors and hematological malignancies, respectively</w:t>
      </w:r>
    </w:p>
    <w:p>
      <w:pPr>
        <w:spacing w:after="0" w:line="67" w:lineRule="exact"/>
        <w:rPr>
          <w:rFonts w:ascii="Times New Roman" w:cs="Times New Roman" w:eastAsia="Times New Roman" w:hAnsi="Times New Roman"/>
          <w:sz w:val="18"/>
          <w:szCs w:val="18"/>
          <w:color w:val="auto"/>
        </w:rPr>
      </w:pPr>
    </w:p>
    <w:p>
      <w:pPr>
        <w:ind w:left="1160" w:right="32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and evolve our pipeline with a goal of advancing one therapeutic candidate into the clinic and one program into IND-enabling studies each year</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opportunities to accelerate development timelines and maximize the value of our portfolio</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History and Team</w:t>
      </w:r>
    </w:p>
    <w:p>
      <w:pPr>
        <w:spacing w:after="0" w:line="121"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We began substantive operations in 2017 following Series A funding from F2 Ventures and the UBS Oncology Impact Fund, which is managed by MPM Capital and is one of the largest dedicated pools of capital focused exclusively on oncology investing. Since inception, we have raised approximately $277.0 million from these investors as well as other institutional investors, including Foresite Capital, Boxer Capital of Tavistock Group, Eventide Asset Management, Nextech Invest, OrbiMed, Venrock Healthcare Capital Partners, Rock Springs Capital, BVF Partners, L.P., and Logos Capital. With less than $60 million spent to date, we have prudently built a diverse pipeline of seven uncorrelated targeted oncology and immuno-oncology programs.</w:t>
      </w:r>
    </w:p>
    <w:p>
      <w:pPr>
        <w:spacing w:after="0" w:line="187" w:lineRule="exact"/>
        <w:rPr>
          <w:sz w:val="20"/>
          <w:szCs w:val="20"/>
          <w:color w:val="auto"/>
        </w:rPr>
      </w:pPr>
    </w:p>
    <w:p>
      <w:pPr>
        <w:ind w:left="200" w:right="160" w:firstLine="434"/>
        <w:spacing w:after="0" w:line="261" w:lineRule="auto"/>
        <w:rPr>
          <w:sz w:val="20"/>
          <w:szCs w:val="20"/>
          <w:color w:val="auto"/>
        </w:rPr>
      </w:pPr>
      <w:r>
        <w:rPr>
          <w:rFonts w:ascii="Times New Roman" w:cs="Times New Roman" w:eastAsia="Times New Roman" w:hAnsi="Times New Roman"/>
          <w:sz w:val="18"/>
          <w:szCs w:val="18"/>
          <w:color w:val="auto"/>
        </w:rPr>
        <w:t>Critical to our success has been the ability to assemble an accomplished management team with proven track records in targeted oncology and immuno-oncology. We are led by a senior management team with extensive capabilities in immuno-oncology, biologics and small molecule drug development, as well as business development and portfolio management. Collectively, our team possesses a strong record of success, as demonstrated by 36 accepted INDs and six approved new drug applications, or NDAs, or biologics license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63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638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applications, or BLAs, and significant previous experiences at leading life sciences companies, including Alexion Pharmaceuticals, Inc., Amgen Inc., Biogen Inc., Bristol Myers Squibb Company, MacroGenics, Inc., Merck &amp; Co., Inc., Novartis International AG, Pfizer Inc., and Sanofi S.A..</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121" w:lineRule="exact"/>
        <w:rPr>
          <w:sz w:val="20"/>
          <w:szCs w:val="20"/>
          <w:color w:val="auto"/>
        </w:rPr>
      </w:pPr>
    </w:p>
    <w:p>
      <w:pPr>
        <w:ind w:left="200" w:right="120" w:firstLine="43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67" w:lineRule="exact"/>
        <w:rPr>
          <w:sz w:val="20"/>
          <w:szCs w:val="20"/>
          <w:color w:val="auto"/>
        </w:rPr>
      </w:pPr>
    </w:p>
    <w:p>
      <w:pPr>
        <w:ind w:left="1160" w:right="54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160" w:right="34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expect to incur losses over the next several years and may not be able to achieve or sustain revenues or profitability in the future.</w:t>
      </w:r>
    </w:p>
    <w:p>
      <w:pPr>
        <w:spacing w:after="0" w:line="67" w:lineRule="exact"/>
        <w:rPr>
          <w:rFonts w:ascii="Times New Roman" w:cs="Times New Roman" w:eastAsia="Times New Roman" w:hAnsi="Times New Roman"/>
          <w:sz w:val="18"/>
          <w:szCs w:val="18"/>
          <w:color w:val="auto"/>
        </w:rPr>
      </w:pPr>
    </w:p>
    <w:p>
      <w:pPr>
        <w:ind w:left="116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consummation of this offering, we will still need substantial additional funding. If we are unable to raise capital when needed, we would be compelled to delay, reduce or eliminate our product development programs or other operations.</w:t>
      </w:r>
    </w:p>
    <w:p>
      <w:pPr>
        <w:spacing w:after="0" w:line="67" w:lineRule="exact"/>
        <w:rPr>
          <w:rFonts w:ascii="Times New Roman" w:cs="Times New Roman" w:eastAsia="Times New Roman" w:hAnsi="Times New Roman"/>
          <w:sz w:val="18"/>
          <w:szCs w:val="18"/>
          <w:color w:val="auto"/>
        </w:rPr>
      </w:pPr>
    </w:p>
    <w:p>
      <w:pPr>
        <w:ind w:left="1160" w:right="4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differentiated hub-and-spoke business model to build a pipeline of product candidates with commercial value.</w:t>
      </w:r>
    </w:p>
    <w:p>
      <w:pPr>
        <w:spacing w:after="0" w:line="67" w:lineRule="exact"/>
        <w:rPr>
          <w:rFonts w:ascii="Times New Roman" w:cs="Times New Roman" w:eastAsia="Times New Roman" w:hAnsi="Times New Roman"/>
          <w:sz w:val="18"/>
          <w:szCs w:val="18"/>
          <w:color w:val="auto"/>
        </w:rPr>
      </w:pPr>
    </w:p>
    <w:p>
      <w:pPr>
        <w:ind w:left="1160" w:right="20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value from our subsidiaries may be impacted if we reduce our ownership to a minority interest or otherwise cede control to other investors through contractual agreements or otherwise.</w:t>
      </w:r>
    </w:p>
    <w:p>
      <w:pPr>
        <w:spacing w:after="0" w:line="67" w:lineRule="exact"/>
        <w:rPr>
          <w:rFonts w:ascii="Times New Roman" w:cs="Times New Roman" w:eastAsia="Times New Roman" w:hAnsi="Times New Roman"/>
          <w:sz w:val="18"/>
          <w:szCs w:val="18"/>
          <w:color w:val="auto"/>
        </w:rPr>
      </w:pPr>
    </w:p>
    <w:p>
      <w:pPr>
        <w:ind w:left="1160" w:right="320" w:hanging="534"/>
        <w:spacing w:after="0" w:line="25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are substantially dependent on our lead candidate, CLN-081, and our most advanced immuno-oncology candidates, CLN-049 and CLN-619. If we are unable to advance CLN-081, CLN-049, or CLN-619, or any of our other product candidates through clinical development, or to obtain regulatory approval and ultimately commercialize CLN-081, CLN-049, or CLN-619, or any of our other product candidates, either by ourselves or with or by third parties, or if we experience significant delays in doing so, our business will be materially harmed.</w:t>
      </w:r>
    </w:p>
    <w:p>
      <w:pPr>
        <w:spacing w:after="0" w:line="88" w:lineRule="exact"/>
        <w:rPr>
          <w:rFonts w:ascii="Times New Roman" w:cs="Times New Roman" w:eastAsia="Times New Roman" w:hAnsi="Times New Roman"/>
          <w:sz w:val="18"/>
          <w:szCs w:val="18"/>
          <w:color w:val="auto"/>
        </w:rPr>
      </w:pPr>
    </w:p>
    <w:p>
      <w:pPr>
        <w:ind w:left="1160" w:right="140" w:hanging="534"/>
        <w:spacing w:after="0" w:line="266"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81" w:lineRule="exact"/>
        <w:rPr>
          <w:rFonts w:ascii="Times New Roman" w:cs="Times New Roman" w:eastAsia="Times New Roman" w:hAnsi="Times New Roman"/>
          <w:sz w:val="18"/>
          <w:szCs w:val="18"/>
          <w:color w:val="auto"/>
        </w:rPr>
      </w:pPr>
    </w:p>
    <w:p>
      <w:pPr>
        <w:ind w:left="1160" w:right="10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delay or prevent their regulatory approval, limit their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1160" w:right="20" w:hanging="534"/>
        <w:spacing w:after="0" w:line="266"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are party to certain agreements that provide our licensors, collaborators or other shareholders in our subsidiaries with rights that could delay or impact the potential sale of our subsidiaries or could impact the ability of our subsidiaries to sell assets or enter into strategic alliances, collaborations, or licensing arrangements with other third parties.</w:t>
      </w:r>
    </w:p>
    <w:p>
      <w:pPr>
        <w:spacing w:after="0" w:line="81"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or limited number of subsidiaries may comprise a large proportion of our value.</w:t>
      </w:r>
    </w:p>
    <w:p>
      <w:pPr>
        <w:spacing w:after="0" w:line="130" w:lineRule="exact"/>
        <w:rPr>
          <w:rFonts w:ascii="Times New Roman" w:cs="Times New Roman" w:eastAsia="Times New Roman" w:hAnsi="Times New Roman"/>
          <w:sz w:val="18"/>
          <w:szCs w:val="18"/>
          <w:color w:val="auto"/>
        </w:rPr>
      </w:pPr>
    </w:p>
    <w:p>
      <w:pPr>
        <w:ind w:left="1160" w:right="2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enrolling patients could delay or prevent clinical trials of our product candidates, and ultimately delay or prevent regulatory approval.</w:t>
      </w:r>
    </w:p>
    <w:p>
      <w:pPr>
        <w:spacing w:after="0" w:line="67" w:lineRule="exact"/>
        <w:rPr>
          <w:rFonts w:ascii="Times New Roman" w:cs="Times New Roman" w:eastAsia="Times New Roman" w:hAnsi="Times New Roman"/>
          <w:sz w:val="18"/>
          <w:szCs w:val="18"/>
          <w:color w:val="auto"/>
        </w:rPr>
      </w:pPr>
    </w:p>
    <w:p>
      <w:pPr>
        <w:ind w:left="1160" w:right="50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67" w:lineRule="exact"/>
        <w:rPr>
          <w:rFonts w:ascii="Times New Roman" w:cs="Times New Roman" w:eastAsia="Times New Roman" w:hAnsi="Times New Roman"/>
          <w:sz w:val="18"/>
          <w:szCs w:val="18"/>
          <w:color w:val="auto"/>
        </w:rPr>
      </w:pPr>
    </w:p>
    <w:p>
      <w:pPr>
        <w:ind w:left="1160" w:right="40" w:hanging="534"/>
        <w:spacing w:after="0" w:line="261"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current product candidates and technology, or any other product candidates or technology we may develop, or if the scope of intellectual property protection obtained is not sufficiently broad, our competitors could develop and commercialize products and technology similar or identical to ours, and our ability to commercialize CLN-081, CLN-049, and CLN-619, or any other product candidates or technology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67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80" w:hanging="534"/>
        <w:spacing w:after="0" w:line="266"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the outsourcing of the majority of our development functions to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1" w:lineRule="exact"/>
        <w:rPr>
          <w:rFonts w:ascii="Times New Roman" w:cs="Times New Roman" w:eastAsia="Times New Roman" w:hAnsi="Times New Roman"/>
          <w:sz w:val="18"/>
          <w:szCs w:val="18"/>
          <w:color w:val="auto"/>
        </w:rPr>
      </w:pPr>
    </w:p>
    <w:p>
      <w:pPr>
        <w:ind w:left="1160" w:right="700" w:hanging="534"/>
        <w:spacing w:after="0" w:line="312" w:lineRule="auto"/>
        <w:tabs>
          <w:tab w:leader="none" w:pos="11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a central team consisting of a limited number of employees who provide various administrative, research and development, and other services across our organization presents operational challenges that may adversely affect our business.</w:t>
      </w:r>
    </w:p>
    <w:p>
      <w:pPr>
        <w:spacing w:after="0" w:line="45" w:lineRule="exact"/>
        <w:rPr>
          <w:rFonts w:ascii="Times New Roman" w:cs="Times New Roman" w:eastAsia="Times New Roman" w:hAnsi="Times New Roman"/>
          <w:sz w:val="17"/>
          <w:szCs w:val="17"/>
          <w:color w:val="auto"/>
        </w:rPr>
      </w:pPr>
    </w:p>
    <w:p>
      <w:pPr>
        <w:ind w:left="1160" w:right="34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the novel coronavirus, COVID-19, may adversely impact our business, including our preclinical studies and clinical trials.</w:t>
      </w:r>
    </w:p>
    <w:p>
      <w:pPr>
        <w:spacing w:after="0" w:line="67" w:lineRule="exact"/>
        <w:rPr>
          <w:rFonts w:ascii="Times New Roman" w:cs="Times New Roman" w:eastAsia="Times New Roman" w:hAnsi="Times New Roman"/>
          <w:sz w:val="18"/>
          <w:szCs w:val="18"/>
          <w:color w:val="auto"/>
        </w:rPr>
      </w:pPr>
    </w:p>
    <w:p>
      <w:pPr>
        <w:ind w:left="1160" w:right="60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62"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prospectus, including our consolidated financial statements and the related notes, as well as in other documents that we file with the SEC. The risks summarized above or described in full below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80" w:firstLine="434"/>
        <w:spacing w:after="0" w:line="258" w:lineRule="auto"/>
        <w:rPr>
          <w:sz w:val="20"/>
          <w:szCs w:val="20"/>
          <w:color w:val="auto"/>
        </w:rPr>
      </w:pPr>
      <w:r>
        <w:rPr>
          <w:rFonts w:ascii="Times New Roman" w:cs="Times New Roman" w:eastAsia="Times New Roman" w:hAnsi="Times New Roman"/>
          <w:sz w:val="18"/>
          <w:szCs w:val="18"/>
          <w:color w:val="auto"/>
        </w:rPr>
        <w:t>Cullinan Pharmaceuticals, LLC was formed in September 2016 and was subsequently renamed Cullinan Oncology, LLC in November 2017. Cullinan Oncology, LLC’s, or the LLC entity’s, wholly-owned subsidiary, Cullinan Management, Inc., or the Corporation, was formed in September 2016. Our principal executive offices are located at One Main Street, Suite 520, Cambridge, MA 02142 and our telephone number is (617) 410-4650. Our corporate website address is https://www.cullinanoncology.com. Information contained on or accessible through our website is not a part of this prospectus, and the inclusion of our website address in this prospectus is an inactive textual reference only.</w:t>
      </w:r>
    </w:p>
    <w:p>
      <w:pPr>
        <w:spacing w:after="0" w:line="183"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color w:val="auto"/>
        </w:rPr>
        <w:t>Prior to the completion of this offering, pursuant to a Contribution Agreement, or the Contribution Agreement, the LLC Entity will contribute all of the stock it owns of each of Cullinan Apollo Corp., Cullinan Florentine Corp., Cullinan Amber Corp., Cullinan Pearl Corp., and Cullinan MICA Corp., or collectively, the Asset Subsidiaries, to the Corporation in exchange for Common Stock of the Corporation that will result in the Asset Subsidiaries becoming subsidiaries of the Corporation, or the Contribution. Following the Contribution and prior to the completion of this offering, the LLC entity will merge with and into the Corporation, with the Corporation being the surviving entity. As a result of this merger, the holders of existing units in the LLC entity will exchange those units for corresponding shares of capital stock of the Corporation, after which those holders will have received 100% of the outstanding capital stock of the Corporation as of immediately prior to the completion of this offering. See “Reorganization” and “Description of Capital Stock” for additional information, including a description of the terms of our capital stock following the Reorganization and the terms of our amended and restated certificate of incorporation, effective immediately prior to the closing of the offering, and amended and restated bylaws that will be effective upon the effectiveness of the registration statement of which this prospectus is a part.</w:t>
      </w:r>
    </w:p>
    <w:p>
      <w:pPr>
        <w:spacing w:after="0" w:line="194"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90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1904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200" w:right="100" w:firstLine="43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JOBS Act, as amended.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160" w:right="360" w:hanging="534"/>
        <w:spacing w:after="0" w:line="26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consolidated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160" w:right="700" w:hanging="534"/>
        <w:spacing w:after="0" w:line="28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200" w:right="80" w:firstLine="434"/>
        <w:spacing w:after="0" w:line="272" w:lineRule="auto"/>
        <w:rPr>
          <w:sz w:val="20"/>
          <w:szCs w:val="20"/>
          <w:color w:val="auto"/>
        </w:rPr>
      </w:pPr>
      <w:r>
        <w:rPr>
          <w:rFonts w:ascii="Times New Roman" w:cs="Times New Roman" w:eastAsia="Times New Roman" w:hAnsi="Times New Roman"/>
          <w:sz w:val="17"/>
          <w:szCs w:val="17"/>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w:t>
      </w:r>
    </w:p>
    <w:p>
      <w:pPr>
        <w:spacing w:after="0" w:line="2" w:lineRule="exact"/>
        <w:rPr>
          <w:sz w:val="20"/>
          <w:szCs w:val="20"/>
          <w:color w:val="auto"/>
        </w:rPr>
      </w:pPr>
    </w:p>
    <w:p>
      <w:pPr>
        <w:ind w:left="200" w:hanging="6"/>
        <w:spacing w:after="0" w:line="250" w:lineRule="auto"/>
        <w:tabs>
          <w:tab w:leader="none" w:pos="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last day of the fiscal year in which we are deemed to be a large accelerated filer under the rules of the U.S. Securities and Exchange Commission, or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In addition, we have elected to avail ourselves of the extended transition period for complying with new or revised accounting standards until the earlier of the date that we</w:t>
      </w:r>
    </w:p>
    <w:p>
      <w:pPr>
        <w:spacing w:after="0" w:line="2" w:lineRule="exact"/>
        <w:rPr>
          <w:rFonts w:ascii="Times New Roman" w:cs="Times New Roman" w:eastAsia="Times New Roman" w:hAnsi="Times New Roman"/>
          <w:sz w:val="18"/>
          <w:szCs w:val="18"/>
          <w:color w:val="auto"/>
        </w:rPr>
      </w:pPr>
    </w:p>
    <w:p>
      <w:pPr>
        <w:ind w:left="200" w:right="240" w:hanging="6"/>
        <w:spacing w:after="0" w:line="252" w:lineRule="auto"/>
        <w:tabs>
          <w:tab w:leader="none" w:pos="4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or (ii) affirmatively and irrevocably opt out of the extended transition period. As a result, we will be subject to the same new or revised accounting standards as private companies. Accordingly, our consolidated financial statements may not be comparable to the financial statements of public companies that comply with such new or revised accounting standards. We are in the process of evaluating the benefits of relying on other exemptions and reduced reporting requirements under the JOBS Act. Subject to certain conditions, as an emerging growth company, we may rely on certain of these exemptions in future filings, including without limitation, providing an auditor’s attestation report on our system of internal controls over financial reporting pursuant to Section 404(b) of the Sarbanes-Oxley Act.</w:t>
      </w:r>
    </w:p>
    <w:p>
      <w:pPr>
        <w:spacing w:after="0" w:line="190" w:lineRule="exact"/>
        <w:rPr>
          <w:sz w:val="20"/>
          <w:szCs w:val="20"/>
          <w:color w:val="auto"/>
        </w:rPr>
      </w:pPr>
    </w:p>
    <w:p>
      <w:pPr>
        <w:ind w:left="200" w:right="40" w:firstLine="434"/>
        <w:spacing w:after="0" w:line="272"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either (i) the market value of our common stock held by non-affiliates is greater than $700 million or</w:t>
      </w:r>
    </w:p>
    <w:p>
      <w:pPr>
        <w:spacing w:after="0" w:line="2" w:lineRule="exact"/>
        <w:rPr>
          <w:sz w:val="20"/>
          <w:szCs w:val="20"/>
          <w:color w:val="auto"/>
        </w:rPr>
      </w:pPr>
    </w:p>
    <w:p>
      <w:pPr>
        <w:ind w:left="200" w:right="480" w:hanging="6"/>
        <w:spacing w:after="0" w:line="260" w:lineRule="auto"/>
        <w:tabs>
          <w:tab w:leader="none" w:pos="4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common stock held by non-affiliates is less than $700 million but greater than $250 million and our annual revenues during our most recently completed fiscal year are greater than $100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93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5930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320" w:top="455" w:right="3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Total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granted the underwriters an option, exercisable for 30 days after</w:t>
      </w:r>
    </w:p>
    <w:p>
      <w:pPr>
        <w:spacing w:after="0" w:line="39" w:lineRule="exact"/>
        <w:rPr>
          <w:sz w:val="20"/>
          <w:szCs w:val="20"/>
          <w:color w:val="auto"/>
        </w:rPr>
      </w:pPr>
    </w:p>
    <w:p>
      <w:pPr>
        <w:jc w:val="both"/>
        <w:ind w:left="180" w:right="560"/>
        <w:spacing w:after="0" w:line="255" w:lineRule="auto"/>
        <w:rPr>
          <w:sz w:val="20"/>
          <w:szCs w:val="20"/>
          <w:color w:val="auto"/>
        </w:rPr>
      </w:pPr>
      <w:r>
        <w:rPr>
          <w:rFonts w:ascii="Times New Roman" w:cs="Times New Roman" w:eastAsia="Times New Roman" w:hAnsi="Times New Roman"/>
          <w:sz w:val="18"/>
          <w:szCs w:val="18"/>
          <w:color w:val="auto"/>
        </w:rPr>
        <w:t>the date of this prospectus, to purchase up to additional shares from us at the initial public offering price per share less the underwriting discounts and commissions.</w:t>
      </w:r>
    </w:p>
    <w:p>
      <w:pPr>
        <w:spacing w:after="0" w:line="253" w:lineRule="exact"/>
        <w:rPr>
          <w:sz w:val="20"/>
          <w:szCs w:val="20"/>
          <w:color w:val="auto"/>
        </w:rPr>
      </w:pPr>
    </w:p>
    <w:p>
      <w:pPr>
        <w:ind w:left="180" w:right="380" w:firstLine="585"/>
        <w:spacing w:after="0" w:line="282" w:lineRule="auto"/>
        <w:rPr>
          <w:sz w:val="20"/>
          <w:szCs w:val="20"/>
          <w:color w:val="auto"/>
        </w:rPr>
      </w:pPr>
      <w:r>
        <w:rPr>
          <w:rFonts w:ascii="Times New Roman" w:cs="Times New Roman" w:eastAsia="Times New Roman" w:hAnsi="Times New Roman"/>
          <w:sz w:val="18"/>
          <w:szCs w:val="18"/>
          <w:color w:val="auto"/>
        </w:rPr>
        <w:t>shares (or shares if the underwriters exercise their option to purchase additional shares in full)</w:t>
      </w:r>
    </w:p>
    <w:p>
      <w:pPr>
        <w:spacing w:after="0" w:line="13" w:lineRule="exact"/>
        <w:rPr>
          <w:sz w:val="20"/>
          <w:szCs w:val="20"/>
          <w:color w:val="auto"/>
        </w:rPr>
      </w:pPr>
    </w:p>
    <w:p>
      <w:pPr>
        <w:sectPr>
          <w:pgSz w:w="11900" w:h="16838" w:orient="portrait"/>
          <w:cols w:equalWidth="0" w:num="2">
            <w:col w:w="5200" w:space="540"/>
            <w:col w:w="550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69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We estimate that we will receive net proceeds from the sale of our</w:t>
            </w:r>
          </w:p>
        </w:tc>
      </w:tr>
      <w:tr>
        <w:trPr>
          <w:trHeight w:val="216"/>
        </w:trPr>
        <w:tc>
          <w:tcPr>
            <w:tcW w:w="4340" w:type="dxa"/>
            <w:vAlign w:val="bottom"/>
          </w:tcPr>
          <w:p>
            <w:pPr>
              <w:spacing w:after="0"/>
              <w:rPr>
                <w:sz w:val="18"/>
                <w:szCs w:val="18"/>
                <w:color w:val="auto"/>
              </w:rPr>
            </w:pPr>
          </w:p>
        </w:tc>
        <w:tc>
          <w:tcPr>
            <w:tcW w:w="5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common stock in this offering of approximately $</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million, or</w:t>
            </w:r>
          </w:p>
        </w:tc>
      </w:tr>
      <w:tr>
        <w:trPr>
          <w:trHeight w:val="216"/>
        </w:trPr>
        <w:tc>
          <w:tcPr>
            <w:tcW w:w="4340" w:type="dxa"/>
            <w:vAlign w:val="bottom"/>
          </w:tcPr>
          <w:p>
            <w:pPr>
              <w:spacing w:after="0"/>
              <w:rPr>
                <w:sz w:val="18"/>
                <w:szCs w:val="18"/>
                <w:color w:val="auto"/>
              </w:rPr>
            </w:pPr>
          </w:p>
        </w:tc>
        <w:tc>
          <w:tcPr>
            <w:tcW w:w="21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million if the underwriters fully exercise their option to</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purchase additional shares, assuming an initial public offering price of</w:t>
            </w:r>
          </w:p>
        </w:tc>
      </w:tr>
      <w:tr>
        <w:trPr>
          <w:trHeight w:val="216"/>
        </w:trPr>
        <w:tc>
          <w:tcPr>
            <w:tcW w:w="4340" w:type="dxa"/>
            <w:vAlign w:val="bottom"/>
          </w:tcPr>
          <w:p>
            <w:pPr>
              <w:spacing w:after="0"/>
              <w:rPr>
                <w:sz w:val="18"/>
                <w:szCs w:val="18"/>
                <w:color w:val="auto"/>
              </w:rPr>
            </w:pPr>
          </w:p>
        </w:tc>
        <w:tc>
          <w:tcPr>
            <w:tcW w:w="21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 share, which is the midpoint of the price range set forth</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on the cover page of this prospectus, and after deducting estimated</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underwriting discounts and commissions and offering expenses</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payable by us. We intend to use the net proceeds from this offering,</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together with our existing cash, cash equivalents, and short term</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investments for (i) the completion of our Phase 1/2a trial of CLN-081,</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as well as the initiation of a later stage trial in treatment-experienced</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NSCLC patients with EGFRex20ins mutations; (ii) the advancement</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of CLN-049 and CLN-619 into Phase 1/2a clinical trials for patients</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with advanced solid tumors and r/r AML, respectively; (iii) the</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advancement of CLN-617 and CLN-978 through IND-enabling studies</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and, assuming success of those studies and subject to FDA review of</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an IND submission, the initiation of Phase 1/2a clinical trials; and</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(iv) the continued advancement of our pipeline, including Jade and</w:t>
            </w:r>
          </w:p>
        </w:tc>
      </w:tr>
      <w:tr>
        <w:trPr>
          <w:trHeight w:val="216"/>
        </w:trPr>
        <w:tc>
          <w:tcPr>
            <w:tcW w:w="4340" w:type="dxa"/>
            <w:vAlign w:val="bottom"/>
          </w:tcPr>
          <w:p>
            <w:pPr>
              <w:spacing w:after="0"/>
              <w:rPr>
                <w:sz w:val="18"/>
                <w:szCs w:val="18"/>
                <w:color w:val="auto"/>
              </w:rPr>
            </w:pPr>
          </w:p>
        </w:tc>
        <w:tc>
          <w:tcPr>
            <w:tcW w:w="5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Opal, milestones for previously in-licensed programs, the</w:t>
            </w:r>
          </w:p>
        </w:tc>
        <w:tc>
          <w:tcPr>
            <w:tcW w:w="11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identification and advancement of additional programs and</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development candidates, hiring of additional personnel, and costs of</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operating as a public company. See “Use of Proceeds” for additional</w:t>
            </w:r>
          </w:p>
        </w:tc>
      </w:tr>
      <w:tr>
        <w:trPr>
          <w:trHeight w:val="234"/>
        </w:trPr>
        <w:tc>
          <w:tcPr>
            <w:tcW w:w="4340" w:type="dxa"/>
            <w:vAlign w:val="bottom"/>
          </w:tcPr>
          <w:p>
            <w:pPr>
              <w:spacing w:after="0"/>
              <w:rPr>
                <w:sz w:val="20"/>
                <w:szCs w:val="20"/>
                <w:color w:val="auto"/>
              </w:rPr>
            </w:pPr>
          </w:p>
        </w:tc>
        <w:tc>
          <w:tcPr>
            <w:tcW w:w="5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information.</w:t>
            </w:r>
          </w:p>
        </w:tc>
        <w:tc>
          <w:tcPr>
            <w:tcW w:w="1160" w:type="dxa"/>
            <w:vAlign w:val="bottom"/>
          </w:tcPr>
          <w:p>
            <w:pPr>
              <w:spacing w:after="0"/>
              <w:rPr>
                <w:sz w:val="20"/>
                <w:szCs w:val="20"/>
                <w:color w:val="auto"/>
              </w:rPr>
            </w:pPr>
          </w:p>
        </w:tc>
      </w:tr>
      <w:tr>
        <w:trPr>
          <w:trHeight w:val="265"/>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69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You should read carefully “Risk Factors” beginning on page 15 and other</w:t>
            </w:r>
          </w:p>
        </w:tc>
      </w:tr>
      <w:tr>
        <w:trPr>
          <w:trHeight w:val="216"/>
        </w:trPr>
        <w:tc>
          <w:tcPr>
            <w:tcW w:w="4340" w:type="dxa"/>
            <w:vAlign w:val="bottom"/>
          </w:tcPr>
          <w:p>
            <w:pPr>
              <w:spacing w:after="0"/>
              <w:rPr>
                <w:sz w:val="18"/>
                <w:szCs w:val="18"/>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information included in this prospectus for a discussion of factors that</w:t>
            </w:r>
          </w:p>
        </w:tc>
      </w:tr>
      <w:tr>
        <w:trPr>
          <w:trHeight w:val="234"/>
        </w:trPr>
        <w:tc>
          <w:tcPr>
            <w:tcW w:w="4340" w:type="dxa"/>
            <w:vAlign w:val="bottom"/>
          </w:tcPr>
          <w:p>
            <w:pPr>
              <w:spacing w:after="0"/>
              <w:rPr>
                <w:sz w:val="20"/>
                <w:szCs w:val="20"/>
                <w:color w:val="auto"/>
              </w:rPr>
            </w:pPr>
          </w:p>
        </w:tc>
        <w:tc>
          <w:tcPr>
            <w:tcW w:w="69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you should consider before deciding to invest in our common stock.</w:t>
            </w:r>
          </w:p>
        </w:tc>
      </w:tr>
      <w:tr>
        <w:trPr>
          <w:trHeight w:val="28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Proposed Nasdaq Global Market symbol</w:t>
            </w:r>
          </w:p>
        </w:tc>
        <w:tc>
          <w:tcPr>
            <w:tcW w:w="21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“CGEM”</w:t>
            </w: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0"/>
        </w:trPr>
        <w:tc>
          <w:tcPr>
            <w:tcW w:w="4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604"/>
        </w:trPr>
        <w:tc>
          <w:tcPr>
            <w:tcW w:w="4340" w:type="dxa"/>
            <w:vAlign w:val="bottom"/>
          </w:tcPr>
          <w:p>
            <w:pPr>
              <w:spacing w:after="0"/>
              <w:rPr>
                <w:sz w:val="24"/>
                <w:szCs w:val="24"/>
                <w:color w:val="auto"/>
              </w:rPr>
            </w:pPr>
          </w:p>
        </w:tc>
        <w:tc>
          <w:tcPr>
            <w:tcW w:w="21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11</w:t>
            </w: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53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530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gives effect to the Reorganization and is based on</w:t>
      </w:r>
    </w:p>
    <w:p>
      <w:pPr>
        <w:spacing w:after="0" w:line="27" w:lineRule="exact"/>
        <w:rPr>
          <w:sz w:val="20"/>
          <w:szCs w:val="20"/>
          <w:color w:val="auto"/>
        </w:rPr>
      </w:pPr>
    </w:p>
    <w:p>
      <w:pPr>
        <w:ind w:left="200" w:right="240" w:firstLine="720"/>
        <w:spacing w:after="0" w:line="250" w:lineRule="auto"/>
        <w:rPr>
          <w:sz w:val="20"/>
          <w:szCs w:val="20"/>
          <w:color w:val="auto"/>
        </w:rPr>
      </w:pPr>
      <w:r>
        <w:rPr>
          <w:rFonts w:ascii="Times New Roman" w:cs="Times New Roman" w:eastAsia="Times New Roman" w:hAnsi="Times New Roman"/>
          <w:sz w:val="18"/>
          <w:szCs w:val="18"/>
          <w:color w:val="auto"/>
        </w:rPr>
        <w:t>shares of our common stock (which includes shares of restricted common stock) outstanding as of September 30, 2020, which assumes the exchange of all outstanding units of Cullinan Oncology, LLC as of September 30, 2020 and 66,599,045 Series C preferred units issued</w:t>
      </w:r>
    </w:p>
    <w:p>
      <w:pPr>
        <w:spacing w:after="0" w:line="1" w:lineRule="exact"/>
        <w:rPr>
          <w:sz w:val="20"/>
          <w:szCs w:val="20"/>
          <w:color w:val="auto"/>
        </w:rPr>
      </w:pPr>
    </w:p>
    <w:p>
      <w:pPr>
        <w:ind w:left="200" w:right="200"/>
        <w:spacing w:after="0" w:line="250" w:lineRule="auto"/>
        <w:rPr>
          <w:sz w:val="20"/>
          <w:szCs w:val="20"/>
          <w:color w:val="auto"/>
        </w:rPr>
      </w:pPr>
      <w:r>
        <w:rPr>
          <w:rFonts w:ascii="Times New Roman" w:cs="Times New Roman" w:eastAsia="Times New Roman" w:hAnsi="Times New Roman"/>
          <w:sz w:val="18"/>
          <w:szCs w:val="18"/>
          <w:color w:val="auto"/>
        </w:rPr>
        <w:t>after September 30, 2020 for an aggregate of shares of common stock of our wholly-owned subsidiary Cullinan Management, (which includes shares of restricted common stock) prior to the completion of this offering as if such exchange had occurred as of September 30,</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2020. See the section of the prospectus titled “Reorganization.”</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following the completion of this offering excludes:</w:t>
      </w:r>
    </w:p>
    <w:p>
      <w:pPr>
        <w:spacing w:after="0" w:line="131" w:lineRule="exact"/>
        <w:rPr>
          <w:sz w:val="20"/>
          <w:szCs w:val="20"/>
          <w:color w:val="auto"/>
        </w:rPr>
      </w:pPr>
    </w:p>
    <w:p>
      <w:pPr>
        <w:ind w:left="1160" w:right="200" w:hanging="534"/>
        <w:spacing w:after="0" w:line="282" w:lineRule="auto"/>
        <w:tabs>
          <w:tab w:leader="none" w:pos="19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2021 Stock Option and Incentive Plan, or the 2021 Plan, which will become effective in connection with this offering;</w:t>
      </w:r>
    </w:p>
    <w:p>
      <w:pPr>
        <w:spacing w:after="0" w:line="67" w:lineRule="exact"/>
        <w:rPr>
          <w:rFonts w:ascii="Times New Roman" w:cs="Times New Roman" w:eastAsia="Times New Roman" w:hAnsi="Times New Roman"/>
          <w:sz w:val="18"/>
          <w:szCs w:val="18"/>
          <w:color w:val="auto"/>
        </w:rPr>
      </w:pPr>
    </w:p>
    <w:p>
      <w:pPr>
        <w:ind w:left="1160" w:hanging="534"/>
        <w:spacing w:after="0" w:line="282" w:lineRule="auto"/>
        <w:tabs>
          <w:tab w:leader="none" w:pos="19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2021 Employee Stock Purchase Plan, or 2021 ESPP, which will become effective in connection with this offering;</w:t>
      </w:r>
    </w:p>
    <w:p>
      <w:pPr>
        <w:spacing w:after="0" w:line="67" w:lineRule="exact"/>
        <w:rPr>
          <w:rFonts w:ascii="Times New Roman" w:cs="Times New Roman" w:eastAsia="Times New Roman" w:hAnsi="Times New Roman"/>
          <w:sz w:val="18"/>
          <w:szCs w:val="18"/>
          <w:color w:val="auto"/>
        </w:rPr>
      </w:pPr>
    </w:p>
    <w:p>
      <w:pPr>
        <w:ind w:left="1160" w:right="40" w:hanging="534"/>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32,493, 491 common unit options that were granted pursuant to the 2020 Unit Plan in October 2020 at a weighted average exercise price of $0.61; and</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2,254,231 restricted common units granted pursuant to the Restricted Stock Contribution Agreement.</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Except as otherwise noted, all information in this prospectus assumes or gives effect to:</w:t>
      </w:r>
    </w:p>
    <w:p>
      <w:pPr>
        <w:spacing w:after="0" w:line="131" w:lineRule="exact"/>
        <w:rPr>
          <w:sz w:val="20"/>
          <w:szCs w:val="20"/>
          <w:color w:val="auto"/>
        </w:rPr>
      </w:pPr>
    </w:p>
    <w:p>
      <w:pPr>
        <w:ind w:left="1160" w:hanging="534"/>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Reorganization, including the exchange of all outstanding units of Cullinan Oncology, LLC as of September 30,</w:t>
      </w:r>
    </w:p>
    <w:p>
      <w:pPr>
        <w:sectPr>
          <w:pgSz w:w="11900" w:h="16838" w:orient="portrait"/>
          <w:cols w:equalWidth="0" w:num="1">
            <w:col w:w="11040"/>
          </w:cols>
          <w:pgMar w:left="320" w:top="455" w:right="539" w:bottom="1440" w:gutter="0" w:footer="0" w:header="0"/>
        </w:sectPr>
      </w:pPr>
    </w:p>
    <w:p>
      <w:pPr>
        <w:spacing w:after="0" w:line="27" w:lineRule="exact"/>
        <w:rPr>
          <w:sz w:val="20"/>
          <w:szCs w:val="20"/>
          <w:color w:val="auto"/>
        </w:rPr>
      </w:pPr>
    </w:p>
    <w:p>
      <w:pPr>
        <w:ind w:left="1160" w:right="100"/>
        <w:spacing w:after="0" w:line="250" w:lineRule="auto"/>
        <w:rPr>
          <w:sz w:val="20"/>
          <w:szCs w:val="20"/>
          <w:color w:val="auto"/>
        </w:rPr>
      </w:pPr>
      <w:r>
        <w:rPr>
          <w:rFonts w:ascii="Times New Roman" w:cs="Times New Roman" w:eastAsia="Times New Roman" w:hAnsi="Times New Roman"/>
          <w:sz w:val="18"/>
          <w:szCs w:val="18"/>
          <w:color w:val="auto"/>
        </w:rPr>
        <w:t>2020 and 66,599,045 Series C preferred units issued after September 30, 2020 for an aggregate of shares of common stock of our wholly-owned subsidiary Cullinan Management, (which includes shares of restricted common stock) prior to the</w:t>
      </w:r>
    </w:p>
    <w:p>
      <w:pPr>
        <w:sectPr>
          <w:pgSz w:w="11900" w:h="16838" w:orient="portrait"/>
          <w:cols w:equalWidth="0" w:num="1">
            <w:col w:w="11040"/>
          </w:cols>
          <w:pgMar w:left="320" w:top="455" w:right="539" w:bottom="1440" w:gutter="0" w:footer="0" w:header="0"/>
          <w:type w:val="continuous"/>
        </w:sectPr>
      </w:pP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completion of this offering as if such exchange had occurred as of September 30, 2020, assuming an initial public offering price of</w:t>
      </w:r>
    </w:p>
    <w:p>
      <w:pPr>
        <w:spacing w:after="0" w:line="9" w:lineRule="exact"/>
        <w:rPr>
          <w:sz w:val="20"/>
          <w:szCs w:val="20"/>
          <w:color w:val="auto"/>
        </w:rPr>
      </w:pPr>
    </w:p>
    <w:p>
      <w:pPr>
        <w:ind w:left="1160" w:right="220" w:firstLine="6"/>
        <w:spacing w:after="0" w:line="260" w:lineRule="auto"/>
        <w:tabs>
          <w:tab w:leader="none" w:pos="2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which is the midpoint of the price range set forth on the cover page of this prospectus. See “Reorganization” for further detail;</w:t>
      </w:r>
    </w:p>
    <w:p>
      <w:pPr>
        <w:spacing w:after="0" w:line="87" w:lineRule="exact"/>
        <w:rPr>
          <w:sz w:val="20"/>
          <w:szCs w:val="20"/>
          <w:color w:val="auto"/>
        </w:rPr>
      </w:pPr>
    </w:p>
    <w:p>
      <w:pPr>
        <w:ind w:left="620"/>
        <w:spacing w:after="0"/>
        <w:tabs>
          <w:tab w:leader="none" w:pos="1140" w:val="left"/>
          <w:tab w:leader="none" w:pos="6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 exercise by the underwriters of their option to purchase up to</w:t>
      </w:r>
      <w:r>
        <w:rPr>
          <w:sz w:val="20"/>
          <w:szCs w:val="20"/>
          <w:color w:val="auto"/>
        </w:rPr>
        <w:tab/>
      </w:r>
      <w:r>
        <w:rPr>
          <w:rFonts w:ascii="Times New Roman" w:cs="Times New Roman" w:eastAsia="Times New Roman" w:hAnsi="Times New Roman"/>
          <w:sz w:val="17"/>
          <w:szCs w:val="17"/>
          <w:color w:val="auto"/>
        </w:rPr>
        <w:t>additional shares of our common stock in this offering; and</w:t>
      </w:r>
    </w:p>
    <w:p>
      <w:pPr>
        <w:spacing w:after="0" w:line="131" w:lineRule="exact"/>
        <w:rPr>
          <w:sz w:val="20"/>
          <w:szCs w:val="20"/>
          <w:color w:val="auto"/>
        </w:rPr>
      </w:pPr>
    </w:p>
    <w:p>
      <w:pPr>
        <w:ind w:left="1160" w:right="100" w:hanging="534"/>
        <w:spacing w:after="0" w:line="266"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effective immediately prior to the closing of the offering, and the adoption of our amended and restated bylaws, effective upon the effectiveness of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320" w:top="455" w:right="5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467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7" w:lineRule="exact"/>
        <w:rPr>
          <w:sz w:val="20"/>
          <w:szCs w:val="20"/>
          <w:color w:val="auto"/>
        </w:rPr>
      </w:pPr>
    </w:p>
    <w:p>
      <w:pPr>
        <w:ind w:left="200" w:right="280" w:firstLine="43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information is presented for Cullinan Oncology, LLC, which will merge with and into Cullinan Management, Inc., the entity whose shares are being offered hereby. The summary financial information below should be read in conjunction with the information contained in “Selected Financial Information,” “Management’s Discussion and Analysis of Financial Condition and Results of Operations,” our consolidated financial statements and notes thereto, and other financial information included elsewhere in this prospectus. The consolidated statement of operations and comprehensive loss data for the years ended December 31, 2018 and 2019 have been derived from our audited consolidated financial statements. The consolidated statement of operations and comprehensive loss data for the nine months ended September 30, 2019 and 2020 and the summary consolidated balance sheet data as of September 30, 2020 have been derived from our unaudited condensed consolidated financial statements, both of which are included elsewhere in this prospectus. In the opinion of management, the unaudited financial statements include all adjustments, consisting of only normal and recurring adjustments, necessary for a fair presentation of such financial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tcPr>
          <w:p>
            <w:pPr>
              <w:jc w:val="center"/>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12,986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17,291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(16,923)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Cullinan</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(14,189)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(16,088)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 per unit attributable to common and non-voting incentive unit</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basic and diluted</w:t>
            </w:r>
            <w:r>
              <w:rPr>
                <w:rFonts w:ascii="Times New Roman" w:cs="Times New Roman" w:eastAsia="Times New Roman" w:hAnsi="Times New Roman"/>
                <w:sz w:val="15"/>
                <w:szCs w:val="15"/>
                <w:color w:val="auto"/>
              </w:rPr>
              <w:t>(1)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and non-voting incentive units used in</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computing net loss per unit, basic and diluted</w:t>
            </w:r>
            <w:r>
              <w:rPr>
                <w:rFonts w:ascii="Times New Roman" w:cs="Times New Roman" w:eastAsia="Times New Roman" w:hAnsi="Times New Roman"/>
                <w:sz w:val="15"/>
                <w:szCs w:val="15"/>
                <w:color w:val="auto"/>
              </w:rPr>
              <w:t>(1)</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2,549,865</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6,397,443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6,017,973</w:t>
            </w: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8,960,373</w:t>
            </w:r>
          </w:p>
        </w:tc>
        <w:tc>
          <w:tcPr>
            <w:tcW w:w="12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(14,189)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(16,923)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(16,923)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Cullinan</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(14,189)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(20,661)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(16,088)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 (unaudited)</w:t>
            </w:r>
            <w:r>
              <w:rPr>
                <w:rFonts w:ascii="Times New Roman" w:cs="Times New Roman" w:eastAsia="Times New Roman" w:hAnsi="Times New Roman"/>
                <w:sz w:val="15"/>
                <w:szCs w:val="15"/>
                <w:color w:val="auto"/>
              </w:rPr>
              <w:t>(1)(2)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9"/>
              </w:rPr>
              <w:t>Total weighted-average common stock outstanding used in computing pro</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forma net loss per unit, basic and diluted (unaudited)</w:t>
            </w:r>
            <w:r>
              <w:rPr>
                <w:rFonts w:ascii="Times New Roman" w:cs="Times New Roman" w:eastAsia="Times New Roman" w:hAnsi="Times New Roman"/>
                <w:sz w:val="15"/>
                <w:szCs w:val="15"/>
                <w:color w:val="auto"/>
              </w:rPr>
              <w:t>(1)(2)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80,594,229</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136,285,931</w:t>
            </w:r>
          </w:p>
        </w:tc>
        <w:tc>
          <w:tcPr>
            <w:tcW w:w="12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53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25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right="100" w:hanging="426"/>
        <w:spacing w:after="0" w:line="257"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to our consolidated financial statements and our condensed consolidated financial statements included elsewhere in this prospectus for a description of how we compute net loss per unit attributable to common and non-voting incentive unit holders, basic and diluted, and the weighted-average common and non-voting incentive units used in computation of per unit amounts.</w:t>
      </w:r>
    </w:p>
    <w:p>
      <w:pPr>
        <w:spacing w:after="0" w:line="1" w:lineRule="exact"/>
        <w:rPr>
          <w:rFonts w:ascii="Times New Roman" w:cs="Times New Roman" w:eastAsia="Times New Roman" w:hAnsi="Times New Roman"/>
          <w:sz w:val="18"/>
          <w:szCs w:val="18"/>
          <w:color w:val="auto"/>
        </w:rPr>
      </w:pPr>
    </w:p>
    <w:p>
      <w:pPr>
        <w:ind w:left="620" w:right="80" w:hanging="426"/>
        <w:spacing w:after="0" w:line="25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attributable to common stockholders, basic and diluted (unaudited) and pro forma weighted average common stock outstanding—basic and diluted (unaudited) gives effect to (i) the completion of the Reorganization—see “Reorganization” for further detail and (ii) subsequent to the Reorganization, the conversion of all outstanding shares of our preferred stock into common stock as if such transactions had occurred on the later of the beginning of the period or the issuance of the redeemable preferred units, but does not reflect the transactions described in “The Reorganization-Reorganization Equity Exchange”, nor does it include units from the Series C offering completed in December 2020.</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11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center"/>
              <w:ind w:right="334"/>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4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$ 94,892</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219,592</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1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89,298</w:t>
            </w:r>
          </w:p>
        </w:tc>
        <w:tc>
          <w:tcPr>
            <w:tcW w:w="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213,998</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97,317</w:t>
            </w:r>
          </w:p>
        </w:tc>
        <w:tc>
          <w:tcPr>
            <w:tcW w:w="620" w:type="dxa"/>
            <w:vAlign w:val="bottom"/>
          </w:tcPr>
          <w:p>
            <w:pPr>
              <w:spacing w:after="0"/>
              <w:rPr>
                <w:sz w:val="18"/>
                <w:szCs w:val="18"/>
                <w:color w:val="auto"/>
              </w:rPr>
            </w:pPr>
          </w:p>
        </w:tc>
        <w:tc>
          <w:tcPr>
            <w:tcW w:w="15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222,017</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7,806</w:t>
            </w:r>
          </w:p>
        </w:tc>
        <w:tc>
          <w:tcPr>
            <w:tcW w:w="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7,806</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4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151,811</w:t>
            </w:r>
          </w:p>
        </w:tc>
        <w:tc>
          <w:tcPr>
            <w:tcW w:w="620" w:type="dxa"/>
            <w:vAlign w:val="bottom"/>
          </w:tcPr>
          <w:p>
            <w:pPr>
              <w:spacing w:after="0"/>
              <w:rPr>
                <w:sz w:val="18"/>
                <w:szCs w:val="18"/>
                <w:color w:val="auto"/>
              </w:rPr>
            </w:pPr>
          </w:p>
        </w:tc>
        <w:tc>
          <w:tcPr>
            <w:tcW w:w="15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770</w:t>
            </w:r>
          </w:p>
        </w:tc>
        <w:tc>
          <w:tcPr>
            <w:tcW w:w="620" w:type="dxa"/>
            <w:vAlign w:val="bottom"/>
          </w:tcPr>
          <w:p>
            <w:pPr>
              <w:spacing w:after="0"/>
              <w:rPr>
                <w:sz w:val="18"/>
                <w:szCs w:val="18"/>
                <w:color w:val="auto"/>
              </w:rPr>
            </w:pPr>
          </w:p>
        </w:tc>
        <w:tc>
          <w:tcPr>
            <w:tcW w:w="15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277,261</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(64,993)</w:t>
            </w:r>
          </w:p>
        </w:tc>
        <w:tc>
          <w:tcPr>
            <w:tcW w:w="6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(64,993)</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members’ (deficit), actual; total stockholders’ equity, pro forma and pro</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146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(62,300)</w:t>
            </w:r>
          </w:p>
        </w:tc>
        <w:tc>
          <w:tcPr>
            <w:tcW w:w="620" w:type="dxa"/>
            <w:vAlign w:val="bottom"/>
          </w:tcPr>
          <w:p>
            <w:pPr>
              <w:spacing w:after="0"/>
              <w:rPr>
                <w:sz w:val="20"/>
                <w:szCs w:val="20"/>
                <w:color w:val="auto"/>
              </w:rPr>
            </w:pPr>
          </w:p>
        </w:tc>
        <w:tc>
          <w:tcPr>
            <w:tcW w:w="15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214,211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20" w:right="80" w:hanging="426"/>
        <w:spacing w:after="0" w:line="257"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pro forma balance sheet data give effect to the issuance and sale of 66,599,045 Series C preferred units in December 2020 and the completion of the Reorganization and, subsequent to the Reorganization, the conversion of all outstanding preferred stock into common stock, but does not reflect the transactions described in “The Reorganization-Reorganization Equity Exchange.”</w:t>
      </w:r>
    </w:p>
    <w:p>
      <w:pPr>
        <w:spacing w:after="0" w:line="1" w:lineRule="exact"/>
        <w:rPr>
          <w:sz w:val="20"/>
          <w:szCs w:val="20"/>
          <w:color w:val="auto"/>
        </w:rPr>
      </w:pPr>
    </w:p>
    <w:p>
      <w:pPr>
        <w:ind w:left="200"/>
        <w:spacing w:after="0"/>
        <w:tabs>
          <w:tab w:leader="none" w:pos="600" w:val="left"/>
          <w:tab w:leader="none" w:pos="8900" w:val="left"/>
        </w:tabs>
        <w:rPr>
          <w:sz w:val="20"/>
          <w:szCs w:val="20"/>
          <w:color w:val="auto"/>
        </w:rPr>
      </w:pPr>
      <w:r>
        <w:rPr>
          <w:rFonts w:ascii="Times New Roman" w:cs="Times New Roman" w:eastAsia="Times New Roman" w:hAnsi="Times New Roman"/>
          <w:sz w:val="18"/>
          <w:szCs w:val="18"/>
          <w:color w:val="auto"/>
        </w:rPr>
        <w:t>(2)</w:t>
        <w:tab/>
        <w:t>The pro forma as adjusted consolidated balance sheet data give further effect to our issuance and sale of</w:t>
      </w:r>
      <w:r>
        <w:rPr>
          <w:sz w:val="20"/>
          <w:szCs w:val="20"/>
          <w:color w:val="auto"/>
        </w:rPr>
        <w:tab/>
      </w:r>
      <w:r>
        <w:rPr>
          <w:rFonts w:ascii="Times New Roman" w:cs="Times New Roman" w:eastAsia="Times New Roman" w:hAnsi="Times New Roman"/>
          <w:sz w:val="17"/>
          <w:szCs w:val="17"/>
          <w:color w:val="auto"/>
        </w:rPr>
        <w:t>shares of our common stock</w:t>
      </w:r>
    </w:p>
    <w:p>
      <w:pPr>
        <w:spacing w:after="0" w:line="9" w:lineRule="exact"/>
        <w:rPr>
          <w:sz w:val="20"/>
          <w:szCs w:val="20"/>
          <w:color w:val="auto"/>
        </w:rPr>
      </w:pPr>
    </w:p>
    <w:p>
      <w:pPr>
        <w:ind w:left="620"/>
        <w:spacing w:after="0"/>
        <w:tabs>
          <w:tab w:leader="none" w:pos="6360" w:val="left"/>
        </w:tabs>
        <w:rPr>
          <w:sz w:val="20"/>
          <w:szCs w:val="20"/>
          <w:color w:val="auto"/>
        </w:rPr>
      </w:pPr>
      <w:r>
        <w:rPr>
          <w:rFonts w:ascii="Times New Roman" w:cs="Times New Roman" w:eastAsia="Times New Roman" w:hAnsi="Times New Roman"/>
          <w:sz w:val="18"/>
          <w:szCs w:val="18"/>
          <w:color w:val="auto"/>
        </w:rPr>
        <w:t>offered in this offering at an assumed initial public offering price of $</w:t>
      </w:r>
      <w:r>
        <w:rPr>
          <w:sz w:val="20"/>
          <w:szCs w:val="20"/>
          <w:color w:val="auto"/>
        </w:rPr>
        <w:tab/>
      </w:r>
      <w:r>
        <w:rPr>
          <w:rFonts w:ascii="Times New Roman" w:cs="Times New Roman" w:eastAsia="Times New Roman" w:hAnsi="Times New Roman"/>
          <w:sz w:val="17"/>
          <w:szCs w:val="17"/>
          <w:color w:val="auto"/>
        </w:rPr>
        <w:t>per share, which is the midpoint of the price range set forth on</w:t>
      </w:r>
    </w:p>
    <w:p>
      <w:pPr>
        <w:spacing w:after="0" w:line="9" w:lineRule="exact"/>
        <w:rPr>
          <w:sz w:val="20"/>
          <w:szCs w:val="20"/>
          <w:color w:val="auto"/>
        </w:rPr>
      </w:pPr>
    </w:p>
    <w:p>
      <w:pPr>
        <w:ind w:left="620" w:right="220"/>
        <w:spacing w:after="0" w:line="250" w:lineRule="auto"/>
        <w:rPr>
          <w:sz w:val="20"/>
          <w:szCs w:val="20"/>
          <w:color w:val="auto"/>
        </w:rPr>
      </w:pPr>
      <w:r>
        <w:rPr>
          <w:rFonts w:ascii="Times New Roman" w:cs="Times New Roman" w:eastAsia="Times New Roman" w:hAnsi="Times New Roman"/>
          <w:sz w:val="18"/>
          <w:szCs w:val="18"/>
          <w:color w:val="auto"/>
        </w:rPr>
        <w:t>the cover page of this prospectus, after deducting estimated underwriting discounts and commissions and estimated offering expenses payable by us.</w:t>
      </w:r>
    </w:p>
    <w:p>
      <w:pPr>
        <w:spacing w:after="0" w:line="1" w:lineRule="exact"/>
        <w:rPr>
          <w:sz w:val="20"/>
          <w:szCs w:val="20"/>
          <w:color w:val="auto"/>
        </w:rPr>
      </w:pPr>
    </w:p>
    <w:p>
      <w:pPr>
        <w:ind w:left="620" w:hanging="426"/>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w:t>
      </w:r>
    </w:p>
    <w:p>
      <w:pPr>
        <w:spacing w:after="0" w:line="207" w:lineRule="exact"/>
        <w:rPr>
          <w:sz w:val="20"/>
          <w:szCs w:val="20"/>
          <w:color w:val="auto"/>
        </w:rPr>
      </w:pPr>
    </w:p>
    <w:p>
      <w:pPr>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which is the midpoint of the price range set forth on the cover page of this prospectus, would increase (decrease) the pro forma as adjusted amount of each of cash, working capital, total assets,</w:t>
      </w:r>
    </w:p>
    <w:p>
      <w:pPr>
        <w:jc w:val="both"/>
        <w:ind w:left="200" w:right="80"/>
        <w:spacing w:after="0" w:line="250" w:lineRule="auto"/>
        <w:rPr>
          <w:sz w:val="20"/>
          <w:szCs w:val="20"/>
          <w:color w:val="auto"/>
        </w:rPr>
      </w:pPr>
      <w:r>
        <w:rPr>
          <w:rFonts w:ascii="Times New Roman" w:cs="Times New Roman" w:eastAsia="Times New Roman" w:hAnsi="Times New Roman"/>
          <w:sz w:val="18"/>
          <w:szCs w:val="18"/>
          <w:color w:val="auto"/>
        </w:rPr>
        <w:t>and total stockholders’ equity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w:t>
      </w:r>
    </w:p>
    <w:p>
      <w:pPr>
        <w:spacing w:after="0" w:line="1"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pro forma as adjusted amount of each of cash, working capital, total assets, and total stockholders’ equity by $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prospectus, including our consolidated financial statements and related notes appearing elsewhere in this prospectus and the section of this prospectus titled “Management’s Discussion and Analysis of Financial Condition and Results of Operations” before you make an investment decision.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began substantive operations in 2017, and our operations to date have been limited to organizing and staffing our company, business planning, raising capital for us and our subsidiaries, filing patent applications, identifying and acquiring and investing in potential product candidates, undertaking clinical trials, building our intellectual property portfolio, and establishing arrangements and collaborating with third parties for identification, discovery and research activities, preclinical studies, clinical trials, and the manufacture of initial quantities of our product candidates and component materials. We have not yet demonstrated our ability to successfully conduct late-stage clinical trials, complete any clinical trials, obtain marketing approvals, manufacture a commercial-scale product or arrange for a third party to do so on our behalf, or conduct sales, marketing, and distribution activities necessary for successful product commercialization.</w:t>
      </w:r>
    </w:p>
    <w:p>
      <w:pPr>
        <w:spacing w:after="0" w:line="189"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such as the COVID-19 pandemic. If we decide to commercialize any of our product candidates that may be approved for marketing, we will need to develop commercial infrastructure. We may not be successful in any such transition. Consequently, any predictions you make about our future success or viability may not be as accurate as they could be if we had a longer operating history.</w:t>
      </w:r>
    </w:p>
    <w:p>
      <w:pPr>
        <w:spacing w:after="0" w:line="284"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losses over the next several years and may not be able to achieve or sustain revenues or profitability in the future.</w:t>
      </w:r>
    </w:p>
    <w:p>
      <w:pPr>
        <w:spacing w:after="0" w:line="5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therapeutic candidate will fail to demonstrate adequate efficacy or an acceptable safety profile, gain regulatory approval, and become commercially viable. We are still in the early stages of development of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Cullinan Oncology, LLC’s preferred units and our subsidiaries’ preferred stock.</w:t>
      </w:r>
    </w:p>
    <w:p>
      <w:pPr>
        <w:spacing w:after="0" w:line="187"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in each period since we began substantive operations in September 2017. For the years ended December 31, 2018 and 2019, we reported net losses of $14.2 million and $21.7 million, respectively. For the nine months ended September 30, 2020, we reported a net loss of $30.4 million. As of September 30, 2020, we had an accumulated deficit of $65.0 million. We expect to continue to incur significant losses for the foreseeable future, and we expect these losses to increase substantially if and as we:</w:t>
      </w:r>
    </w:p>
    <w:p>
      <w:pPr>
        <w:spacing w:after="0" w:line="85" w:lineRule="exact"/>
        <w:rPr>
          <w:sz w:val="20"/>
          <w:szCs w:val="20"/>
          <w:color w:val="auto"/>
        </w:rPr>
      </w:pPr>
    </w:p>
    <w:p>
      <w:pPr>
        <w:jc w:val="center"/>
        <w:ind w:left="5540" w:right="560" w:hanging="5087"/>
        <w:spacing w:after="0" w:line="454" w:lineRule="auto"/>
        <w:tabs>
          <w:tab w:leader="none" w:pos="10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investigational new drug applications, or INDs, for our product candidates; 15</w:t>
      </w:r>
    </w:p>
    <w:p>
      <w:pPr>
        <w:sectPr>
          <w:pgSz w:w="11900" w:h="16838" w:orient="portrait"/>
          <w:cols w:equalWidth="0" w:num="1">
            <w:col w:w="11200"/>
          </w:cols>
          <w:pgMar w:left="320" w:top="455" w:right="3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product candidates, including but not limited to CLN-081, CLN-049, and CLN-619;</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67"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temporary precautionary measures to help minimize the risk of COVID-19 to our employees;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pharmaceutical product candidates, particularly during the COVID-19 pandemic, we are unable to predict the extent of any future losses or when we will become profitable, if at all. Even if we succeed in commercializing one or more of our product candidates, we will continue to incur substantial research and development and other expenditures to develop and seek regulatory approval for additional product candidates or additional indications.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members’ equity and working capital.</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be profitable.</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sales, or collaboration or commercial revenue from any of our product candidates. We do not expect to generate significant sales revenue or commercial revenue from the sale or license of one or more of our preclinical programs or product candidates unless or until we successfully complete clinical development and obtain regulatory approval of, and then successfully commercialize, at least one of our product candidates or, alternatively, enter into agreements with third parties for the purchase, collaboration, or license of one of our product candidates. Most of our product candidates are in the preclinical stages of development and will require additional preclinical studies, and all of our product candidates will require additional clinical development, regulatory review and approval, substantial investment, access to sufficient commercial manufacturing capacity, and significant marketing efforts before we can generate any revenue from product sales. Except for CLN-081, we have not yet administered our product candidates in humans and, as such, we face significant translational risk as our preclinical product candidates advance to the clinical stage, if ever, as promising results in preclinical studies may not be replicated in subsequent clinical trials, and testing on animals may not accurately predict human experience. For example, Apollo, our oral small molecule targeting EBNA1, was terminated due to a lack of translation of compelling preclinical pharmacodynamic effect and antitumor activity into patients. Our ability to generate revenue depends on a number of factors, including, but not limited to:</w:t>
      </w:r>
    </w:p>
    <w:p>
      <w:pPr>
        <w:spacing w:after="0" w:line="95" w:lineRule="exact"/>
        <w:rPr>
          <w:sz w:val="20"/>
          <w:szCs w:val="20"/>
          <w:color w:val="auto"/>
        </w:rPr>
      </w:pPr>
    </w:p>
    <w:p>
      <w:pPr>
        <w:ind w:left="1000" w:right="200" w:hanging="54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INDs or comparable applications for our product candidates, including CLN-049, CLN-619, CLN-617 and CLN-978;</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455" w:right="3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2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U.S. Food and Drug Administration, or the FDA, or similar foreign regulatory authorities to conduct additional clinical trials or other studies beyond those planned to support the approval and commercialization of our product candidates or any future product candidates;</w:t>
      </w:r>
    </w:p>
    <w:p>
      <w:pPr>
        <w:spacing w:after="0" w:line="81"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seek and obtain regulatory and marketing approvals for any of our product candidates or any future product candidates for which we complete clinical trials, and such regulatory authorities’ acceptance of our tumor-agnostic development strategy (i.e., our pursuit of approval based on a biomarker rather than a specific cancer indication);</w:t>
      </w:r>
    </w:p>
    <w:p>
      <w:pPr>
        <w:spacing w:after="0" w:line="81"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by patients receiving our product candidates or future product candidates;</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 such as chemotherapy;</w:t>
      </w:r>
    </w:p>
    <w:p>
      <w:pPr>
        <w:spacing w:after="0" w:line="67"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67" w:lineRule="exact"/>
        <w:rPr>
          <w:rFonts w:ascii="Times New Roman" w:cs="Times New Roman" w:eastAsia="Times New Roman" w:hAnsi="Times New Roman"/>
          <w:sz w:val="18"/>
          <w:szCs w:val="18"/>
          <w:color w:val="auto"/>
        </w:rPr>
      </w:pPr>
    </w:p>
    <w:p>
      <w:pPr>
        <w:ind w:left="1000" w:right="20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81" w:lineRule="exact"/>
        <w:rPr>
          <w:rFonts w:ascii="Times New Roman" w:cs="Times New Roman" w:eastAsia="Times New Roman" w:hAnsi="Times New Roman"/>
          <w:sz w:val="18"/>
          <w:szCs w:val="18"/>
          <w:color w:val="auto"/>
        </w:rPr>
      </w:pPr>
    </w:p>
    <w:p>
      <w:pPr>
        <w:ind w:left="1000" w:right="28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for our product candidates or any future product candidates.</w:t>
      </w:r>
    </w:p>
    <w:p>
      <w:pPr>
        <w:spacing w:after="0" w:line="225"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commercial sale of our product candidates or any future product candidates, or from agreements with third parties for the purchase, collaboration, or license of one or more of our product candidates, we may be unable to continue operations without continued funding.</w:t>
      </w:r>
    </w:p>
    <w:p>
      <w:pPr>
        <w:spacing w:after="0" w:line="287" w:lineRule="exact"/>
        <w:rPr>
          <w:sz w:val="20"/>
          <w:szCs w:val="20"/>
          <w:color w:val="auto"/>
        </w:rPr>
      </w:pPr>
    </w:p>
    <w:p>
      <w:pPr>
        <w:ind w:left="4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consummation of this offering, we will still need substantial additional funding. If we are unable to raise capital when needed, we would be compelled to delay, reduce, or eliminate our product development programs or other operations.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 products is capital intensive. We are currently advancing CLN-081 in clinical development and expect to advance CLN-049 and CLN-619 into clinical development in the near term. We expect our expenses to increase in parallel with our ongoing activities, particularly as we continue our discovery, preclinical, and clinical development activities for our current product candidates, identify and invest in new product candidates, and conduct clinical trials of, and seek marketing approval for, our product candidates. In addition, if we obtain marketing approval for and commercialize any of our product candidates, we expect to incur significant commercialization expenses related to product sales, marketing, manufacturing, and distribution. Furthermore, upon the closing of this offering, we expect to incur significant additional costs associated with operating as a public company. Accordingly, we will need to obtain substantial additional</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funding in connection with our continuing operations, which may include raising funding by one or more of our subsidiaries that could dilute our equity interest in the subsidiary.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either by Cullinan Oncology, LLC, or by one or more of our subsidiaries. If we or our subsidiaries are unable to raise capital when needed or on attractive terms, we or the applicable subsidiary would be forced to delay, reduce, or eliminate our identification, discovery, and preclinical or clinical development programs, or any future commercialization efforts.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cash and cash equivalents and short-term investments of $94.9 million as of September 30, 2020. In addition, on December 16, 2020, we</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received $124.7 million from the sale of our Series C preferred units. We estimate that our net proceeds from this offering will be $ , based on an assumed initial public offering price of $ per share, which is the midpoint of the price range set forth on the cover page of this prospectus, after</w:t>
      </w:r>
    </w:p>
    <w:p>
      <w:pPr>
        <w:spacing w:after="0" w:line="1"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deducting estimated underwriting discounts and commissions and estimated offering expenses payable by us. We believe that, based upon our current operating plan, our existing capital resources, together with the net proceeds from this offering will be sufficient to fund our anticipated operations</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into</w:t>
      </w:r>
      <w:r>
        <w:rPr>
          <w:sz w:val="20"/>
          <w:szCs w:val="20"/>
          <w:color w:val="auto"/>
        </w:rPr>
        <w:tab/>
      </w:r>
      <w:r>
        <w:rPr>
          <w:rFonts w:ascii="Times New Roman" w:cs="Times New Roman" w:eastAsia="Times New Roman" w:hAnsi="Times New Roman"/>
          <w:sz w:val="18"/>
          <w:szCs w:val="18"/>
          <w:color w:val="auto"/>
        </w:rPr>
        <w:t>. Our future capital requirements will depend on many factors, including:</w:t>
      </w:r>
    </w:p>
    <w:p>
      <w:pPr>
        <w:spacing w:after="0" w:line="112" w:lineRule="exact"/>
        <w:rPr>
          <w:sz w:val="20"/>
          <w:szCs w:val="20"/>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and clinical trials for our product candidates;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additional collaboration arrangements with regard to product discovery or acquire or in-license products or technologies;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discovery collaborations on favorable terms, if at all;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sales, marketing, manufacturing,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 or from licensing or collaboration agreements pursuant to which we may receive milestone, royalty, or other revenue from third parties developing or commercializing our product candidates; and</w:t>
      </w:r>
    </w:p>
    <w:p>
      <w:pPr>
        <w:spacing w:after="0" w:line="81"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enforcing, and protecting our intellectual property rights and defending intellectual property-related claims.</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3"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In addition, if one of our subsidiaries raises funds through the issuance of its equity securities, our equity interest in such subsidiary could be substantially diminished. If one of our subsidiaries raises additional funds through collaboration and licensing arrangements, it may be necessary to relinquish some rights to our technologies or our product candidates or grant licenses on terms that are not favorable to us.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55" w:right="4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firstLine="449"/>
        <w:spacing w:after="0" w:line="276" w:lineRule="auto"/>
        <w:rPr>
          <w:sz w:val="20"/>
          <w:szCs w:val="20"/>
          <w:color w:val="auto"/>
        </w:rPr>
      </w:pPr>
      <w:r>
        <w:rPr>
          <w:rFonts w:ascii="Times New Roman" w:cs="Times New Roman" w:eastAsia="Times New Roman" w:hAnsi="Times New Roman"/>
          <w:sz w:val="17"/>
          <w:szCs w:val="17"/>
          <w:color w:val="auto"/>
        </w:rPr>
        <w:t>The initial public offering price will be substantially higher than the net tangible book value per share of our common stock. Investors purchasing common stock in this offering will pay a price per share that substantially exceeds the book value of our tangible assets after subtracting our liabilities. As a</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result, investors purchasing common stock in this offering will incur immediate dilution of $ per share, based on the assumed initial public offering price of $ per share, which is the midpoint of the price range set forth on the cover page of this prospectus. Further, investors purchasing common stock in this offering will contribute approximately % of the total amount invested by equity holders since our inception, but will own only approximately % of the total number of shares of our common stock outstanding after this offering.</w:t>
      </w:r>
    </w:p>
    <w:p>
      <w:pPr>
        <w:spacing w:after="0" w:line="18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This dilution is due to our investors who purchased units of Cullinan Oncology, LLC prior to this offering having paid substantially less when they purchased their units than the price offered to the public in this offering, and the grant of restricted units granted to our employees. As a result of the dilution to investors purchasing common stock in this offering, investors may receive significantly less than the purchase price paid in this offering, if anything, in the event of our liquidation. For a further description of the dilution that you will experience immediately after this offering, see the section of this prospectus entitled “Dilution.”</w:t>
      </w:r>
    </w:p>
    <w:p>
      <w:pPr>
        <w:spacing w:after="0" w:line="287"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subsidiaries engage in acquisitions or strategic partnerships, this may increase our or their capital requirements, dilute our or their stockholders, cause us or them to incur debt or assume contingent liabilities, and subject us or them to other risks.</w:t>
      </w:r>
    </w:p>
    <w:p>
      <w:pPr>
        <w:spacing w:after="0" w:line="5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intend to engage in various acquisitions and strategic partnerships in the future, including licensing or acquiring products, intellectual property rights, technologies, or businesses, either by our wholly-owned subsidiary, Cullinan Management, Inc., or Cullinan Management, or by one or more of our wholly- or partially-owned subsidiaries, including a newly-formed subsidiary formed for the purpose of such transaction. Any acquisition or strategic partnership may entail numerous risks to us or the applicable subsidiary, including:</w:t>
      </w:r>
    </w:p>
    <w:p>
      <w:pPr>
        <w:spacing w:after="0" w:line="85" w:lineRule="exact"/>
        <w:rPr>
          <w:sz w:val="20"/>
          <w:szCs w:val="20"/>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which would result in dilution;</w:t>
      </w:r>
    </w:p>
    <w:p>
      <w:pPr>
        <w:spacing w:after="0" w:line="130"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67"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financial and managerial resources from our existing product programs and initiatives in pursuing such an acquisition or strategic partnership;</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7"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conducting research and development activities in new therapeutic areas or treatment modalities in which we have little to no experience;</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negotiating a proposed acquisition, in-license or investment in a timely manner and at a price or on terms and conditions favorable to us;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combining and integrating a potential acquisition into our existing business to fully realize the benefits of such acquisition;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reviews on a proposed acquisition, in-license or investment;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with respect to the proposed acquisition, in-license or investment.</w:t>
      </w:r>
    </w:p>
    <w:p>
      <w:pPr>
        <w:spacing w:after="0" w:line="225"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ind w:left="4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differentiated hub-and-spoke business model to build a pipeline of product candidates with commercial value.</w:t>
      </w:r>
    </w:p>
    <w:p>
      <w:pPr>
        <w:spacing w:after="0" w:line="5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 key element of our strategy is to use our differentiated hub-and-spoke business model to form or seek strategic alliances, create joint ventures or collaborations, or enter into licensing arrangements with third parties for programs, product candidates, technologies or intellectual property that we believe are novel, employ differentiated mechanisms of action, are more advanced in development than competitors, or have a combination of these attributes. We face significant competition in seeking appropriate strategic partners and licensing and acquisition opportunities, and the negotiation process is time-consuming and complex. We may not be successful in our efforts in building a pipeline of product candidates for the treatment of various cancers through acquisitions, licensing or through internal development or in progressing these product candidates through clinical development. Although our research and development efforts to date have resulted in our identification, discovery and preclinical and clinical development of certain of our product candidates, these product candidates may not be safe or effective as cancer treatments, and we may not be able to develop any other product candidates. Although we analyze whether we can replicate scientific results observed prior to our acquisition or investment in a product candidate, we may not be successful in doing so after our investment. Our differentiated hub-and-spoke business model is evolving and may not succeed in building a pipeline of product candidates. For example, we may not be successful in identifying additional genetic mutations which are oncogenic and which can be “basketed” into a group that is large enough to present a sufficient commercial opportunity or that is druggable with one chemical compound. Even if we are successful in building our pipeline of product candidates, the potential product candidates that we identify may not be suitable for clinical development or generate acceptable clinical data, including as a result of unacceptable toxicity or other characteristics that indicate that they are unlikely to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9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While we believe our hub-and-spoke model offers an attractive platform for these transactions and for potential partners, our model is unique and we may not be able to attract or execute transactions with licensors or collaborators who may choose to partner with companies that employ more traditional licensing and collaboration approaches.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 We have terminated programs, and expect to terminate programs in the future if they do not meet our criteria for advancement.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5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subsidiaries are party to certain agreements that provide our licensors, collaborators or other shareholders in our subsidiaries with rights that could delay or impact the potential sale of our subsidiaries or could impact the ability of our subsidiaries to sell assets, or enter into strategic alliances, collaborations or licensing arrangements with other third parties.</w:t>
      </w:r>
    </w:p>
    <w:p>
      <w:pPr>
        <w:spacing w:after="0" w:line="6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Each of our subsidiaries licenses intellectual property from third parties and, other than our wholly-owned subsidiary Cullinan Management, has raised capital from third party investors. These third parties have certain rights that could delay collaboration, licensing or other arrangement with another third party, and the existence of these rights may adversely impact the ability to attract an acquirer or partner. These rights include rights of negotiation and fees payable upon a sale of assets or change of control of a subsidiary that are contained in license agreements, as well as rights such as drag-along rights in agreements with shareholders of the subsidiary.</w:t>
      </w:r>
    </w:p>
    <w:p>
      <w:pPr>
        <w:spacing w:after="0" w:line="18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For example, our partially-owned subsidiary Cullinan Pearl Corp., or Cullinan Pearl, is party to a license agreement, or the Taiho Agreement, with Taiho Pharmaceuticals, Inc., or Taiho, pursuant to which Taiho has a right of negotiation that requires Cullinan Pearl to negotiate in good faith with Taiho prior to proceeding with a transaction to license, sell, assign, transfer or otherwise dispose of a majority of the assets of Cullinan Pearl to a third party, or any transaction with respect to any of the rights licensed from Taiho to Cullinan Pearl. While Cullinan Pearl is not obligated to enter into a transaction with Taiho, the right of negotiation could delay a potential sale or adversely impact our ability to attract a partner or acquirer and could negatively impact prospects for a larger company to acquire Cullinan Pearl or its assets or enter into a collaboration or licensing transaction that would benefit us. Further, Cullinan Pearl must pay Taiho a percentage of the proceeds from the sale, assignment or transfer of less than all or substantially all of Cullinan Pearl’s assets. In addition, our partially-owned subsidiaries Cullinan Florentine Corp., or Cullinan Florentine, and Cullinan Amber Corp., or Cullinan Amber, will also owe licensors a success fee in the event of a sale or other disposition of the majority of its assets. These fees will reduce the net proceeds we receive from any such sale or disposition of assets.</w:t>
      </w:r>
    </w:p>
    <w:p>
      <w:pPr>
        <w:spacing w:after="0" w:line="194"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We have also entered into investor rights and voting agreements with third party investors, which may delay or impact our ability to sell our equity interests in or the assets of our partially-owned subsidiaries. For example, we would need to comply with certain notice and other provisions, such as a drag-along provision in the event of sale of the subsidiary, which may delay or prevent a specific transaction or make transacting with our subsidiaries and us less attractive to third parties. As of December 18, 2020, on a fully-diluted basis, we owned 71% of Cullinan Apollo, 80% of Cullinan Pearl, 90% of Cullinan Amber, 92% of Cullinan Florentine and 24% of Cullinan MICA.</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We may form additional subsidiaries and enter into similar agreements with future partners or investors, or our subsidiaries may enter into further agreements, that in each case may contain similar provisions or other terms that are not favorable to us.</w:t>
      </w:r>
    </w:p>
    <w:p>
      <w:pPr>
        <w:spacing w:after="0" w:line="266"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realize value from our subsidiaries may be impacted if we reduce our ownership to a minority interest or otherwise cede control to other investors through contractual agreements or otherwise.</w:t>
      </w:r>
    </w:p>
    <w:p>
      <w:pPr>
        <w:spacing w:after="0" w:line="5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currently own the majority of the fully-diluted shares outstanding of Cullinan Pearl, Cullinan Florentine, Cullinan Apollo, and Cullinan Amber. Our ownership in Cullinan MICA, which owns intellectual property related to CLN-619, represents 88% of Cullinan MICA’s Series A Senior Preferred Stock, but approximately 24% of its fully-diluted common stock equivalent outstanding as of November 30, 2020. However, we currently can designate three of the five directors of the company and have control over certain corporate actions such as the acquisition of Cullinan MICA by any other corporation or entity, through our majority ownership of the Series A Senior Preferred Stock. Further, we will maintain our Series A Senior Preferred Stock ownership percentage by participating in future milestone dependent closings of the Series A financing (for more information please see Note 5 of our condensed consolidated financial statements).</w:t>
      </w:r>
    </w:p>
    <w:p>
      <w:pPr>
        <w:spacing w:after="0" w:line="18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the event that any of our subsidiaries require additional capital and its respective board of directors authorizes the transaction, our equity interest in our subsidiaries may be further reduced to the extent such additional capital is obtained from third party investors rather than from us. However, such transactions would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still need to be approved by the board of directors of our respective subsidiary over which we maintain full or, in the case of Cullinan MICA, majority control. For example, in the event Cullinan MICA were to undertake a transaction that could lead to further dilution of our interest, such action would still be subject to protective provisions requiring the consent of a majority in interest of the then-outstanding shares of Series A Senior Preferred Stock, or the Protective Voting Rights, including, among other things, any authorization, designation, recapitalization or issuance of any new class or series of stock or any other securities convertible into equity securities of Cullinan MICA. Cullinan Oncology, LLC currently holds a majority of the Series A Senior Preferred Stock. These Protective Voting Rights give holders of Series A Senior Preferred voting control over any actions that would result in redemptions of equity securities.</w:t>
      </w:r>
    </w:p>
    <w:p>
      <w:pPr>
        <w:spacing w:after="0" w:line="18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However, if we do not wish to or cannot provide additional capital to any of our subsidiaries, we may approve of an issuance of equity by a subsidiary that dilutes our ownership and may lose control over the subsidiary. In addition, if the affairs of such minority-owned subsidiaries such as Cullinan MICA were to be conducted in a manner detrimental to the interests or intentions of the Company, our business, reputation, and prospects may be adversely affected. For example, other shareholders of Cullinan MICA could take actions without our consent, including that a majority of shareholders could demand a registration of their shares beginning in April 2025 and such a liquidity event by the other shareholders could have an adverse impact on our investment in the subsidiary.</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single or limited number of subsidiaries may comprise a large proportion of our value.</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A large proportion of our value may at any time reside in one or two of our subsidiaries, including intellectual property rights and the value ascribed to the product candidate or program that it is developing. Our consolidated financial condition and prospects may be materially diminished if the clinical development or potential commercialization prospects of a subsidiary’s product candidate or program or one or more of the intellectual property rights held by a specific subsidiary becomes impaired. Furthermore, a large proportion of our consolidated revenue may at any time be derived from one, or a small number of, licensed technologies, and termination or expiration of licenses to these technologies would likely have a material adverse effect on our consolidated revenue. Any material adverse impact on the value of a particular subsidiary, including its intellectual property rights or the clinical development of its product candidate or program, could have a material adverse effect on our consolidated business, financial condition, results of operations or prospects.</w:t>
      </w:r>
    </w:p>
    <w:p>
      <w:pPr>
        <w:spacing w:after="0" w:line="296" w:lineRule="exact"/>
        <w:rPr>
          <w:sz w:val="20"/>
          <w:szCs w:val="20"/>
          <w:color w:val="auto"/>
        </w:rPr>
      </w:pPr>
    </w:p>
    <w:p>
      <w:pPr>
        <w:ind w:left="4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or fail to recognize or acquire assets that may be more promising than those we acquire. Our resource allocation decisions may cause us to fail to capitalize on viable commercial products or profitable market opportunities. Our spending on current and future identification, discovery, and preclinical development programs and product candidates for specific indications may not yield any commercially viable products.</w:t>
      </w:r>
    </w:p>
    <w:p>
      <w:pPr>
        <w:spacing w:after="0" w:line="291"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central team consisting of a limited number of employees who provide various administrative, research and development, and other services across our organization presents operational challenges that may adversely affect our business.</w:t>
      </w:r>
    </w:p>
    <w:p>
      <w:pPr>
        <w:spacing w:after="0" w:line="5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As of November 30, 2020, we had 17 full-time employees and one part-time employee who are employed by our wholly-owned subsidiary, Cullinan Management, upon which we rely for various administrative, research and development, and other support services shared among our other operating subsidiaries. We also have two consultants who we rely on for research and development, business development, and other services. While we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believe this structure enables us to reduce certain infrastructure costs, the small size of our centralized team may limit our ability to devote adequate personnel, time, and resources to support the operations of all of our subsidiaries, including their research and development activities, and the management of financial, accounting, and reporting matters. Given that our employees and management are primarily incentivized at the parent company level, these employees and management team members may not be sufficiently incentivized to maximize the overall value of our entire organization. If our centralized team fails to provide adequate administrative, research and development, or other services across our entire organization, our business, financial condition, and results of operations could be harmed.</w:t>
      </w:r>
    </w:p>
    <w:p>
      <w:pPr>
        <w:spacing w:after="0" w:line="291" w:lineRule="exact"/>
        <w:rPr>
          <w:sz w:val="20"/>
          <w:szCs w:val="20"/>
          <w:color w:val="auto"/>
        </w:rPr>
      </w:pPr>
    </w:p>
    <w:p>
      <w:pPr>
        <w:ind w:left="46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of our officers and directors currently serve, and in the future may serve, as directors or officers of our subsidiaries, and, as a result, have and may continue to have, fiduciary and other duties to our subsidiaries causing conflicts of interest with respect to their duties to us and their duties to our subsidiaries and in determining how to devote themselves to our affairs and the affairs of our subsidiaries. Our subsidiaries’ partners may also disagree with the sufficiency of resources that we provide to each subsidiary.</w:t>
      </w:r>
    </w:p>
    <w:p>
      <w:pPr>
        <w:spacing w:after="0" w:line="7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Certain of our officers, including our CEO and director, Owen Hughes, and our Chief Scientific Officer, Leigh Zawel, are also directors and/or officers of one or more of our subsidiaries and, as a result, have fiduciary or other duties both to us and our subsidiaries. The conflicts of interest that arise from such duties could interfere with the management of our subsidiaries and their programs and product candidates, or result in disagreements with our subsidiaries’ partners. For example, an individual who is both a director of one of our subsidiaries and a director of Cullinan Oncology, LLC owes fiduciary duties to the subsidiary and to the Company as a whole, and such individual may encounter circumstances in which his or her decision or action may benefit the subsidiary while having a detrimental impact on the Company, or vice versa, or on another subsidiary, including one for which he or she also serves as a director. Further, our officers and directors who are also officers and directors of our subsidiaries will need to allocate his or her time to responsibilities owed to Cullinan Oncology, LLC, Cullinan Management and each of the subsidiaries for which he or she serves as an officer or director, and will make decisions on behalf of one entity that may negatively impact others. In addition, while most of our subsidiaries have waived any interest or expectation of corporate opportunities that is presented to, or acquired, created or developed by, or which otherwise comes into possession of any director or officer who is also a director or officer of Cullinan Oncology, LLC, disputes could arise between us and our subsidiary’s partners regarding a conflict of interest. These partners also may disagree with the amount and quality of resources that our officers and employees devote to the subsidiary they are invested in. Any such disputes or disagreements could distract our management, interfere with our relations with our partners, and take significant time to resolve, which could disrupt the development of our product candidates, delay our potential commercialization efforts, result in increased costs or make it less likely that other third parties will choose to partner with us in the future.</w:t>
      </w:r>
    </w:p>
    <w:p>
      <w:pPr>
        <w:spacing w:after="0" w:line="300"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outsource, and intend to continue to outsource, nearly all our discovery, clinical development, and manufacturing functions to third-party providers or consultants. Outsourcing these functions has significant risks, and our failure to manage these risks successfully could materially adversely affect our business, results of operations, and financial condition.</w:t>
      </w:r>
    </w:p>
    <w:p>
      <w:pPr>
        <w:spacing w:after="0" w:line="6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business model relies upon the use of third parties, such as vendors and consultants, to conduct our drug discovery, preclinical testing, clinical trials, manufacturing, and all other aspects of clinical development. While our reliance on third parties allows us to purposely employ a small number of full–time employees, we may not effectively manage and oversee the third parties that our business depends upon and we have less control over our operations due to our reliance on third parties. While we believe our business model significantly reduces overhead cost, we may not realize the efficiencies of this arrangement if we are unable to effectively manage third parties or if our limited number of employees are unable to manage the operations of each of our subsidiaries, including the development of their programs and product candidates. The failure to successfully and efficiently outsource operational functions or appropriately manage the operations of our subsidiaries could materially adversely affect our business, results of operations, and financial condition.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ind w:left="4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including CLN-081, CLN-049, and CLN-619, we must demonstrate the safety and efficacy of our investigational product candidates for use in each target indication through lengthy, complex, and expensive preclinical studies and clinical trials. Failure can occur at any time during the preclinical study and clinical trial processes, and, because our product candidates are in an early stage of development, there is a high risk of failure and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certain of our product candidates and are in early stages of clinical trials for CLN-081,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9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 stage testing for treating cancer have later been found to cause side effects that prevented further development of the compound. In addition to our ongoing clinical trial of CLN-081, patients have been, and will likely continue to be, treated with CLN-081 under an expanded access or “compassionate use” program. To the extent the experiences of patients being treated in this program are inconsistent with or less favorable than the results of our ongoing or planned company-sponsored trials with CLN-081, it may negatively affect perceptions of CLN-081, our other product candidates, or our business. In addition, the FDA or foreign regulatory authorities may require us to obtain and submit additional clinical data due to these inconsistent or unfavorable results, which could delay clinical development or marketing approval of CLN-081 or potentially our other product candidates.</w:t>
      </w:r>
    </w:p>
    <w:p>
      <w:pPr>
        <w:spacing w:after="0" w:line="298" w:lineRule="exact"/>
        <w:rPr>
          <w:sz w:val="20"/>
          <w:szCs w:val="20"/>
          <w:color w:val="auto"/>
        </w:rPr>
      </w:pPr>
    </w:p>
    <w:p>
      <w:pPr>
        <w:ind w:left="46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preclinical, and clinical development is focused on the development of targeted oncology and immuno-oncology therapeutic candidates for cancer patients, and our approach to the identification, discovery, and development of product candidates is novel and may never lead to marketable products.</w:t>
      </w:r>
    </w:p>
    <w:p>
      <w:pPr>
        <w:spacing w:after="0" w:line="67"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discover and develop targeted oncology and immuno-oncology therapeutic candidates for cancer patients are relatively new. The scientific evidence to support the feasibility of developing product candidates based on these discoveries is both preliminary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limited. The patient populations for certain of our product candidates are limited to those with specific target mutations, and we will need to screen and identify these patients with the targeted mutations. Successful identification of patients is dependent on several factors, including achieving certainty as to how specific genetic alterations and larger classes of mutations, such as epidermal growth factor receptor, or EGFR, Exon 20 mutations, respond to our product candidates, and developing companion diagnostics to identify such genetic alterations. Furthermore, even if we are successful in identifying patients, we cannot be certain that the resulting patient populations for each mutation or class of mutations will be large enough to allow us to successfully obtain indications for each mutation type and to commercialize our products and achieve profitability. The FDA and other regulatory authorities may not agree with our approach to seek labeling for groups of related mutations, rather than individual mutations, and may require us to conduct additional trials and obtain separate approvals for each individual mutation, which may further affect our ability to successfully commercialize our products, if approved. In addition, even if our approach is successful in showing clinical benefit for tumors harboring certain targeted mutations, we may never successfully identify additional oncogenic mutations. Therefore, we do not know if our approach of treating patients with targeted oncology and immuno-oncology therapies will be successful, and if our approach is unsuccessful, our business will suffer.</w:t>
      </w:r>
    </w:p>
    <w:p>
      <w:pPr>
        <w:spacing w:after="0" w:line="296" w:lineRule="exact"/>
        <w:rPr>
          <w:sz w:val="20"/>
          <w:szCs w:val="20"/>
          <w:color w:val="auto"/>
        </w:rPr>
      </w:pPr>
    </w:p>
    <w:p>
      <w:pPr>
        <w:jc w:val="both"/>
        <w:ind w:left="4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p>
    <w:p>
      <w:pPr>
        <w:spacing w:after="0" w:line="6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clinical development of our product candidates for certain indications, we may engage third parties to develop or obtain access to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tests to identify patient subsets within a disease category who may derive benefit from our product candidates, as we are targeting certain genetically defined populations for our treatments.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European Medicines Agency, or EMA, and other regulatory authorities as medical devices and require separate regulatory approval prior to commercialization.</w:t>
      </w:r>
    </w:p>
    <w:p>
      <w:pPr>
        <w:spacing w:after="0" w:line="187"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Given our limited experience in developing and commercializing diagnostics, 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or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results of earlier studies and trials may not be predictive of future preclinical studies or clinical trial results. We may encounter substantial delays in preclinical and clinical trials, or may not be able to conduct or complete preclinical or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5"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A number of companies in the pharmaceutical and biotechnology industries have suffered significant setbacks in later stage clinical trials even after achieving promising results in earlier stage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our Phase 1/2a clinical trial of CLN-081 includes an open-label dosing design, the results from this clinical trial may not be predictive of future clinical trial results with this or other product candidates for which we conduct an open-label clinical trial when studied in a controlled environment with a placebo or active control.</w:t>
      </w:r>
    </w:p>
    <w:p>
      <w:pPr>
        <w:spacing w:after="0" w:line="190"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enroll an adequate number of subjects on time, or be completed on schedule, if at all. We may experience numerous adverse or unforeseen events during, or as a result of, preclinical studies and clinical trials that could delay or terminate our trials, or delay or prevent our ability to receive marketing approval or commercialize our product candidates, including:</w:t>
      </w:r>
    </w:p>
    <w:p>
      <w:pPr>
        <w:spacing w:after="0" w:line="89" w:lineRule="exact"/>
        <w:rPr>
          <w:sz w:val="20"/>
          <w:szCs w:val="20"/>
          <w:color w:val="auto"/>
        </w:rPr>
      </w:pPr>
    </w:p>
    <w:p>
      <w:pPr>
        <w:ind w:left="1000" w:right="360" w:hanging="54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including our ability to commence a clinical trial;</w:t>
      </w:r>
    </w:p>
    <w:p>
      <w:pPr>
        <w:spacing w:after="0" w:line="67" w:lineRule="exact"/>
        <w:rPr>
          <w:rFonts w:ascii="Times New Roman" w:cs="Times New Roman" w:eastAsia="Times New Roman" w:hAnsi="Times New Roman"/>
          <w:sz w:val="18"/>
          <w:szCs w:val="18"/>
          <w:color w:val="auto"/>
        </w:rPr>
      </w:pPr>
    </w:p>
    <w:p>
      <w:pPr>
        <w:jc w:val="both"/>
        <w:ind w:left="1000" w:right="40" w:hanging="547"/>
        <w:spacing w:after="0" w:line="312"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or be delayed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55"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add or be delayed in adding a sufficient number of clinical trial sites and obtaining Institutional Review Board, or IRB, or independent ethics committee approval at each clinical trial site;</w:t>
      </w:r>
    </w:p>
    <w:p>
      <w:pPr>
        <w:spacing w:after="0" w:line="67" w:lineRule="exact"/>
        <w:rPr>
          <w:rFonts w:ascii="Times New Roman" w:cs="Times New Roman" w:eastAsia="Times New Roman" w:hAnsi="Times New Roman"/>
          <w:sz w:val="18"/>
          <w:szCs w:val="18"/>
          <w:color w:val="auto"/>
        </w:rPr>
      </w:pPr>
    </w:p>
    <w:p>
      <w:pPr>
        <w:ind w:left="1000" w:right="22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abandon our research efforts for our other product candidates;</w:t>
      </w:r>
    </w:p>
    <w:p>
      <w:pPr>
        <w:spacing w:after="0" w:line="81"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spacing w:after="0" w:line="67" w:lineRule="exact"/>
        <w:rPr>
          <w:rFonts w:ascii="Times New Roman" w:cs="Times New Roman" w:eastAsia="Times New Roman" w:hAnsi="Times New Roman"/>
          <w:sz w:val="18"/>
          <w:szCs w:val="18"/>
          <w:color w:val="auto"/>
        </w:rPr>
      </w:pPr>
    </w:p>
    <w:p>
      <w:pPr>
        <w:ind w:left="100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our clinical trials or fail to return for post-treatment follow-up at a higher rate than we anticipate;</w:t>
      </w:r>
    </w:p>
    <w:p>
      <w:pPr>
        <w:spacing w:after="0" w:line="81" w:lineRule="exact"/>
        <w:rPr>
          <w:rFonts w:ascii="Times New Roman" w:cs="Times New Roman" w:eastAsia="Times New Roman" w:hAnsi="Times New Roman"/>
          <w:sz w:val="18"/>
          <w:szCs w:val="18"/>
          <w:color w:val="auto"/>
        </w:rPr>
      </w:pPr>
    </w:p>
    <w:p>
      <w:pPr>
        <w:jc w:val="both"/>
        <w:ind w:left="100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spacing w:after="0" w:line="81" w:lineRule="exact"/>
        <w:rPr>
          <w:rFonts w:ascii="Times New Roman" w:cs="Times New Roman" w:eastAsia="Times New Roman" w:hAnsi="Times New Roman"/>
          <w:sz w:val="18"/>
          <w:szCs w:val="18"/>
          <w:color w:val="auto"/>
        </w:rPr>
      </w:pPr>
    </w:p>
    <w:p>
      <w:pPr>
        <w:ind w:left="1000" w:right="60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experiences delays or challenges in identifying patients with the mutations required for our clinical trials, we may have to reimburse sites for genetic sequencing costs in order to encourage sequencing of additional patients;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having subjects complete a clinical trial or return for post-treatment follow-up;</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clinical trial protocol or drop out of a clinical trial;</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or be delayed in obtaining sufficient product supply of product candidate for use in preclinical studies or clinical trials from third-party suppliers;</w:t>
      </w:r>
    </w:p>
    <w:p>
      <w:pPr>
        <w:spacing w:after="0" w:line="67" w:lineRule="exact"/>
        <w:rPr>
          <w:rFonts w:ascii="Times New Roman" w:cs="Times New Roman" w:eastAsia="Times New Roman" w:hAnsi="Times New Roman"/>
          <w:sz w:val="18"/>
          <w:szCs w:val="18"/>
          <w:color w:val="auto"/>
        </w:rPr>
      </w:pPr>
    </w:p>
    <w:p>
      <w:pPr>
        <w:ind w:left="1000" w:right="32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product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collaborators may conduct clinical trials in ways they view as advantageous to them but that are suboptimal for us.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we currently contemplate, if we are unable to successfully complete clinical trials of our product candidates or other testing, if the results of these studies, trials or tests are not positive or are only moderately positive or if there are safety concerns, our business and results of operations may be adversely affected and we may incur significant additional costs.</w:t>
      </w:r>
    </w:p>
    <w:p>
      <w:pPr>
        <w:spacing w:after="0" w:line="18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ethics committees of the institutions in which such clinical trials are being conducted, by the Data Safety Monitoring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Board, if any, for such clinical trial or by the FDA or other regulatory authorities. Such authorities may suspend, place on clinical hold,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unforeseen safety issues or adverse side effects, failure to demonstrate a benefit from the product candidates, changes in governmental regulations or administrative actions or lack of adequate funding to continue the clinical trial.</w:t>
      </w:r>
    </w:p>
    <w:p>
      <w:pPr>
        <w:spacing w:after="0" w:line="183"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If a sufficient number of our product candidates generally prove to be ineffective, unsafe or commercially unviable, our entire pipeline may have little, if any, value, which would have a material and adverse effect on our business, financial condition, results of operations and prospects.</w:t>
      </w:r>
    </w:p>
    <w:p>
      <w:pPr>
        <w:spacing w:after="0" w:line="266" w:lineRule="exact"/>
        <w:rPr>
          <w:sz w:val="20"/>
          <w:szCs w:val="20"/>
          <w:color w:val="auto"/>
        </w:rPr>
      </w:pPr>
    </w:p>
    <w:p>
      <w:pPr>
        <w:ind w:left="46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are substantially dependent on our lead targeted oncology product candidate, CLN-081, and our most advanced immuno-oncology product candidates, CLN-049 and CLN-619. If we are unable to advance CLN-081, CLN-049, or CLN-619, or any of our other product candidates through clinical development, or to obtain regulatory approval and ultimately commercialize CLN-081, CLN-049, or CLN-619, or any of our other product candidates, either by ourselves or with or by third parties or if we experience significant delays in doing so, our business will be materially harmed.</w:t>
      </w:r>
    </w:p>
    <w:p>
      <w:pPr>
        <w:spacing w:after="0" w:line="7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Our lead targeted oncology program, CLN-081 is in a Phase 1/2a clinical trial. Our most advanced immuno-oncology programs, CLN-049 and CLN-619, are currently in preclinical development. Our ability to generate product revenues, which we do not expect will occur for many years, if ever, will depend heavily on the successful clinical development and eventual commercialization of CLN-081, CLN-049, and CLN-619, and one or more of our other product candidates, if approved. The success of our product candidates will depend on several factors, including the following:</w:t>
      </w:r>
    </w:p>
    <w:p>
      <w:pPr>
        <w:spacing w:after="0" w:line="89" w:lineRule="exact"/>
        <w:rPr>
          <w:sz w:val="20"/>
          <w:szCs w:val="20"/>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30"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 acceptance of and maintenance of INDs or comparable foreign applications that allow commencement and continuation of our planned clinical trials or future clinical trials;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of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30" w:lineRule="exact"/>
        <w:rPr>
          <w:rFonts w:ascii="Times New Roman" w:cs="Times New Roman" w:eastAsia="Times New Roman" w:hAnsi="Times New Roman"/>
          <w:sz w:val="18"/>
          <w:szCs w:val="18"/>
          <w:color w:val="auto"/>
        </w:rPr>
      </w:pPr>
    </w:p>
    <w:p>
      <w:pPr>
        <w:jc w:val="both"/>
        <w:ind w:left="1000" w:right="120" w:hanging="54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preclinical and clinical trials that support a demonstration of safety and effectiveness and an acceptable-risk benefit profile for our product candidates that are satisfactory to the FDA or any foreign regulatory authority for marketing approval in the intended population;</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and any companion diagnostics from applicable regulatory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our products following approval.</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in our ability to successfully commercialize product candidates, or be unable to commercialize product candidates at all. If we are unable to advance our preclinical stage product candidates, including CLN-049 and CLN-619, to clinical development, successfully complete clinical trials for our product candidates, obtain regulatory approval, and ultimately commercialize our product candidates, our business will be materially harmed.</w:t>
      </w:r>
    </w:p>
    <w:p>
      <w:pPr>
        <w:spacing w:after="0" w:line="180"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There is no guarantee that the results obtained in current preclinical studies, our ongoing and planned clinical trials in EGFR exon 20 insertion mutation non-small-cell lung carcinoma, or NSCLC patients for CLN-081 or, subject to submission to and receipt of authorization from applicable regulatory authorities, our planned dose escalation trials in patients with hematological cancer and solid tumors in CLN-049 and CLN-619, respectively, will be sufficient to obtain regulatory approval or marketing authorization for such product candidates. For example, the FDA may require us to complete trials in addition to our ongoing Phase 1/2a trial prior to granting regulatory approval. Although we believe our product candidates and programs are uncorrelated, negative results in the development process of one product candidate could impact other product candidates or programs. For each of our product candidates, antitumor activity may be different in each of the different tumor types we plan on evaluating in our clinical trials. Even as we build clinical experience with our product candidates, we may need to further discuss or meet with the FDA to agree on the optimal patient population, study design, and size for each trial in order to obtain regulatory approval, any of which may require significant additional resources and delay the timing of our clinical trials and ultimately the approval, if any, of any of our product candidates.</w:t>
      </w:r>
    </w:p>
    <w:p>
      <w:pPr>
        <w:spacing w:after="0" w:line="298" w:lineRule="exact"/>
        <w:rPr>
          <w:sz w:val="20"/>
          <w:szCs w:val="20"/>
          <w:color w:val="auto"/>
        </w:rPr>
      </w:pPr>
    </w:p>
    <w:p>
      <w:pPr>
        <w:ind w:left="46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Difficulty in enrolling patients could delay or prevent clinical trials of our product candidates, and ultimately delay or prevent regulatory approval.</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or as needed to provide appropriate statistical power for a given trial. In particular, because we are focused on patients with specific genetic mutations for the development of CLN-081, our ability to enroll eligible patients may be limited or enrollment may be slower than we anticipate due to the small eligible patient population. In addition, the target population we are seeking to treat may be smaller than expected, as we cannot be certain how many patients will</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5"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harbor the EGFR exon 20 insertion mutations that CLN-081 is designed to target. In addition, our ability to enroll patients may be significantly delayed by the evolving COVID-19 pandemic and we do not know the extent and scope of such delays at this point.</w:t>
      </w:r>
    </w:p>
    <w:p>
      <w:pPr>
        <w:spacing w:after="0" w:line="162"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potentially small populations, the eligibility criteria of our planned clinical trials will further limit the pool of available study participants as we will require that patients have specific characteristics, such as a certain severity or stage of disease progression, to include them in a study. Additionally, the process of finding eligible patients may prove costly. We also may not be able to identify, recruit, and enroll a sufficient number of patients to complete our clinical studies because of the perceived risks and benefits of the product candidate under study, the availability and efficacy of competing therapies and clinical trials, the proximity and availability of clinical study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 and</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current or potential pandemics that may limit patients, principal investigators or staff or clinical site availability (e.g., the COVID-19 pandemic).</w:t>
      </w:r>
    </w:p>
    <w:p>
      <w:pPr>
        <w:spacing w:after="0" w:line="162"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19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66" w:lineRule="exact"/>
        <w:rPr>
          <w:sz w:val="20"/>
          <w:szCs w:val="20"/>
          <w:color w:val="auto"/>
        </w:rPr>
      </w:pPr>
    </w:p>
    <w:p>
      <w:pPr>
        <w:ind w:left="4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or preliminary data from clinical trials are subject to the risk that one or more of the clinical outcomes may materially change as patient enrollment and treatment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88"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0"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or IND amendments to commence additional clinical trials on the timelines we expect, and even if we are able to, the FDA or foreign regulatory authorities may not permit us to proceed.</w:t>
      </w:r>
    </w:p>
    <w:p>
      <w:pPr>
        <w:spacing w:after="0" w:line="159" w:lineRule="exact"/>
        <w:rPr>
          <w:sz w:val="20"/>
          <w:szCs w:val="20"/>
          <w:color w:val="auto"/>
        </w:rPr>
      </w:pPr>
    </w:p>
    <w:p>
      <w:pPr>
        <w:ind w:right="80" w:firstLine="449"/>
        <w:spacing w:after="0" w:line="271" w:lineRule="auto"/>
        <w:rPr>
          <w:sz w:val="20"/>
          <w:szCs w:val="20"/>
          <w:color w:val="auto"/>
        </w:rPr>
      </w:pPr>
      <w:r>
        <w:rPr>
          <w:rFonts w:ascii="Times New Roman" w:cs="Times New Roman" w:eastAsia="Times New Roman" w:hAnsi="Times New Roman"/>
          <w:sz w:val="17"/>
          <w:szCs w:val="17"/>
          <w:color w:val="auto"/>
        </w:rPr>
        <w:t>We submitted our IND for CLN-081 in May 2019, which was allowed to proceed by the FDA in June 2019; however, we may not be able to file future INDs for our product candidates, including CLN-049 and CLN-619, on the timelines we expect. For example, we may experience manufacturing delays or other delays with IND-enabling studies or FDA or other regulatory authorities may require additional preclinical studies that we did not anticipate. Moreover, we cannot be sure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FDA or other regulatory authorities agree with the design and implementation of the clinical trials set forth in an IND, we cannot guarantee that they will not change their requirements or expectations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77"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CLN-619 and potentially other product candidates in combination with other therapies, which exposes us to additional risks.</w:t>
      </w:r>
    </w:p>
    <w:p>
      <w:pPr>
        <w:spacing w:after="0" w:line="5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We intend to develop CLN-619 and potentially other product candidates in combination with one or more approved or unapproved therapies to treat cancer or other diseases. Even if any product candidate we develop were to receive marketing approval for use in combination with other approved therapies, the FDA, the EMA,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comparable foreign regulatory authorities outside of the United States could still revoke approval of the therapy used in combination with our product. If the therapies used in combination with our product candidates are replaced as the standard of care for the indications we choose for any of our product candidates, the FDA,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0" w:lineRule="exact"/>
        <w:rPr>
          <w:sz w:val="20"/>
          <w:szCs w:val="20"/>
          <w:color w:val="auto"/>
        </w:rPr>
      </w:pPr>
    </w:p>
    <w:p>
      <w:pPr>
        <w:ind w:right="380" w:firstLine="449"/>
        <w:spacing w:after="0" w:line="261" w:lineRule="auto"/>
        <w:rPr>
          <w:sz w:val="20"/>
          <w:szCs w:val="20"/>
          <w:color w:val="auto"/>
        </w:rPr>
      </w:pPr>
      <w:r>
        <w:rPr>
          <w:rFonts w:ascii="Times New Roman" w:cs="Times New Roman" w:eastAsia="Times New Roman" w:hAnsi="Times New Roman"/>
          <w:sz w:val="18"/>
          <w:szCs w:val="18"/>
          <w:color w:val="auto"/>
        </w:rPr>
        <w:t>Further, we will not be able to market and sell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80"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280" w:lineRule="exact"/>
        <w:rPr>
          <w:sz w:val="20"/>
          <w:szCs w:val="20"/>
          <w:color w:val="auto"/>
        </w:rPr>
      </w:pPr>
    </w:p>
    <w:p>
      <w:pPr>
        <w:ind w:left="4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delay or prevent their regulatory approval, limit their commercial potential or result in significant negative consequences following any potential marketing approval.</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product candidates may cause undesirable side effects. Additionally, the administration process or related procedures also can cause adverse side effects. Adverse events that occur in our trials may cause us, or cause the FDA, the EMA or other regulatory authorities, or IRBs to order us to halt, delay or amend preclinical development or clinical development of our product candidates and could result in more restrictive labelling or the denial of regulatory approval of our product candidates for any or all targeted indications. Even if serious adverse events are unrelated to study treatment, such occurrences could affect patient enrollment or the ability of enrolled patients to complete the trial. In addition, if any of our product candidates are tested or used in combination with other drugs, such as our plans to potentially use CLN-619 in combination with other agents, these combinations may have additional side effects, which could be more severe than those caused by either therapy alone.</w:t>
      </w:r>
    </w:p>
    <w:p>
      <w:pPr>
        <w:spacing w:after="0" w:line="18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drug. For example, while we believe that CLN-081 has demonstrated a manageable tolerability profile thus far, there can be no assurance that it or any of our other product candidates will not cause more severe side effects in a greater proportion of patients.</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Moreover, if we elect, or are required, to delay, suspend or terminate any clinical trial of any of our product candidates, the commercial prospects of such product candidates or our other product candidates may be harmed, and our ability to generate product revenues from any of these product candidates may be delayed or eliminated. Any of these occurrences may harm our ability to develop other product candidates and may harm our business, financial condition, results of operations, and prospects significantly.</w:t>
      </w:r>
    </w:p>
    <w:p>
      <w:pPr>
        <w:spacing w:after="0" w:line="180"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If our product candidates receive marketing approval and we or others identify undesirable side effects caused by such product candidates (or any other similar drugs or biologics) after such approval, a number of potentially significant negative consequences could result, including:</w:t>
      </w:r>
    </w:p>
    <w:p>
      <w:pPr>
        <w:spacing w:after="0" w:line="67" w:lineRule="exact"/>
        <w:rPr>
          <w:sz w:val="20"/>
          <w:szCs w:val="20"/>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130" w:lineRule="exact"/>
        <w:rPr>
          <w:rFonts w:ascii="Times New Roman" w:cs="Times New Roman" w:eastAsia="Times New Roman" w:hAnsi="Times New Roman"/>
          <w:sz w:val="18"/>
          <w:szCs w:val="18"/>
          <w:color w:val="auto"/>
        </w:rPr>
      </w:pPr>
    </w:p>
    <w:p>
      <w:pPr>
        <w:ind w:left="5540" w:right="1660" w:hanging="5087"/>
        <w:spacing w:after="0" w:line="454" w:lineRule="auto"/>
        <w:tabs>
          <w:tab w:leader="none" w:pos="10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32</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67"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280" w:lineRule="exact"/>
        <w:rPr>
          <w:sz w:val="20"/>
          <w:szCs w:val="20"/>
          <w:color w:val="auto"/>
        </w:rPr>
      </w:pPr>
    </w:p>
    <w:p>
      <w:pPr>
        <w:ind w:left="4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the number of patients that have been and will be dosed in our Phase 1/2a clinical trial of CLN-081, and that we plan to dose in our future clinical trials, is small, the results from such clinical trials, once completed, may be less reliable than results achieved in larger clinical trials, which may hinder our efforts to obtain regulatory approval for our product candidates.</w:t>
      </w:r>
    </w:p>
    <w:p>
      <w:pPr>
        <w:spacing w:after="0" w:line="67"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The preliminary results of clinical trials with smaller sample sizes, such as our Phase 1/2a clinical trial of CLN-081, can be disproportionately influenced by various biases associated with the conduct of small clinical trials, such as the potential failure of the smaller sample size to accurately depict the characteristics of the broader patient population, which limits the ability to generalize the results across a broader community, thus making the clinical trial results less reliable than clinical trials with a larger number of patients. As a result, there may be less certainty that such product candidates would achieve a statistically significant effect in any future clinical trials. Further, the FDA or other regulatory authorities may require us to conduct additional and larger trials than we may plan to support applications for marketing authorization. If we conduct any future clinical trials of CLN-081 or other of our product candidates, we may not achieve a positive or statistically significant result or the same level of statistical significance, if any, that we might have anticipated based on prior results.</w:t>
      </w:r>
    </w:p>
    <w:p>
      <w:pPr>
        <w:spacing w:after="0" w:line="296" w:lineRule="exact"/>
        <w:rPr>
          <w:sz w:val="20"/>
          <w:szCs w:val="20"/>
          <w:color w:val="auto"/>
        </w:rPr>
      </w:pPr>
    </w:p>
    <w:p>
      <w:pPr>
        <w:ind w:left="4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clinical trials for product candidates outside the United States, and the FDA and comparable foreign regulatory authorities may not accept data from such trials.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are evaluating CLN-081 in a global Phase 1/2a trial in patients with NSCLC harboring EGFR exon 20 insertion mutations. We may also in the future choose to conduct one or more additional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If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foreign trials are subject to the applicable local laws of the foreign jurisdictions where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trials are conducted. We would need to conduct additional trials if the FDA or any comparable foreign regulatory authority does not accept data from trials conducted outside of the United States or the applicable foreign jurisdiction, which could be costly and time-consuming, and which may result in product candidates that we may develop not receiving approval for commercialization in the United States or any such foreign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Potential Commercialization</w:t>
      </w:r>
    </w:p>
    <w:p>
      <w:pPr>
        <w:spacing w:after="0" w:line="225"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use of precision medicines or immuno-oncology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1" w:lineRule="exact"/>
        <w:rPr>
          <w:sz w:val="20"/>
          <w:szCs w:val="20"/>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licensed;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caused by our product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or immuno-oncology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455"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66" w:lineRule="exact"/>
        <w:rPr>
          <w:sz w:val="20"/>
          <w:szCs w:val="20"/>
          <w:color w:val="auto"/>
        </w:rPr>
      </w:pPr>
    </w:p>
    <w:p>
      <w:pPr>
        <w:ind w:left="4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face, and will continue to face, competition from companies focused on more traditional therapeutic modalities, such as small molecule inhibitors. We believe that our differentiated business model, approach,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Product candidates that we successfully develop and commercialize will compete with existing therapies and new therapies that may become available in the future. We expect that CLN-081 will compete against small molecule EGFR inhibitors poziotinib from Spectrum Pharmaceuticals and mobocertinib (TAK-788) from Takeda Pharmaceuticals. CLN-081 may also compete against Black Diamond’s BDTX-189, an EGFR inhibitor. CLN-081 may also compete with amivantamab from Johnson &amp; Johnson, an EGFRxcMET bispecific antibody. We expect that CLN-049 will compete against bi-specifics for the treatment of AML, including those targeting CD3 and CD33 (Amgen, Amphivena), CD123 (Macrogenics, Xencor), FLT3 (Amgen), and CCL1/CLEC12A (Merus, Genentech). We expect that CLN-619 will compete against cancer therapies targeting MICA/B as a monotherapy and/or in combination with other agents, including: Innate Pharma, Inc. (in collaboration with AstraZeneca Inc.), CanCure LLC, Genentech Inc., and Bristol-Myers Squibb.</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our product candidates, including CLN-081, CLN-049, and CLN-619, are approved for their currently proposed target indication, they will likely compete with the competitor products mentioned above and with other products that are currently in development. The key competitive factors affecting the success of all of our therapeutic candidates, if approved, are likely to be their efficacy, safety, convenience, price, the level of generic competition, and the availability of reimbursement from government and other third-party payors.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If our competitors develop and commercialize drugs that are safer, more effective, have fewer or less severe side effects, are more convenient to administer, are less expensive or with a more favorable label than our therapeutic candidates, we could see a reduction or elimination in our commercial opportunity. For additional information regarding our competition, see “Business—Competition.”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7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90"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but not limited to, the third-party payor’s determination that use of a product is:</w:t>
      </w:r>
    </w:p>
    <w:p>
      <w:pPr>
        <w:spacing w:after="0" w:line="67"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right="400" w:firstLine="449"/>
        <w:spacing w:after="0" w:line="258"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Governmental authorities and other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93"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2"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Trump Administration has issued various Executive Orders which eliminated cost-sharing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89"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U.S. federal government agencies currently face potentially significant spending reductions. The Budget Control Act of 2011, or the BCA, established a Joint Select Committee on Deficit Reduction, which was tasked with achieving a reduction in the federal debt level of at least $1.2 trillion. That committee did not draft a proposal by the BCA’s deadline. As a result, automatic cuts, referred to as sequestration, in various federal programs were scheduled to take place, beginning in January 2013, although the American Taxpayer Relief Act of 2012 delayed the BCA’s automatic cuts until March 1, 2013. While the Medicare program’s eligibility and scope of benefits are generally exempt from these cuts, Medicare payments to providers and Part D health plans are not exempt. The BCA did, however, provide that the Medicare cuts to providers and Part D health plans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would not exceed two percent unless additional Congressional action is taken. President Obama issued the sequestration order on March 1, 2013, and cuts went into effect on April 1, 2013. Pursuant to the Coronavirus Aid, Relief, and Economic Security Act, also known as the CARES Act, these reductions are suspended from May 1, 2020 through December 31, 2020 due to the COVID-19 pandemic. As the legislation currently stands, the reductions will go back into effect January 2021 and will remain in effect through 2030 unless additional Congressional action is taken.</w:t>
      </w:r>
    </w:p>
    <w:p>
      <w:pPr>
        <w:spacing w:after="0" w:line="180"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contains a $135 billion allowance (over a period of time)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w:t>
      </w:r>
    </w:p>
    <w:p>
      <w:pPr>
        <w:spacing w:after="0" w:line="192"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7"/>
          <w:szCs w:val="17"/>
          <w:color w:val="auto"/>
        </w:rPr>
        <w:t>On July 24, 2020, President Trump signed four Executive Orders directing the Secretary of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w:t>
      </w:r>
    </w:p>
    <w:p>
      <w:pPr>
        <w:spacing w:after="0" w:line="3" w:lineRule="exact"/>
        <w:rPr>
          <w:sz w:val="20"/>
          <w:szCs w:val="20"/>
          <w:color w:val="auto"/>
        </w:rPr>
      </w:pPr>
    </w:p>
    <w:p>
      <w:pPr>
        <w:ind w:right="40" w:firstLine="8"/>
        <w:spacing w:after="0" w:line="25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or FQHC, as part of the 340B drug program to purchase those drugs at the discounted price paid by the FQHC. On October 1, 2020, the FDA issued its final rule allowing importation of certain prescription drugs from Canada. On September 13, 2020, President Trump signed an Executive Order directing HHS to implement a rulemaking plan to test a payment model, pursuant to which Medicare would pay, for certain high-cost prescription drugs and biological products covered by Medicare Part B, no more than the most-favored-nation price (i.e., the lowest price) after adjustments, for a pharmaceutical product that the drug manufacturer sells in a member country of the Organization for Economic Cooperation and Development that has a comparable per-capita gross domestic product. Although a number of these, and other proposed measures will require authorization through additional legislation to become effective, Congress and the current administration have each indicated that it will continue to seek new legislative and/or administrative measures to control drug costs.</w:t>
      </w:r>
    </w:p>
    <w:p>
      <w:pPr>
        <w:spacing w:after="0" w:line="193"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patients can seek treatment without enrolling in clinical trials and without obtaining FDA permission under the FDA expanded access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obligation for a pharmaceutical manufacturer to make its drug products available to eligible patients as a result of the Right to Try Act.</w:t>
      </w:r>
    </w:p>
    <w:p>
      <w:pPr>
        <w:spacing w:after="0" w:line="20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7"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85" w:lineRule="exact"/>
        <w:rPr>
          <w:sz w:val="20"/>
          <w:szCs w:val="20"/>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266"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80"/>
          </w:cols>
          <w:pgMar w:left="320" w:top="455" w:right="3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limit commercialization of our product candidates. Even successful defense would require significant financial and management resources. Regardless of the merits or eventual outcome, liability claims may result in:</w:t>
      </w:r>
    </w:p>
    <w:p>
      <w:pPr>
        <w:spacing w:after="0" w:line="67"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ind w:left="4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46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since the patients who may potentially be treated with our product candidates are those who are ineligible for or have failed prior treatments, and our estimates of the prevalence of our target patient populations may be inaccurate.</w:t>
      </w:r>
    </w:p>
    <w:p>
      <w:pPr>
        <w:spacing w:after="0" w:line="6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by line of therapy (first line, second line, third line, fourth line, etc.), and the FDA often approves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92"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96"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If we commercialize ourselves any of our product candidates that may be approved, we will need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80"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materially adversely affect our business.</w:t>
      </w:r>
    </w:p>
    <w:p>
      <w:pPr>
        <w:spacing w:after="0" w:line="121"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of our product candidates outside of the United States and, accordingly, we expect that we will be subject to additional risks related to operating in foreign countries if we obtain the necessary approvals, including:</w:t>
      </w:r>
    </w:p>
    <w:p>
      <w:pPr>
        <w:spacing w:after="0" w:line="67" w:lineRule="exact"/>
        <w:rPr>
          <w:sz w:val="20"/>
          <w:szCs w:val="20"/>
          <w:color w:val="auto"/>
        </w:rPr>
      </w:pPr>
    </w:p>
    <w:p>
      <w:pPr>
        <w:ind w:left="100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which may result in a longer timeline for obtaining regulatory approvals outside of the United States and be more costly than obtaining approval in the United States;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46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or are delayed in obtaining, required regulatory approvals for our product candidates, we will not be able to commercialize, or will be delayed in commercializing, our product candidates, and our ability to generate revenue will be materially impaired.</w:t>
      </w:r>
    </w:p>
    <w:p>
      <w:pPr>
        <w:spacing w:after="0" w:line="2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Whether the results from our current ongoing clinical trials and other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For example, we intend to develop our product candidates and seek</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60"/>
          </w:cols>
          <w:pgMar w:left="320" w:top="455" w:right="4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approval for a tumor-agnostic indication based on a biomarker. FDA has approved only a small number of oncology products with tumor-agnostic indications, and there is a risk that FDA may disagree with or strategy or data and approve only a more narrow indication.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w:t>
      </w:r>
    </w:p>
    <w:p>
      <w:pPr>
        <w:spacing w:after="0" w:line="18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To date, we have had interactions with regulatory authorities outside of the United States in France, the Netherlands, China, Hong Kong, Singapore, and Taiwan. We intend to engage with EMA regarding regulatory requirements for registration in the European Union, or EU for our CLN-081, CLN-049, and CLN-619 programs. There is limited experience of regulatory authorities outside of the United States with the approval of tumor-agnostic precision cancer medicines.</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product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Biologics License Application, or BLA, New Drug Application, or NDA,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97" w:lineRule="exact"/>
        <w:rPr>
          <w:sz w:val="20"/>
          <w:szCs w:val="20"/>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tumor-agnostic development strategy;</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submission or to obtain regulatory approval in the United States or elsewhere;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4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determine that the manufacturing processes or controls or the facilities of third-party manufacturers with which we contract for clinical and commercial supplies are inadequate; and</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Of the large number of therapeutic candidates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280" w:lineRule="exact"/>
        <w:rPr>
          <w:sz w:val="20"/>
          <w:szCs w:val="20"/>
          <w:color w:val="auto"/>
        </w:rPr>
      </w:pPr>
    </w:p>
    <w:p>
      <w:pPr>
        <w:jc w:val="both"/>
        <w:ind w:left="4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orphan drug status for CLN-081, CLN-049, and CLN-619, and some of our other future product candidates, but we may be unable to obtain such designations or to maintain the benefits associated with orphan drug status, including market exclusivity, which may cause our revenue, if any, to be reduced.</w:t>
      </w:r>
    </w:p>
    <w:p>
      <w:pPr>
        <w:spacing w:after="0" w:line="67"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or NDA.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including a BLA or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that exclusivity may not effectively protect the product candidate from competition because different product candidates can be approved for the same condition. In addition, even after an orphan drug is approved, the FDA can subsequently approve a later product candidate that is the same drug as the drug with orphan exclusivity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determines that the request for designation was materially defective or if the manufacturer is unable to assure sufficient quantity of the product to meet the needs of the patients with the rare disease or condition.</w:t>
      </w:r>
    </w:p>
    <w:p>
      <w:pPr>
        <w:spacing w:after="0" w:line="19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We may seek orphan drug designation for CLN-081, CLN-049, and CLN-619, and some or all of our other future product candidates in additional orphan indications in which there is a medically plausible basis for the use of these products.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455"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never receive such designations. For example, the FDA has expressed concerns regarding the regulatory considerations for orphan drug designation as applied to tumor-agnostic therapies, and the FDA may interpret the federal Food, Drug and Cosmetic Act, as amended, or the FDCA, and regulations promulgated thereunder in a way that limits or blocks our ability to obtain orphan drug designation or orphan drug exclusivity, if our product candidates are approved, for our targeted indications.</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On August 3, 2017, the United States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legislation was made in response to a court ruling holding that the Orphan Drug Act unambiguously requires that the FDA recognize the orphan exclusivity period of a company obtains approval of a drug designated as an orphan drug, regardless of a showing of clinical superiority. The FDA and legislators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6" w:lineRule="exact"/>
        <w:rPr>
          <w:sz w:val="20"/>
          <w:szCs w:val="20"/>
          <w:color w:val="auto"/>
        </w:rPr>
      </w:pPr>
    </w:p>
    <w:p>
      <w:pPr>
        <w:ind w:left="46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CLN-081, CLN-049, and CLN-619, or any other future product candidates, may not lead to a faster development or regulatory review or approval process, and does not increase the likelihood that our product candidates will receive marketing approval.</w:t>
      </w:r>
    </w:p>
    <w:p>
      <w:pPr>
        <w:spacing w:after="0" w:line="67"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CLN-081, CLN-049, and CLN-619, and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281" w:lineRule="exact"/>
        <w:rPr>
          <w:sz w:val="20"/>
          <w:szCs w:val="20"/>
          <w:color w:val="auto"/>
        </w:rPr>
      </w:pPr>
    </w:p>
    <w:p>
      <w:pPr>
        <w:ind w:left="4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CLN-081, CLN-049, and CLN-619, and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18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disagree and instead determine not to make such designation. In any event, the receipt of a Breakthrough Therapy designation for a product candidate may not result in a faster development process, review or approval compared to candidate products developed and considered for approval that have not received Breakthrough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CLN-081, CLN-049, and CLN-619, and some or all of our future product candidates for the treatment of various cancers, there can be no assurance that we will receive breakthrough therapy designation.</w:t>
      </w:r>
    </w:p>
    <w:p>
      <w:pPr>
        <w:spacing w:after="0" w:line="291" w:lineRule="exact"/>
        <w:rPr>
          <w:sz w:val="20"/>
          <w:szCs w:val="20"/>
          <w:color w:val="auto"/>
        </w:rPr>
      </w:pPr>
    </w:p>
    <w:p>
      <w:pPr>
        <w:ind w:left="4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CLN-081 or any other future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may seek approval of CLN-081, and certain of our other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requires that a sponsor of a product receiving accelerated approval perform a post-marketing confirmatory clinical trial or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 Accelerated approval may also be withdrawn if, among other things, a confirmatory trial required to verify the predicted clinical benefit of the product fails to verify such benefit or if such trial is not conducted with due diligence.</w:t>
      </w:r>
    </w:p>
    <w:p>
      <w:pPr>
        <w:spacing w:after="0" w:line="292" w:lineRule="exact"/>
        <w:rPr>
          <w:sz w:val="20"/>
          <w:szCs w:val="20"/>
          <w:color w:val="auto"/>
        </w:rPr>
      </w:pPr>
    </w:p>
    <w:p>
      <w:pPr>
        <w:ind w:left="46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approved through an abbreviated regulatory pathway.</w:t>
      </w:r>
    </w:p>
    <w:p>
      <w:pPr>
        <w:spacing w:after="0" w:line="51" w:lineRule="exact"/>
        <w:rPr>
          <w:sz w:val="20"/>
          <w:szCs w:val="20"/>
          <w:color w:val="auto"/>
        </w:rPr>
      </w:pPr>
    </w:p>
    <w:p>
      <w:pPr>
        <w:ind w:right="200" w:firstLine="449"/>
        <w:spacing w:after="0" w:line="253" w:lineRule="auto"/>
        <w:rPr>
          <w:sz w:val="20"/>
          <w:szCs w:val="20"/>
          <w:color w:val="auto"/>
        </w:rPr>
      </w:pPr>
      <w:r>
        <w:rPr>
          <w:rFonts w:ascii="Times New Roman" w:cs="Times New Roman" w:eastAsia="Times New Roman" w:hAnsi="Times New Roman"/>
          <w:sz w:val="18"/>
          <w:szCs w:val="18"/>
          <w:color w:val="auto"/>
        </w:rPr>
        <w:t>Most of our pipeline products, with the exception of CLN-081, will be regulated by the FDA as biologics, which must be licensed by FDA prior to marketing under a BLA. 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92"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455" w:right="3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BPCIA was enacted in March 2010 as an unrelated part of the ACA. Since its enactment, there have been judicial and Congressional challenges to certain aspects of the ACA, and as a result certain sections of the ACA have not been fully implemented or effectively repealed. In particular, in December of 2018, a Texas U.S. District Court Judge ruled that the ACA is unconstitutional in its entirety because the tax-based shared responsibility payment imposed by the ACA on certain individuals who fail to maintain qualifying health coverage for all or part of a year, commonly referred to as the “individual mandate”, was repealed by Congress as part of the Tax Cuts and Jobs Act, effective January 1, 2019. In December 2019, the U.S. Court of Appeals for the Fifth Circuit held that the individual mandate was unconstitutional but remanded part of the case back to the District Court to determine whether other reforms enacted as part of the ACA but not specifically related to the individual mandate or health insurance, including the provisions comprising the BPCIA, could be severed from the rest of the ACA so as not to be declared invalid as well. In March 2020, the United States Supreme Court granted the petitions for writs of certiorari to review this case and has allocated one hour and twenty minutes for oral arguments, which are scheduled to occur on November 10, 2020, with a decision likely to follow in 2021. Pending resolution of the litigation, ACA is still operational.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90"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266" w:lineRule="exact"/>
        <w:rPr>
          <w:sz w:val="20"/>
          <w:szCs w:val="20"/>
          <w:color w:val="auto"/>
        </w:rPr>
      </w:pPr>
    </w:p>
    <w:p>
      <w:pPr>
        <w:ind w:left="46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spacing w:after="0" w:line="67"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9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83"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87"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regulatory requirements governing, among other things, the research, development, testing, manufacturing, labeling, packaging, distribution, storage, advertising, promotion, import, export, recordkeeping, monitoring, and reporting of our products. These requirements include submissions of safety and other post-marketing information and reports, facility registration and drug listing requirements, as well as continued compliance with cGMPs, good laboratory practice, or GLP, regulations, and GCPs, for any clinical trials that we conduct post-approval.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00" w:right="68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30"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320" w:top="455" w:right="3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closely regulate the post-approval marketing and promotion of products to ensure that they are marketed only for the approved indications and in accordance with the provisions of the approved labeling. The FDA and other regulatory agencies impose stringent restrictions on manufacturers’ communications regarding off-label use. If any of our product candidates are approved and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Violation of the FDCA,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292"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5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As of July 2020, utilizing a rating system to assist in determining when and where it is safest to conduct such inspections based on data about the virus’ trajectory in a given state and locality and the rules and guidelines that are put in place by state and local governments, FDA is either continuing to, on a case-by-case basis, conduct only mission critical inspections, or, where possible to do so safely, resuming prioritized domestic inspections, which generally include pre-approval inspections. Foreign pre-approval inspections that are not deemed mission-critical remain postponed, while those deemed mission-critical will be considered for inspection on a case-by-case basis. FDA will use similar data to inform resumption of prioritized operations abroad as it becomes feasible and advisable to do so. The FDA may not be able to maintain this pace and delays or setbacks are possible in the future.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Additionally,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295" w:lineRule="exact"/>
        <w:rPr>
          <w:sz w:val="20"/>
          <w:szCs w:val="20"/>
          <w:color w:val="auto"/>
        </w:rPr>
      </w:pPr>
    </w:p>
    <w:p>
      <w:pPr>
        <w:ind w:left="4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5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laws that may affect our ability to operate include, but are not limited to:</w:t>
      </w:r>
    </w:p>
    <w:p>
      <w:pPr>
        <w:spacing w:after="0" w:line="81" w:lineRule="exact"/>
        <w:rPr>
          <w:sz w:val="20"/>
          <w:szCs w:val="20"/>
          <w:color w:val="auto"/>
        </w:rPr>
      </w:pPr>
    </w:p>
    <w:p>
      <w:pPr>
        <w:ind w:left="1000" w:right="100" w:hanging="547"/>
        <w:spacing w:after="0" w:line="271"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There are a number of statutory exceptions and regulatory safe harbors protecting some common activities from prosecution;</w:t>
      </w:r>
    </w:p>
    <w:p>
      <w:pPr>
        <w:spacing w:after="0" w:line="78" w:lineRule="exact"/>
        <w:rPr>
          <w:rFonts w:ascii="Times New Roman" w:cs="Times New Roman" w:eastAsia="Times New Roman" w:hAnsi="Times New Roman"/>
          <w:sz w:val="17"/>
          <w:szCs w:val="17"/>
          <w:color w:val="auto"/>
        </w:rPr>
      </w:pPr>
    </w:p>
    <w:p>
      <w:pPr>
        <w:ind w:left="1000" w:hanging="547"/>
        <w:spacing w:after="0" w:line="253"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False Claims Act, or FCA,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99" w:lineRule="exact"/>
        <w:rPr>
          <w:rFonts w:ascii="Times New Roman" w:cs="Times New Roman" w:eastAsia="Times New Roman" w:hAnsi="Times New Roman"/>
          <w:sz w:val="18"/>
          <w:szCs w:val="18"/>
          <w:color w:val="auto"/>
        </w:rPr>
      </w:pPr>
    </w:p>
    <w:p>
      <w:pPr>
        <w:ind w:left="1000" w:right="60" w:hanging="547"/>
        <w:spacing w:after="0" w:line="255"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4" w:lineRule="exact"/>
        <w:rPr>
          <w:rFonts w:ascii="Times New Roman" w:cs="Times New Roman" w:eastAsia="Times New Roman" w:hAnsi="Times New Roman"/>
          <w:sz w:val="18"/>
          <w:szCs w:val="18"/>
          <w:color w:val="auto"/>
        </w:rPr>
      </w:pPr>
    </w:p>
    <w:p>
      <w:pPr>
        <w:ind w:left="1000" w:right="40" w:hanging="547"/>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500"/>
        <w:spacing w:after="0" w:line="282" w:lineRule="auto"/>
        <w:rPr>
          <w:sz w:val="20"/>
          <w:szCs w:val="20"/>
          <w:color w:val="auto"/>
        </w:rPr>
      </w:pPr>
      <w:r>
        <w:rPr>
          <w:rFonts w:ascii="Times New Roman" w:cs="Times New Roman" w:eastAsia="Times New Roman" w:hAnsi="Times New Roman"/>
          <w:sz w:val="18"/>
          <w:szCs w:val="18"/>
          <w:color w:val="auto"/>
        </w:rPr>
        <w:t>damages or injunctions in federal courts to enforce the federal HIPAA laws and seek attorneys’ fees and costs associated with pursuing federal civil actions;</w:t>
      </w:r>
    </w:p>
    <w:p>
      <w:pPr>
        <w:spacing w:after="0" w:line="67" w:lineRule="exact"/>
        <w:rPr>
          <w:sz w:val="20"/>
          <w:szCs w:val="20"/>
          <w:color w:val="auto"/>
        </w:rPr>
      </w:pPr>
    </w:p>
    <w:p>
      <w:pPr>
        <w:ind w:left="1000" w:right="20" w:hanging="547"/>
        <w:spacing w:after="0" w:line="255"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Affordable Care Act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w:t>
      </w:r>
    </w:p>
    <w:p>
      <w:pPr>
        <w:spacing w:after="0" w:line="94"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1000" w:right="100" w:hanging="547"/>
        <w:spacing w:after="0" w:line="253"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94"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Effective upon the closing of this offering, we will adopt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contractual damages, reputational harm, diminished profits and future earnings, and we may be required to curtail or restructure our operations, any of which could adversely affect our ability to operate our business and our results of operations.</w:t>
      </w:r>
    </w:p>
    <w:p>
      <w:pPr>
        <w:spacing w:after="0" w:line="188"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 multiple jurisdictions with different compliance and/or reporting requirements increases the possibility that a healthcare company may run afoul of one or more of the requirements.</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or the Bribery Act. Infringement of these laws could result in substantial fines and imprisonment. Payments made to physicians in certain EU Member States must be publicly disclosed.</w:t>
      </w:r>
    </w:p>
    <w:p>
      <w:pPr>
        <w:spacing w:after="0" w:line="18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Moreover, agreements with physicians often must be the subject of prior notification and approval by the physician’s employer, his or her competent professional organization and/or the regulatory authorities of the individual EU Member States.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requirements are provided in the national laws, industry codes or professional codes of conduct, applicable in the EU Member States.</w:t>
      </w:r>
    </w:p>
    <w:p>
      <w:pPr>
        <w:spacing w:after="0" w:line="225"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Failure to comply with these requirements could result in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21"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93"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addition, California recently enacted the California Consumer Privacy Act, or CCPA, which creates new individual privacy rights for California consumers (as defined in the law) and places increased privacy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192"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46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current product candidates and technology, or any other product candidates or technology we may develop, or if the scope of intellectual property protection obtained is not sufficiently broad, our competitors could develop and commercialize products and technology similar or identical to ours, and our ability to commercialize CLN-081, CLN-049 and CLN-619 or any other product candidates or technology may be adversely affected.</w:t>
      </w:r>
    </w:p>
    <w:p>
      <w:pPr>
        <w:spacing w:after="0" w:line="7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product candidates, including CLN-081, CLN-049 and CLN-619, their respective components, formulations, combination therapies, methods used to manufacture them and methods of treatment and development that are important to our business, as well as successfully defending these patents against third-party challenges. If we do not adequately protect our intellectual property rights, competitors may be able to erode or negate any competitive advantage we may have, which could harm our business and ability to achieve profitability.</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We intend to rely upon a combination of patent applications, confidentiality agreements, trade secret protection and license agreements to protect the intellectual property related to our product candidates and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establish our patent position.</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To protect our proprietary position, we have filed or in-licensed, and plan to file or in-license, patents and patent applications in the United States and abroad relating to our product candidates that are important to our business. Our ability to stop unauthorized third parties from making, using, selling, offering to sell or importing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product candidates is dependent upon the extent to which we have rights under valid and enforceable patents or trade secrets that cover these activities. If we are unable to secure or maintain patent protection with respect to CLN-081, CLN-049 and CLN-619, or any other proprietary products and technology we develop, our business, financial condition, results of operations, and prospects would be materially harmed.</w:t>
      </w:r>
    </w:p>
    <w:p>
      <w:pPr>
        <w:spacing w:after="0" w:line="17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or severely limited in some cases and may not adequately protect our rights or permit us to gain or keep any competitive advantage. We cannot provide any assurances that any patents we may own or in-license in the future will have, or that any of our patent applications that mature into issued patents will include, claims with a scope sufficient to protect our current and future product candidates or otherwise provide any competitive advantage. In addition, to the extent that we currently or in the future license intellectual property, we cannot assure you that those licenses will remain in force. In addition, the laws of foreign countries may not protect our rights to the same extent as the laws of the United States. Furthermore, patents have a limited lifespan, and the term of any patents we may own or in-license may be inadequate to protect our competitive position of our product candidates or technology for an adequate amount of time. In the United States,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94"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patent applications, if issued, and any patents we may own or in-license, may not provide us with any meaningful protection or prevent competitors from designing around our patent claims to circumvent any patents we may own or in-license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any patent protection we may have in the future. If the patent protection provided by our patent applications or any patents we may pursue with respect to our product candidates is not sufficiently broad to impede such competition, our ability to successfully commercialize our product candidates could be negatively affected, which would harm our business.</w:t>
      </w:r>
    </w:p>
    <w:p>
      <w:pPr>
        <w:spacing w:after="0" w:line="189"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Patent positions of life sciences companies can be uncertain and involve complex factual and legal questions.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 applications or any patents we may own or in-license.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complex, expensive, time-consuming and inconsistent across jurisdictions. Patent license negotiations also can be complex and protracted, with uncertain results.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corporate collaborators, external academic scientific collaborators, CROs, contract manufacturers, consultants, advisors and other third parties, any of these parties may breach the agreements and disclose results before a patent application is filed, thereby endangering our ability to seek patent protection. In addition, publications of discoveries in the scientific and scholarly literature often lag behind the actual discoveries, and patent applications in the United States and other jurisdictions are typically not published until 18 months after filing, or in some cases not at all. Consequently, we cannot be certain that we were the first to file for patent protection on the inventions claimed in our patent applications.</w:t>
      </w:r>
    </w:p>
    <w:p>
      <w:pPr>
        <w:spacing w:after="0" w:line="19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 applications, or any patents we may own or in-license , may exist or may arise in the future, for example with respect to proper priority claims,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455" w:right="3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 applications or patents we may own or in-license ,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7"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Additionally, we cannot be certain that the claims in our patent applications covering composition of matter of our product candidates or technology will be considered patentable by the USPTO, or by patent offices in foreign countries, or that the claims in any issued patents we may own or in-license will be considered patentable by courts in the United States or foreign countries.</w:t>
      </w:r>
    </w:p>
    <w:p>
      <w:pPr>
        <w:spacing w:after="0" w:line="17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induce or contribute to the infringement of method of use patents, the practice is common and such infringement is difficult to prevent or prosecute.</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any rights we may have from our patent applications are highly uncertain. Our patent applications may not result in patents being issued in the United States or in other jurisdictions which protect our technology or products or which effectively prevent others from commercializing competitive technologies and products. Moreover, 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Even if our patent applications issue as patents, third parties could challenge the validity of such patents based on such scientific publications and we could potentially lose valuable patent rights. Further, the scope of the invention claimed in a patent application can be significantly reduced before the patent is issued, and this scope can be reinterpreted after issuance. Even where our patent applications, whether owned or in-licensed, issue as patents, they may not issue in a form that will provide us with any meaningful protection,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any rights we may have by developing new compounds or alternative technologies or products in a non-infringing manner.</w:t>
      </w:r>
    </w:p>
    <w:p>
      <w:pPr>
        <w:spacing w:after="0" w:line="19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issuance or grant of a patent is not irrefutable as to its inventorship, scope, validity or enforceability, and any of our current or future patents, whether owned or in-licensed may be challenged in the courts or patent offices in the United States and abroad. Such challenges may result in the patent claims of any such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 and other similar proceedings challenging any rights we may have from</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00"/>
          </w:cols>
          <w:pgMar w:left="320" w:top="455" w:right="3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patent applications or the patent rights of others in the U.S. Patent and Trademark Office, or USPTO, or other foreign patent office, or in declaratory judgment actions or counterclaims. An unfavorable determination in any such submission, proceeding or litigation could reduce the scope of, or invalidate, any rights we may have from our patents or patent applications, allow third parties to commercialize our technology or products and compete directly with us, without payment to us, or extinguish our ability to manufacture or commercialize products without infringing third-party patent rights.</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intellectual property, may be co-owned with third parties. If we are unable to obtain an exclusive license to any such third-party co-owners’ interest in such intellectual property, including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intellectual property, including patents and patent applications, in order to enforce such intellectual property against third parties, and such cooperation may not be provided to us or our licensors. Any of the foregoing could have a material adverse effect on our competitive position, business, financial conditions, results of operations and prospects.</w:t>
      </w:r>
    </w:p>
    <w:p>
      <w:pPr>
        <w:spacing w:after="0" w:line="291" w:lineRule="exact"/>
        <w:rPr>
          <w:sz w:val="20"/>
          <w:szCs w:val="20"/>
          <w:color w:val="auto"/>
        </w:rPr>
      </w:pPr>
    </w:p>
    <w:p>
      <w:pPr>
        <w:ind w:left="460"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are currently, and may in the future be, party to license or collaboration agreements with third parties to advance our research or allow commercialization of product candidates. Our current agreements impose, and we expect that future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9" w:lineRule="exact"/>
        <w:rPr>
          <w:sz w:val="20"/>
          <w:szCs w:val="20"/>
          <w:color w:val="auto"/>
        </w:rPr>
      </w:pPr>
    </w:p>
    <w:p>
      <w:pPr>
        <w:jc w:val="both"/>
        <w:ind w:right="20" w:firstLine="449"/>
        <w:spacing w:after="0" w:line="281" w:lineRule="auto"/>
        <w:rPr>
          <w:sz w:val="20"/>
          <w:szCs w:val="20"/>
          <w:color w:val="auto"/>
        </w:rPr>
      </w:pPr>
      <w:r>
        <w:rPr>
          <w:rFonts w:ascii="Times New Roman" w:cs="Times New Roman" w:eastAsia="Times New Roman" w:hAnsi="Times New Roman"/>
          <w:sz w:val="17"/>
          <w:szCs w:val="17"/>
          <w:color w:val="auto"/>
        </w:rPr>
        <w:t>Any termination of these licenses, or if the underlying patents fail to provide the intended exclusivity, could result in the loss of significant rights and could harm our ability to commercialize our product candidates, and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320" w:top="455" w:right="3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In addition, licensing agreement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For example, under the Taiho Agreement, while our partially-owned subsidiary Cullinan Pearl is not obligated to enter into a transaction with Taiho, the right of negotiation could delay a potential sale or adversely impact our ability to attract a partner or acquirer and could negatively impact prospects for a larger company to acquire Cullinan Pearl or its assets or enter into a collaboration or licensing transaction that would benefit us. In addition, our partially-owned subsidiaries Cullinan Florentine and Cullinan Amber will also owe licensors a success fee in the event of a sale or other disposition of the majority of its assets. These fees will reduce the net proceeds we receive from any such sale or disposition of assets.</w:t>
      </w:r>
    </w:p>
    <w:p>
      <w:pPr>
        <w:spacing w:after="0" w:line="188"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Moreover, if disputes over intellectual property prevent or impair our ability to maintain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our owned and in-licensed patents, we seek to rely on trade secret protection, confidentiality agreements, and license agreements to protect proprietary know-how that is not patentable, processes for which patents are difficult to enforce and any other elements of our product identification, discovery, and development processes, including our differentiated hub-and-spoke business model that involve proprietary know-how, information, or technology that is not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92"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9" w:lineRule="exact"/>
        <w:rPr>
          <w:sz w:val="20"/>
          <w:szCs w:val="20"/>
          <w:color w:val="auto"/>
        </w:rPr>
      </w:pPr>
    </w:p>
    <w:p>
      <w:pPr>
        <w:ind w:right="3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For example, significant elements of our differentiated hub-and-spoke business model, including aspects of oncogenicity computational algorithms,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to validate mechanisms and pharmacology, drug design, and related processes, are based on unpatented trade secrets that are not publicly disclosed.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6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may be costly and time consuming and may prevent or delay our product identification, discovery and development efforts.</w:t>
      </w:r>
    </w:p>
    <w:p>
      <w:pPr>
        <w:spacing w:after="0" w:line="5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The intellectual property landscape around precision medicine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or the ability of our third parties,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67" w:lineRule="exact"/>
        <w:rPr>
          <w:sz w:val="20"/>
          <w:szCs w:val="20"/>
          <w:color w:val="auto"/>
        </w:rPr>
      </w:pPr>
    </w:p>
    <w:p>
      <w:pPr>
        <w:ind w:left="1000" w:right="24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7"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1" w:lineRule="exact"/>
        <w:rPr>
          <w:rFonts w:ascii="Times New Roman" w:cs="Times New Roman" w:eastAsia="Times New Roman" w:hAnsi="Times New Roman"/>
          <w:sz w:val="18"/>
          <w:szCs w:val="18"/>
          <w:color w:val="auto"/>
        </w:rPr>
      </w:pPr>
    </w:p>
    <w:p>
      <w:pPr>
        <w:ind w:left="1000" w:right="80" w:hanging="54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including CLN-081, CLN-049 and CLN-619, or from using our proprietary technologies, unless the third party licenses its product rights to us, which it is not required to do, on commercially reasonable terms or at all;</w:t>
      </w:r>
    </w:p>
    <w:p>
      <w:pPr>
        <w:spacing w:after="0" w:line="81" w:lineRule="exact"/>
        <w:rPr>
          <w:rFonts w:ascii="Times New Roman" w:cs="Times New Roman" w:eastAsia="Times New Roman" w:hAnsi="Times New Roman"/>
          <w:sz w:val="18"/>
          <w:szCs w:val="18"/>
          <w:color w:val="auto"/>
        </w:rPr>
      </w:pPr>
    </w:p>
    <w:p>
      <w:pPr>
        <w:ind w:left="1000" w:right="80" w:hanging="54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81"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67"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spacing w:after="0" w:line="196"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92" w:lineRule="exact"/>
        <w:rPr>
          <w:sz w:val="20"/>
          <w:szCs w:val="20"/>
          <w:color w:val="auto"/>
        </w:rPr>
      </w:pPr>
    </w:p>
    <w:p>
      <w:pPr>
        <w:ind w:left="4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We have in-licensed four patent families and own a fifth patent family related to CLN-081. We have in-licensed one patent family related to CLN-049. We own three patent families related to CLN-619. Because additional product candidates may require the use of proprietary rights held by third parties, the growth of our business will likely depend in part on our ability to acquire, in-license or use these proprietary rights.</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455" w:right="3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giving our competitors access to the same technologies licensed to us. In that event, we may be required to expend significant time and resources to develop or license replacement technology. Moreover, the molecules that will be used with our product candidates may be covered by the intellectual property rights of others.</w:t>
      </w:r>
    </w:p>
    <w:p>
      <w:pPr>
        <w:spacing w:after="0" w:line="176"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292"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owned or in-licensed intellectual property rights, which could be expensive, time-consuming and unsuccessful.</w:t>
      </w:r>
    </w:p>
    <w:p>
      <w:pPr>
        <w:spacing w:after="0" w:line="51" w:lineRule="exact"/>
        <w:rPr>
          <w:sz w:val="20"/>
          <w:szCs w:val="20"/>
          <w:color w:val="auto"/>
        </w:rPr>
      </w:pPr>
    </w:p>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of our owned or in-licensed patents do not cover the technology in question or that such third party’s activities do not infringe our patents. An adverse result in any litigation or defense proceedings could put one or more of our owned or in-licensed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2" w:lineRule="exact"/>
        <w:rPr>
          <w:sz w:val="20"/>
          <w:szCs w:val="20"/>
          <w:color w:val="auto"/>
        </w:rPr>
      </w:pPr>
    </w:p>
    <w:p>
      <w:pPr>
        <w:ind w:firstLine="449"/>
        <w:spacing w:after="0" w:line="272" w:lineRule="auto"/>
        <w:rPr>
          <w:sz w:val="20"/>
          <w:szCs w:val="20"/>
          <w:color w:val="auto"/>
        </w:rPr>
      </w:pPr>
      <w:r>
        <w:rPr>
          <w:rFonts w:ascii="Times New Roman" w:cs="Times New Roman" w:eastAsia="Times New Roman" w:hAnsi="Times New Roman"/>
          <w:sz w:val="17"/>
          <w:szCs w:val="17"/>
          <w:color w:val="auto"/>
        </w:rPr>
        <w:t>Post-grant proceedings provoked by third parties or brought by the USPTO may be necessary to determine the validity or priority of inventions with respect to our owned or in-licensed patents or patent applications. These proceedings are expensive and an unfavorable outcome could result in a loss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European Patent Office, or EPO, or similar proceedings in other foreign patent offices, where either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76"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auto"/>
        </w:rPr>
        <w:t>We may not be able to detect infringement against any of our owned or in-licensed patents . Even if we detect infringement by a third party,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68" w:lineRule="exact"/>
        <w:rPr>
          <w:sz w:val="20"/>
          <w:szCs w:val="20"/>
          <w:color w:val="auto"/>
        </w:rPr>
      </w:pPr>
    </w:p>
    <w:p>
      <w:pPr>
        <w:jc w:val="both"/>
        <w:ind w:left="46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6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or in-license covering our product candidates could be narrowed or found invalid or unenforceable if challenged in court or before administrative bodies in the United States or abroad, including the USPTO.</w:t>
      </w:r>
    </w:p>
    <w:p>
      <w:pPr>
        <w:spacing w:after="0" w:line="51"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(such as opposition proceedings). Such proceedings could result in revocation or amendment to our owned or in-licensed patents or patent applications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allow third parties to commercialize our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priority of invention or other features of patentability with respect to our patents or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and other technologies. With respect to the validity question, for example, we cannot be certain that there is no invalidating prior art, of which we or our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0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93" w:lineRule="exact"/>
        <w:rPr>
          <w:sz w:val="20"/>
          <w:szCs w:val="20"/>
          <w:color w:val="auto"/>
        </w:rPr>
      </w:pPr>
    </w:p>
    <w:p>
      <w:pPr>
        <w:ind w:left="4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 in the United States and in foreign jurisdictions could diminish the value of patents in general, thereby impairing our ability to protect our products.</w:t>
      </w:r>
    </w:p>
    <w:p>
      <w:pPr>
        <w:spacing w:after="0" w:line="5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455" w:right="3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Recent or future patent reform legislation could also increase the uncertainties and costs surrounding the prosecution of our patent applications and the enforcement or defense of any patents we may own or in-license. The United States has enacted and implemented wide-ranging patent reform legislation. On September 16, 2011, the Leahy-Smith America Invents Act, or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the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of our issued patents, all of which could have a material adverse effect on our business and financial condition.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may not be able to pursue generic coverage of our product candidates outside of the United States. Filing, prosecuting and defending patents on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where we have patent protection, but where enforcement is not as strong as that in the United States. These products may compete with our product candidates and in jurisdictions where we do not have any issued patents our patent applications or other intellectual property rights may not be effective or sufficient to prevent them from competing. Our patent portfolio is at the very early stage. We will need to decide whether and in which jurisdictions to pursue protection for the various inventions in our portfolio prior to applicable deadlines.</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any patents we may own or in-license or marketing of competing products in violation of our proprietary rights generally. Proceedings to enforce any rights we may have in our patents and patent applications in foreign jurisdictions could result in substantial costs and divert our efforts and attention from other aspects of our business, could put any of our owned or in-licensed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of our owned or in-licensed patents that are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ind w:left="46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any intellectual property, including any patents we may own or in-license.</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or in-licensed patents ,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Litigation may be necessary to defend against these and other claims challenging inventorship of any of our owned or in-licensed patents,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w:t>
      </w:r>
    </w:p>
    <w:p>
      <w:pPr>
        <w:spacing w:after="0" w:line="67"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in some cases until recently. We may be subject to claims that we or our employees, consultants or independent contractors have inadvertently or otherwise used or disclosed confidential information or trade secrets of these third parties or our employees’ former employers or our consultants’ or contractors’ current or former clients or customers. In addition, we may become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97" w:lineRule="exact"/>
        <w:rPr>
          <w:sz w:val="20"/>
          <w:szCs w:val="20"/>
          <w:color w:val="auto"/>
        </w:rPr>
      </w:pPr>
    </w:p>
    <w:p>
      <w:pPr>
        <w:ind w:left="4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of our current or future product candidates we may develop, our business may be materially harmed.</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current or future product candidates we may develop, one or more U.S. patents we may own or in-license may be eligible for limited patent term extension under the Drug Price Competition and Patent Term Restoration Act of 1984, or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expiration of any patents that issue from our patent applications, and our business, financial condition, results of operations, and prospects could be materially harmed.</w:t>
      </w:r>
    </w:p>
    <w:p>
      <w:pPr>
        <w:spacing w:after="0" w:line="296" w:lineRule="exact"/>
        <w:rPr>
          <w:sz w:val="20"/>
          <w:szCs w:val="20"/>
          <w:color w:val="auto"/>
        </w:rPr>
      </w:pPr>
    </w:p>
    <w:p>
      <w:pPr>
        <w:ind w:left="4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51"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85" w:lineRule="exact"/>
        <w:rPr>
          <w:sz w:val="20"/>
          <w:szCs w:val="20"/>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in-license may not lead to issued patents;</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 may not provide us with any competitive advantages, may be narrowed in scope, or may be challenged and held invalid or unenforceable;</w:t>
      </w:r>
    </w:p>
    <w:p>
      <w:pPr>
        <w:spacing w:after="0" w:line="67" w:lineRule="exact"/>
        <w:rPr>
          <w:rFonts w:ascii="Times New Roman" w:cs="Times New Roman" w:eastAsia="Times New Roman" w:hAnsi="Times New Roman"/>
          <w:sz w:val="18"/>
          <w:szCs w:val="18"/>
          <w:color w:val="auto"/>
        </w:rPr>
      </w:pPr>
    </w:p>
    <w:p>
      <w:pPr>
        <w:jc w:val="both"/>
        <w:ind w:left="1000" w:right="140" w:hanging="547"/>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may own or in-license , should any patents issue;</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a patent application that we own or may in-license in the future;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30"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67" w:lineRule="exact"/>
        <w:rPr>
          <w:rFonts w:ascii="Times New Roman" w:cs="Times New Roman" w:eastAsia="Times New Roman" w:hAnsi="Times New Roman"/>
          <w:sz w:val="18"/>
          <w:szCs w:val="18"/>
          <w:color w:val="auto"/>
        </w:rPr>
      </w:pPr>
    </w:p>
    <w:p>
      <w:pPr>
        <w:ind w:left="1000" w:right="240" w:hanging="547"/>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left="4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the outsourcing of the majority of our development functions to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manufacturing organizations, or CMOs, and strategic partners to conduct and support our preclinical studies and clinical trials under agreements with us, and expect to rely on such parties in the future.</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We negotiate budgets and contracts with CROs, trial sites and CMOs and we may not be able to do so on favorable terms, which may result in delays to our development timelines and increased costs. We rely heavily on these third parties over the course of our preclinical studies and clinical trials, and we control only certain aspects of their activities. As a result, we have less direct control over the conduct, timing and completion of our preclinical studies and clinical trials and the management of data developed through preclinical studies and clinical trials than would be the case if we relied entirely upon our own staff. Nevertheless, we are responsible for ensuring that each of our studies and trials is conducted in accordance with the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delay ongoing or planned clinical trials or require us to repeat clinical trials, which would delay the regulatory approval process. Failure by us or by third parties we engage to comply with regulatory requirements can also result in fines, adverse publicity, and civil and criminal sanctions. Moreover, our business may be implicated if any of these third parties violates federal or state fraud and abuse or false claims laws and regulations or healthcare privacy and security laws.</w:t>
      </w:r>
    </w:p>
    <w:p>
      <w:pPr>
        <w:spacing w:after="0" w:line="193"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6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time and focus of our management. In addition, there is a natural transition period when a new third party commences work. As a result, delays occur, which can materially impact our ability to meet our desired clinical development timelines.</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Additionally, we do not directly control the manufacturing facilities where our product candidates are made and we must depend on CMOs to make our product candidates according to standards for quality and reliability. We do not own any manufacturing facilities or equipment and do not employ any manufacturing personnel. We cannot assure you that we will be able to obtain qualified contract manufacturing services on reasonable terms. If any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or bridging study, that any new manufacturing process will produce our product candidate according to the specifications previously submitted to the FDA or another regulatory authority. The delays associated with the verification of a new CMO could negatively affect our ability to advance clinical trials or otherwise develop product candidates or commercialize our products in a timely manner or within budget. Furthermore, a CMO may possess technology related to the manufacture of our product candidate that such CMO owns independently, which may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97"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5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455" w:right="3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31" w:lineRule="exact"/>
        <w:rPr>
          <w:sz w:val="20"/>
          <w:szCs w:val="20"/>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85"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00" w:right="60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67"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1"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00" w:right="102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2"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91" w:lineRule="exact"/>
        <w:rPr>
          <w:sz w:val="20"/>
          <w:szCs w:val="20"/>
          <w:color w:val="auto"/>
        </w:rPr>
      </w:pPr>
    </w:p>
    <w:p>
      <w:pPr>
        <w:jc w:val="both"/>
        <w:ind w:left="4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third parties to manufacture our product candidates.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6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caused our product candidates to be manufactured on a commercial scale and may not be able to do so for any of our product candidates.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31" w:lineRule="exact"/>
        <w:rPr>
          <w:sz w:val="20"/>
          <w:szCs w:val="20"/>
          <w:color w:val="auto"/>
        </w:rPr>
      </w:pPr>
    </w:p>
    <w:p>
      <w:pPr>
        <w:ind w:left="1000" w:right="30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must inspect any manufacturers for current cGMP compliance as part of our marketing application;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81" w:lineRule="exact"/>
        <w:rPr>
          <w:rFonts w:ascii="Times New Roman" w:cs="Times New Roman" w:eastAsia="Times New Roman" w:hAnsi="Times New Roman"/>
          <w:sz w:val="18"/>
          <w:szCs w:val="18"/>
          <w:color w:val="auto"/>
        </w:rPr>
      </w:pPr>
    </w:p>
    <w:p>
      <w:pPr>
        <w:ind w:left="1000" w:right="80" w:hanging="547"/>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as well as foreign regulatory authorities, to ensure strict compliance with cGMP and other government regulations and corresponding foreign standards and we have no control over third-party manufacturers’ compliance with these regulations and standards;</w:t>
      </w:r>
    </w:p>
    <w:p>
      <w:pPr>
        <w:spacing w:after="0" w:line="81"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84"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 products, and particularly biologics, is complex and our third-party manufacturers may encounter difficulties in production. If any of our third-party manufacturers encounter such difficulties, our ability to provide supply of our current product candidates or any future product candidates for clinical trials or our products for patients, if approved, could be delayed or prevented.</w:t>
      </w:r>
    </w:p>
    <w:p>
      <w:pPr>
        <w:spacing w:after="0" w:line="67"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Manufacturing drugs, particularly biologics,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96"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at a third party’s facility, we will need to ensure compliance with the FDA’s cGMP regulations and guidelines. We may encounter difficulties in achieving quality control and quality assurance and may experience shortages in qualified personnel. Our third-party manufacturers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6" w:lineRule="exact"/>
        <w:rPr>
          <w:sz w:val="20"/>
          <w:szCs w:val="20"/>
          <w:color w:val="auto"/>
        </w:rPr>
      </w:pPr>
    </w:p>
    <w:p>
      <w:pPr>
        <w:ind w:left="4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80"/>
          </w:cols>
          <w:pgMar w:left="320" w:top="455" w:right="3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Growth and Employee Matters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outbreak of the novel coronavirus, COVID-19, may adversely impact our business, including our preclinical studies and clinical trials.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December 2019, a novel strain of the coronavirus, COVID-19, was identified in Wuhan, China. This virus spread globally, including within the United States and in March 2020 the World Health Organization declared COVID-19 a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As a result of the COVID-19 pandemic, we could experience disruptions that could severely impact our business, preclinical studies and clinical trials, including:</w:t>
      </w:r>
    </w:p>
    <w:p>
      <w:pPr>
        <w:spacing w:after="0" w:line="93" w:lineRule="exact"/>
        <w:rPr>
          <w:sz w:val="20"/>
          <w:szCs w:val="20"/>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authorizations from regulatory authorities to initiate our planned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00" w:right="80" w:hanging="547"/>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81"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unable to enroll participants in our clinical trials in adequate numbers;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30"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w:t>
      </w:r>
    </w:p>
    <w:p>
      <w:pPr>
        <w:spacing w:after="0" w:line="67"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identification, discovery and clinical activities.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455" w:right="3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84"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senior management, including scientific and medical personnel and other key employees.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 In particular, due to our small number of employees, the loss of one employee may have a larger impact on our business than compared to a loss at one of our peers.</w:t>
      </w:r>
    </w:p>
    <w:p>
      <w:pPr>
        <w:spacing w:after="0" w:line="19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conduct our operations at our facilities in Cambridge,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other equity that vests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Our success also depends on our ability to continue to attract, retain and motivate highly skilled junior, mid-level and senior managers as well as junior, mid-level and senior scientific and medical personnel.</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As of November 30, 2020, we had 17 full-time employees, one part-time employee and two consultants.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81" w:lineRule="exact"/>
        <w:rPr>
          <w:sz w:val="20"/>
          <w:szCs w:val="20"/>
          <w:color w:val="auto"/>
        </w:rPr>
      </w:pPr>
    </w:p>
    <w:p>
      <w:pPr>
        <w:ind w:left="5540" w:right="4040" w:hanging="5087"/>
        <w:spacing w:after="0" w:line="454" w:lineRule="auto"/>
        <w:tabs>
          <w:tab w:leader="none" w:pos="101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 76</w:t>
      </w:r>
    </w:p>
    <w:p>
      <w:pPr>
        <w:sectPr>
          <w:pgSz w:w="11900" w:h="16838" w:orient="portrait"/>
          <w:cols w:equalWidth="0" w:num="1">
            <w:col w:w="11200"/>
          </w:cols>
          <w:pgMar w:left="320" w:top="455" w:right="3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440" w:hanging="547"/>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any product candidates that are approved for marketing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substantially all aspects of legal and compliance,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8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potentially commercialize our product candidates and, accordingly, may not achieve our research, development and commercialization goals.</w:t>
      </w:r>
    </w:p>
    <w:p>
      <w:pPr>
        <w:spacing w:after="0" w:line="280" w:lineRule="exact"/>
        <w:rPr>
          <w:sz w:val="20"/>
          <w:szCs w:val="20"/>
          <w:color w:val="auto"/>
        </w:rPr>
      </w:pPr>
    </w:p>
    <w:p>
      <w:pPr>
        <w:ind w:left="4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CROs or other contractors or consultants, may fail or suffer security breaches, which could result in a material disruption of the development programs of our product candidates.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future CROs and other contractors and consultants are vulnerable to damage from computer viruses, unauthorized access, natural disasters, and telecommunication and electrical failures. While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data from completed or future preclinical studies and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380" w:firstLine="449"/>
        <w:spacing w:after="0" w:line="261"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80"/>
          </w:cols>
          <w:pgMar w:left="320" w:top="455" w:right="3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On December 22, 2017, President Trump signed into law the TCJA, which significantly reformed the Internal Revenue Code of 1986, as amended. The TCJA, among other things, contains significant changes to corporate and individual taxation, some of which could adversely impact an investment in our common stock. You are urged to consult your tax adviser regarding the implications of the TCJA on an investment in our common stock.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and other transactions that have occurred over the past three years, we may have experienced, and, upon closing of this offering, may experience, an “ownership change.” We may also experience ownership changes in the future as a result of subsequent shifts in our stock ownership. As of December 31, 2019, we had U.S. federal net operating loss carryforwards of $28.5 million and U.S. federal research and development tax credit carryforwards of $0.6 million, each of which will begin to expire at various dates through 2037 and which could be limited if we experience an “ownership change.” The reduction of the corporate tax rate under the TCJA may cause a reduction in the economic benefit of our net operating loss carryforwards and other deferred tax assets available to us. Under the TCJA, federal net operating losses generated after December 31, 2017 will not be subject to expiration but will not be permitted to be carried back. In addition, under the TCJA, the amount of post 2017 net operating losses that we are permitted to deduct in any taxable year is limited to 80% of our taxable income in such year, where taxable income is determined without regard to the net operating loss deduction itself. As of December 31, 2019, we had a U.S. federal net operating loss carryforward of $25.5 million, which does not expire but is limited to an annual deduction equal to 80% of annual taxable income.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w:t>
      </w:r>
    </w:p>
    <w:p>
      <w:pPr>
        <w:spacing w:after="0" w:line="187"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Furthermore, our stock price may decline due in part to the volatility of the stock market and the general economic downturn.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455" w:right="3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51" w:lineRule="exact"/>
        <w:rPr>
          <w:sz w:val="20"/>
          <w:szCs w:val="20"/>
          <w:color w:val="auto"/>
        </w:rPr>
      </w:pPr>
    </w:p>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 mailing address, email addresses, phone number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state breach notification laws), federal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HIPAA, as amended by HITECH), and international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GDPR) and may cause a material adverse impact to our reputation, affect our ability to conduct new studies and potentially disrupt our business.</w:t>
      </w:r>
    </w:p>
    <w:p>
      <w:pPr>
        <w:spacing w:after="0" w:line="19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addition, the computer systems of various third parties on which we rely, including our CROs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was no public trading market for shares of our common stock. Although we have applied to list our common stock on The Nasdaq Global Market, an active trading market for our shares may never develop or be sustained following this offering. You may not be able to sell your shares quickly or at the market price if trading in shares of our common stock is not active. The initial public offering price for our common stock will be determined through negotiations with the underwriters, and the negotiated price may not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 indicative of the market price of the common stock after the offering. As a result of these and other factors, you may be unable to resell your shares of our common stock at or above the initial public offering price.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81"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planned or any future preclinical studies, clinical trials or clinical development programs;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 including as a result of clinical holds;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30" w:lineRule="exact"/>
        <w:rPr>
          <w:rFonts w:ascii="Times New Roman" w:cs="Times New Roman" w:eastAsia="Times New Roman" w:hAnsi="Times New Roman"/>
          <w:sz w:val="18"/>
          <w:szCs w:val="18"/>
          <w:color w:val="auto"/>
        </w:rPr>
      </w:pPr>
    </w:p>
    <w:p>
      <w:pPr>
        <w:ind w:left="1000" w:right="56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30" w:lineRule="exact"/>
        <w:rPr>
          <w:rFonts w:ascii="Times New Roman" w:cs="Times New Roman" w:eastAsia="Times New Roman" w:hAnsi="Times New Roman"/>
          <w:sz w:val="18"/>
          <w:szCs w:val="18"/>
          <w:color w:val="auto"/>
        </w:rPr>
      </w:pPr>
    </w:p>
    <w:p>
      <w:pPr>
        <w:ind w:left="1000" w:right="66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455" w:right="3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30"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 and future prospects.</w:t>
      </w:r>
    </w:p>
    <w:p>
      <w:pPr>
        <w:spacing w:after="0" w:line="18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0"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2021 Stock Option and Incentive Plan and 2021 Employee Stock Purchase Plan, could result in additional dilution of the percentage ownership of our stockholders and could cause our stock price to fall.</w:t>
      </w:r>
    </w:p>
    <w:p>
      <w:pPr>
        <w:spacing w:after="0" w:line="6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expanded research and development activities, and costs associated with operating as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187"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Pursuant to our 2021 Plan, which will become effective as of the business day immediately prior to the effective date of the registration statement of which this prospectus forms a part, our management is authorized to grant stock options to our employees, directors, and consultants.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Initially, the aggregate number of shares of our common stock that may be issued pursuant to stock awards under the 2021 Plan will</w:t>
      </w:r>
    </w:p>
    <w:p>
      <w:pPr>
        <w:spacing w:after="0" w:line="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be</w:t>
      </w:r>
      <w:r>
        <w:rPr>
          <w:sz w:val="20"/>
          <w:szCs w:val="20"/>
          <w:color w:val="auto"/>
        </w:rPr>
        <w:tab/>
      </w:r>
      <w:r>
        <w:rPr>
          <w:rFonts w:ascii="Times New Roman" w:cs="Times New Roman" w:eastAsia="Times New Roman" w:hAnsi="Times New Roman"/>
          <w:sz w:val="18"/>
          <w:szCs w:val="18"/>
          <w:color w:val="auto"/>
        </w:rPr>
        <w:t>shares. The number of shares of our common stock reserved for issuance under the 2021 Plan shall be cumulatively increased on January 1,</w:t>
      </w:r>
    </w:p>
    <w:p>
      <w:pPr>
        <w:spacing w:after="0" w:line="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2022 and each January 1 thereafter by</w:t>
      </w:r>
      <w:r>
        <w:rPr>
          <w:sz w:val="20"/>
          <w:szCs w:val="20"/>
          <w:color w:val="auto"/>
        </w:rPr>
        <w:tab/>
      </w:r>
      <w:r>
        <w:rPr>
          <w:rFonts w:ascii="Times New Roman" w:cs="Times New Roman" w:eastAsia="Times New Roman" w:hAnsi="Times New Roman"/>
          <w:sz w:val="18"/>
          <w:szCs w:val="18"/>
          <w:color w:val="auto"/>
        </w:rPr>
        <w:t>% of the total number of shares of our common stock outstanding on December 31 of the preceding</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60"/>
          </w:cols>
          <w:pgMar w:left="320" w:top="455" w:right="4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Initially, the aggregate number of shares of our common stock that may be issued pursuant to the ESPP will be shares. The number of shares of our common stock reserved for issuance under the ESPP will automatically increase each January 1, beginning on January 1, 2022, by the lesser</w:t>
      </w: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of shares of our common stock, % of the outstanding number of shares of our common stock on the immediately preceding December 31, or such lesser number of shares as determined by our compensation committee. Unless our compensation committee elects not to increase the number of shares available for future grant each year, our stockholders may experience additional dilution, which could cause our stock price to fall.</w:t>
      </w:r>
    </w:p>
    <w:p>
      <w:pPr>
        <w:spacing w:after="0" w:line="290" w:lineRule="exact"/>
        <w:rPr>
          <w:sz w:val="20"/>
          <w:szCs w:val="20"/>
          <w:color w:val="auto"/>
        </w:rPr>
      </w:pPr>
    </w:p>
    <w:p>
      <w:pPr>
        <w:ind w:left="46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or maintain the value of your investment.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stock, which may never occur.</w:t>
      </w:r>
    </w:p>
    <w:p>
      <w:pPr>
        <w:spacing w:after="0" w:line="28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ectPr>
          <w:pgSz w:w="11900" w:h="16838" w:orient="portrait"/>
          <w:cols w:equalWidth="0" w:num="1">
            <w:col w:w="11220"/>
          </w:cols>
          <w:pgMar w:left="320" w:top="455" w:right="359" w:bottom="1440" w:gutter="0" w:footer="0" w:header="0"/>
        </w:sect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60" w:hanging="420"/>
        <w:spacing w:after="0" w:line="261" w:lineRule="auto"/>
        <w:rPr>
          <w:sz w:val="20"/>
          <w:szCs w:val="20"/>
          <w:color w:val="auto"/>
        </w:rPr>
      </w:pPr>
      <w:r>
        <w:rPr>
          <w:rFonts w:ascii="Times New Roman" w:cs="Times New Roman" w:eastAsia="Times New Roman" w:hAnsi="Times New Roman"/>
          <w:sz w:val="18"/>
          <w:szCs w:val="18"/>
          <w:color w:val="auto"/>
        </w:rPr>
        <w:t>Prior to this offering, our executive officers, directors, and 5% stockholders beneficially owned approximately</w:t>
      </w:r>
      <w:r>
        <w:rPr>
          <w:sz w:val="20"/>
          <w:szCs w:val="20"/>
          <w:color w:val="auto"/>
        </w:rPr>
        <w:t xml:space="preserve"> </w:t>
      </w:r>
      <w:r>
        <w:rPr>
          <w:rFonts w:ascii="Times New Roman" w:cs="Times New Roman" w:eastAsia="Times New Roman" w:hAnsi="Times New Roman"/>
          <w:sz w:val="18"/>
          <w:szCs w:val="18"/>
          <w:color w:val="auto"/>
        </w:rPr>
        <w:t>% of our voting stock as , and, assuming the sale by us of shares of common stock in this offering, based on and assumed initial public offering price of</w:t>
      </w:r>
    </w:p>
    <w:p>
      <w:pPr>
        <w:spacing w:after="0" w:line="1" w:lineRule="exact"/>
        <w:rPr>
          <w:sz w:val="20"/>
          <w:szCs w:val="20"/>
          <w:color w:val="auto"/>
        </w:rPr>
      </w:pPr>
    </w:p>
    <w:p>
      <w:pPr>
        <w:sectPr>
          <w:pgSz w:w="11900" w:h="16838" w:orient="portrait"/>
          <w:cols w:equalWidth="0" w:num="2">
            <w:col w:w="160" w:space="720"/>
            <w:col w:w="10340"/>
          </w:cols>
          <w:pgMar w:left="320" w:top="455" w:right="359" w:bottom="1440" w:gutter="0" w:footer="0" w:header="0"/>
          <w:type w:val="continuous"/>
        </w:sectPr>
      </w:pPr>
    </w:p>
    <w:p>
      <w:pPr>
        <w:ind w:left="820" w:hanging="812"/>
        <w:spacing w:after="0"/>
        <w:tabs>
          <w:tab w:leader="none" w:pos="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share, which is the midpoint of the price range set forth on the cover page of this prospectus, and not accounting for any shares</w:t>
      </w:r>
    </w:p>
    <w:p>
      <w:pPr>
        <w:spacing w:after="0" w:line="15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455" w:right="35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10780" w:val="left"/>
        </w:tabs>
        <w:rPr>
          <w:sz w:val="20"/>
          <w:szCs w:val="20"/>
          <w:color w:val="auto"/>
        </w:rPr>
      </w:pPr>
      <w:r>
        <w:rPr>
          <w:rFonts w:ascii="Times New Roman" w:cs="Times New Roman" w:eastAsia="Times New Roman" w:hAnsi="Times New Roman"/>
          <w:sz w:val="18"/>
          <w:szCs w:val="18"/>
          <w:color w:val="auto"/>
        </w:rPr>
        <w:t>purchased in this offering by certain of our existing stockholders (or their affiliates), we anticipate that same group will hold approximately</w:t>
      </w:r>
      <w:r>
        <w:rPr>
          <w:sz w:val="20"/>
          <w:szCs w:val="20"/>
          <w:color w:val="auto"/>
        </w:rPr>
        <w:tab/>
      </w:r>
      <w:r>
        <w:rPr>
          <w:rFonts w:ascii="Times New Roman" w:cs="Times New Roman" w:eastAsia="Times New Roman" w:hAnsi="Times New Roman"/>
          <w:sz w:val="17"/>
          <w:szCs w:val="17"/>
          <w:color w:val="auto"/>
        </w:rPr>
        <w:t>%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outstanding voting stock following this offering (assuming no exercise of the underwriters’ option to purchase additional shares), without giving effect to any purchases that certain of these holders may make through our directed share program.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94" w:lineRule="exact"/>
        <w:rPr>
          <w:sz w:val="20"/>
          <w:szCs w:val="20"/>
          <w:color w:val="auto"/>
        </w:rPr>
      </w:pPr>
    </w:p>
    <w:p>
      <w:pPr>
        <w:ind w:left="460" w:right="7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92" w:lineRule="exact"/>
        <w:rPr>
          <w:sz w:val="20"/>
          <w:szCs w:val="20"/>
          <w:color w:val="auto"/>
        </w:rPr>
      </w:pPr>
    </w:p>
    <w:p>
      <w:pPr>
        <w:jc w:val="both"/>
        <w:ind w:right="220" w:firstLine="449"/>
        <w:spacing w:after="0" w:line="281"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6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may take advantage of scaled disclosures available to smaller reporting companies until the fiscal year following the determination that either (i) the market value of our voting and nonvoting common stock held by non-affiliates is greater than $700 million, as measured on the last business day of the most recently completed second fiscal quarter, or (ii) the market value of our voting and nonvoting common stock held by non-affiliates, as measured on the last business day of our most recently completed second fiscal quarter, is less than $700 million but greater than $250 million and our annual revenues during our most recently completed fiscal year are greater than $100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Securities Exchange Act of 1934, as amended, or the Exchange Act, which will require, among other things, that we file with the Securities and Exchange Commission, or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by our existing stockholders in the public market could cause our stock price to fall.</w:t>
      </w:r>
    </w:p>
    <w:p>
      <w:pPr>
        <w:spacing w:after="0" w:line="133" w:lineRule="exact"/>
        <w:rPr>
          <w:sz w:val="20"/>
          <w:szCs w:val="20"/>
          <w:color w:val="auto"/>
        </w:rPr>
      </w:pPr>
    </w:p>
    <w:p>
      <w:pPr>
        <w:ind w:right="140" w:firstLine="449"/>
        <w:spacing w:after="0" w:line="276" w:lineRule="auto"/>
        <w:rPr>
          <w:sz w:val="20"/>
          <w:szCs w:val="20"/>
          <w:color w:val="auto"/>
        </w:rPr>
      </w:pPr>
      <w:r>
        <w:rPr>
          <w:rFonts w:ascii="Times New Roman" w:cs="Times New Roman" w:eastAsia="Times New Roman" w:hAnsi="Times New Roman"/>
          <w:sz w:val="17"/>
          <w:szCs w:val="17"/>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Upon the closing of this offering,</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will have outstanding a total of shares of common stock. Of these shares, only the shares of common stock sold in this offering by us, plus any shares sold upon exercise of the underwriters’ option to purchase additional shares, will be freely tradable without restriction in the public market immediately following this offering. In connection with this offering, our officers, directors and substantially all of our stockholders have agreed to be subject to a contractual lock-up with the underwriters, which will expire 180 days after the date of this prospectus.</w:t>
      </w:r>
    </w:p>
    <w:p>
      <w:pPr>
        <w:spacing w:after="0" w:line="189"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lock-up agreements contain important exceptions that govern their applicability. Morgan Stanley &amp; Co. LLC, SVB Leerink LLC, and Evercore Group LLC, however, may, in their sole discretion, permit our officers, directors and other stockholders who are subject to these lock-up agreements to sell shares prior to the expiration of the lock-up agreements.</w:t>
      </w:r>
    </w:p>
    <w:p>
      <w:pPr>
        <w:spacing w:after="0" w:line="176"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addition, shares of common stock that are reserved for future issuance under our 2021 Plan and our 2021 Employee Stock Purchase Plan, each of which became effective upon the effectiveness of the registration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statement of which this prospectus forms a part, will become eligible for sale in the public market to the extent permitted by the provisions of various vesting schedules, the lock-up agreements and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After this offering, the holders of shares of our common stock will be entitled to rights with respect to the registration of their shares under the Securities Act, subject to the 180-day lock-up agreements described above. See “Description of Capital Stock—Registration Rights.”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87" w:lineRule="exact"/>
        <w:rPr>
          <w:sz w:val="20"/>
          <w:szCs w:val="20"/>
          <w:color w:val="auto"/>
        </w:rPr>
      </w:pPr>
    </w:p>
    <w:p>
      <w:pPr>
        <w:ind w:left="46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28"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which are to become effective upon the closing of this offering, will contain provisions that could delay or prevent a change of control of our company or changes in our board of directors that our stockholders might consider favorable. Some of these provisions include:</w:t>
      </w:r>
    </w:p>
    <w:p>
      <w:pPr>
        <w:spacing w:after="0" w:line="81" w:lineRule="exact"/>
        <w:rPr>
          <w:sz w:val="20"/>
          <w:szCs w:val="20"/>
          <w:color w:val="auto"/>
        </w:rPr>
      </w:pPr>
    </w:p>
    <w:p>
      <w:pPr>
        <w:ind w:left="100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67" w:lineRule="exact"/>
        <w:rPr>
          <w:rFonts w:ascii="Times New Roman" w:cs="Times New Roman" w:eastAsia="Times New Roman" w:hAnsi="Times New Roman"/>
          <w:sz w:val="18"/>
          <w:szCs w:val="18"/>
          <w:color w:val="auto"/>
        </w:rPr>
      </w:pPr>
    </w:p>
    <w:p>
      <w:pPr>
        <w:ind w:left="1000" w:right="76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67"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30"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81"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455"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which become effective upon the consummation of this offering designate specific courts in as the exclusive forum for certain litigation that may be initiated by the Company’s stockholders, which could limit our stockholders’ ability to obtain a favorable judicial forum for disputes with us.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which will become effective upon the effectiveness of this registration statement or which this prospectus forms a part, unless we consent in writing to the selection of an alternative forum, the Court of Chancery of the State of Delaware will be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United States District Court for the District of Delaware will be the sole and exclusive forum for resolving any complaint asserting a cause of action arising under the Securities Act, or the Federal Forum Provision, as the Company is incorporated in the State of Delaware. In addition, our amended and restated bylaws will provide that any person or entity purchasing or otherwise acquiring any interest in shares of our capital stock will be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6" w:lineRule="exact"/>
        <w:rPr>
          <w:sz w:val="20"/>
          <w:szCs w:val="20"/>
          <w:color w:val="auto"/>
        </w:rPr>
      </w:pPr>
    </w:p>
    <w:p>
      <w:pPr>
        <w:ind w:left="4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 public company.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spacing w:after="0" w:line="291" w:lineRule="exact"/>
        <w:rPr>
          <w:sz w:val="20"/>
          <w:szCs w:val="20"/>
          <w:color w:val="auto"/>
        </w:rPr>
      </w:pPr>
    </w:p>
    <w:p>
      <w:pPr>
        <w:ind w:left="4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“Management’s Discussion and Analysis of Financial Condition and Results of Operations” and “Business,” contains forward-looking statements concerning our business, operations and financial performance and condition, as well as our plans, objectives and expectations for our business operations and financial performance and condition that are based on our management’s belief and assumptions and on information currently available to our management. In some cases, you can identify forward-looking statements by terminology such as “may,” “will,” “should,” “expect,” “intend,” “plan,” “anticipate,” “believe,” “estimate,” “target,” “seek,” “predict,” “potential,” “continue” or the negative of these terms or other comparable terminology. 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include, but are not limited to, statements about:</w:t>
      </w:r>
    </w:p>
    <w:p>
      <w:pPr>
        <w:spacing w:after="0" w:line="97" w:lineRule="exact"/>
        <w:rPr>
          <w:sz w:val="20"/>
          <w:szCs w:val="20"/>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clinical development of our product candidates, including CLN-081, CLN-049, and CLN-619;</w:t>
      </w:r>
    </w:p>
    <w:p>
      <w:pPr>
        <w:spacing w:after="0" w:line="130"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130"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67"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companies currently marketing or engaged in the development of treatments that our product candidates are designed to target;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to manufacture drug substance for use in our clinical trials;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oncology and immuno-oncologic diseases and any of our current product candidates or other product candidates we may identify and pursue, and our ability to serve those markets;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advance through clinical development any additional product candidates;</w:t>
      </w:r>
    </w:p>
    <w:p>
      <w:pPr>
        <w:spacing w:after="0" w:line="130" w:lineRule="exact"/>
        <w:rPr>
          <w:rFonts w:ascii="Times New Roman" w:cs="Times New Roman" w:eastAsia="Times New Roman" w:hAnsi="Times New Roman"/>
          <w:sz w:val="18"/>
          <w:szCs w:val="18"/>
          <w:color w:val="auto"/>
        </w:rPr>
      </w:pPr>
    </w:p>
    <w:p>
      <w:pPr>
        <w:ind w:left="1000" w:hanging="547"/>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current product candidates and any other product candidates we may identify and pursue, if approved, including our ability to successfully build a specialty sales force and commercial infrastructure to market our current product candidates and any other product candidates we may identify and pursue;</w:t>
      </w:r>
    </w:p>
    <w:p>
      <w:pPr>
        <w:spacing w:after="0" w:line="81"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hub-and-spoke business model, including our ability to identify research priorities and apply a risk-mitigated strategy to efficiently discover and develop product candidates;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and our needs for or ability to obtain additional financing;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455" w:right="3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the net proceeds to us from this offering;</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including mitigation efforts and economic effects, on any of the foregoing or other aspects of our business operations, including but not limited to our preclinical studies and future clinical trials;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w:t>
      </w:r>
    </w:p>
    <w:p>
      <w:pPr>
        <w:spacing w:after="0" w:line="225"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or implied by any forward-looking statements we may make.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This prospectus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“Risk Factors.” These and other factors could cause results to differ materially from those expressed in the estimates made by the independent parties or by us.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the sale of shares of our common stock in this offering will be approximately $ million, or $ million if the underwriters exercise in full their option to purchase additional shares, assuming an initial public offering price of $ per share, which</w:t>
      </w:r>
    </w:p>
    <w:p>
      <w:pPr>
        <w:ind w:right="40"/>
        <w:spacing w:after="0" w:line="260" w:lineRule="auto"/>
        <w:rPr>
          <w:sz w:val="20"/>
          <w:szCs w:val="20"/>
          <w:color w:val="auto"/>
        </w:rPr>
      </w:pPr>
      <w:r>
        <w:rPr>
          <w:rFonts w:ascii="Times New Roman" w:cs="Times New Roman" w:eastAsia="Times New Roman" w:hAnsi="Times New Roman"/>
          <w:sz w:val="18"/>
          <w:szCs w:val="18"/>
          <w:color w:val="auto"/>
        </w:rPr>
        <w:t>is the midpoint of the price range set forth on the cover page of this prospectus, and after deducting estimated underwriting discounts and commissions and estimated offering expenses payable by us.</w:t>
      </w:r>
    </w:p>
    <w:p>
      <w:pPr>
        <w:spacing w:after="0" w:line="18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which is the midpoint of the price range set forth on the cover page of this prospectus, would increase (decrease) the net proceeds to us from this offering by $ million, assuming the number of shares</w:t>
      </w:r>
    </w:p>
    <w:p>
      <w:pPr>
        <w:ind w:right="140"/>
        <w:spacing w:after="0" w:line="250" w:lineRule="auto"/>
        <w:rPr>
          <w:sz w:val="20"/>
          <w:szCs w:val="20"/>
          <w:color w:val="auto"/>
        </w:rPr>
      </w:pPr>
      <w:r>
        <w:rPr>
          <w:rFonts w:ascii="Times New Roman" w:cs="Times New Roman" w:eastAsia="Times New Roman" w:hAnsi="Times New Roman"/>
          <w:sz w:val="18"/>
          <w:szCs w:val="18"/>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w:t>
      </w:r>
    </w:p>
    <w:p>
      <w:pPr>
        <w:spacing w:after="0" w:line="1" w:lineRule="exact"/>
        <w:rPr>
          <w:sz w:val="20"/>
          <w:szCs w:val="20"/>
          <w:color w:val="auto"/>
        </w:rPr>
      </w:pPr>
    </w:p>
    <w:p>
      <w:pPr>
        <w:jc w:val="both"/>
        <w:ind w:right="440"/>
        <w:spacing w:after="0" w:line="260" w:lineRule="auto"/>
        <w:rPr>
          <w:sz w:val="20"/>
          <w:szCs w:val="20"/>
          <w:color w:val="auto"/>
        </w:rPr>
      </w:pPr>
      <w:r>
        <w:rPr>
          <w:rFonts w:ascii="Times New Roman" w:cs="Times New Roman" w:eastAsia="Times New Roman" w:hAnsi="Times New Roman"/>
          <w:sz w:val="18"/>
          <w:szCs w:val="18"/>
          <w:color w:val="auto"/>
        </w:rPr>
        <w:t>page of this prospectus, would increase (decrease) our net proceeds from this offering by $ million, assuming no change in the assumed initial public offering price per share and after deducting estimated underwriting discounts and commissions and estimated offering expenses payable by us.</w:t>
      </w:r>
    </w:p>
    <w:p>
      <w:pPr>
        <w:spacing w:after="0" w:line="181" w:lineRule="exact"/>
        <w:rPr>
          <w:sz w:val="20"/>
          <w:szCs w:val="20"/>
          <w:color w:val="auto"/>
        </w:rPr>
      </w:pPr>
    </w:p>
    <w:p>
      <w:pPr>
        <w:jc w:val="both"/>
        <w:ind w:right="440"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of $94.9 million. In addition, on December 16, 2020, we received $124.7 million from the sale of our Series C preferred units. We currently intend to use the net proceeds from this offering, together with our existing cash, cash equivalents, and short term investments for the following:</w:t>
      </w:r>
    </w:p>
    <w:p>
      <w:pPr>
        <w:sectPr>
          <w:pgSz w:w="11900" w:h="16838" w:orient="portrait"/>
          <w:cols w:equalWidth="0" w:num="1">
            <w:col w:w="11220"/>
          </w:cols>
          <w:pgMar w:left="320" w:top="455" w:right="359" w:bottom="1440" w:gutter="0" w:footer="0" w:header="0"/>
        </w:sectPr>
      </w:pPr>
    </w:p>
    <w:p>
      <w:pPr>
        <w:spacing w:after="0" w:line="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approximately $ million to complete the Phase 1/2a trial of CLN-081, as well as to fund the initiation of a later stage trial in treatment experienced NSCLC patients with EGFRex20ins mutations;</w:t>
      </w:r>
    </w:p>
    <w:p>
      <w:pPr>
        <w:spacing w:after="0" w:line="67" w:lineRule="exact"/>
        <w:rPr>
          <w:sz w:val="20"/>
          <w:szCs w:val="20"/>
          <w:color w:val="auto"/>
        </w:rPr>
      </w:pPr>
    </w:p>
    <w:p>
      <w:pPr>
        <w:sectPr>
          <w:pgSz w:w="11900" w:h="16838" w:orient="portrait"/>
          <w:cols w:equalWidth="0" w:num="2">
            <w:col w:w="520" w:space="480"/>
            <w:col w:w="10220"/>
          </w:cols>
          <w:pgMar w:left="320" w:top="455" w:right="359" w:bottom="1440" w:gutter="0" w:footer="0" w:header="0"/>
          <w:type w:val="continuous"/>
        </w:sectPr>
      </w:pPr>
    </w:p>
    <w:p>
      <w:pPr>
        <w:ind w:left="1000" w:right="480" w:hanging="54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CLN-049 and CLN-619 into Phase 1/2a trials for patients with r/r AML and advanced solid tumors, respectively;</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CLN-617 and CLN-978 through IND-enabling studies and, assuming success of those studies and subject to FDA review of an IND submission, to initiate Phase 1/2a trials with those programs; and</w:t>
      </w:r>
    </w:p>
    <w:p>
      <w:pPr>
        <w:spacing w:after="0" w:line="67" w:lineRule="exact"/>
        <w:rPr>
          <w:rFonts w:ascii="Times New Roman" w:cs="Times New Roman" w:eastAsia="Times New Roman" w:hAnsi="Times New Roman"/>
          <w:sz w:val="18"/>
          <w:szCs w:val="18"/>
          <w:color w:val="auto"/>
        </w:rPr>
      </w:pPr>
    </w:p>
    <w:p>
      <w:pPr>
        <w:ind w:left="1000" w:right="280" w:hanging="547"/>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for the continued advancement of our pipeline, including Jade and Opal, milestones for previously in-licensed programs, the identification and advancement of additional programs and development candidates, hiring of additional personnel, costs of operating as a public company, and other general corporate purposes.</w:t>
      </w:r>
    </w:p>
    <w:p>
      <w:pPr>
        <w:spacing w:after="0" w:line="176"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may also use a portion of the net proceeds to make additional investments in our non-wholly-owned subsidiaries, or in-license, acquire, or invest in new businesses, technology, or assets. Although we have no current agreements, commitments, or understandings with respect to any additional investment, in-license, or acquisition, we evaluate such opportunities and engage in related discussions with third parties from time to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our current operational plans and assumptions, we expect that the net proceeds from this offering, combined with our current cash, cash</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equivalents, and short term investments, will be sufficient to fund operations through . We have based these estimates on assumptions that may prove to be wrong, and we could utilize our available capital resources sooner than we expect. We cannot guarantee that we will be able to raise additional capital on reasonable terms or at all.</w:t>
      </w:r>
    </w:p>
    <w:p>
      <w:pPr>
        <w:spacing w:after="0" w:line="186"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455" w:right="35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and the extent of our research and development activities may vary significantly depending on numerous factors, including the progress of our development efforts, the status of and results from any preclinical studies or clinical trials we may commence in the future, our ability to take advantage of expedited programs or to obtain regulatory approval for any other therapeutic candidates we may identify and pursue, the timing and costs associated with the manufacture and supply of any other therapeutic candidates we may identify and pursue for clinical development or commercialization, and any unforeseen cash needs. As a result, our management will retain broad discretion over the allocation of the net proceeds from this offering, and investors will be relying on the judgment of our management regarding the application of the net proceeds.</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00"/>
          </w:cols>
          <w:pgMar w:left="320" w:top="455" w:right="3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never made any cash distributions to our members. Subsequent to our Reorganization,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 Entity (Cullinan Oncology, LLC)</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Currently, the capital structure of Cullinan Oncology, LLC, or the LLC entity, consists of six classes of membership units: Non-voting incentive units, common units, Series Seed preferred units, Series A preferred units, Series B preferred units, and Series C preferred units. The LLC entity is the direct parent company of Cullinan Management, Inc., and other operating subsidiaries. The subsidiaries of the LLC entity hold and advance individual therapeutic candidates, with the exception of our wholly-owned subsidiary Cullinan Management, Inc., or the Corporation, which is our shared services provider and program incubator. Each subsidiary’s current governance rights will not change as a result of the Reorganization (as defined below). For more information regarding each subsidiary’s capitalization and governance rights, see “Management’s Discussion and Analysis of Financial Condition and Results of Operations—Basis of Presentation and Consolidation” and for more information on each subsidiary’s license agreements, as applicable, see “Business—License Agreements.” Excluding our partially-owned subsidiary Cullinan Apollo, the subsidiaries of the LLC entity currently consist of the following:</w:t>
      </w:r>
    </w:p>
    <w:p>
      <w:pPr>
        <w:spacing w:after="0" w:line="94" w:lineRule="exact"/>
        <w:rPr>
          <w:sz w:val="20"/>
          <w:szCs w:val="20"/>
          <w:color w:val="auto"/>
        </w:rPr>
      </w:pPr>
    </w:p>
    <w:p>
      <w:pPr>
        <w:ind w:left="1000" w:right="40" w:hanging="547"/>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our wholly-owned operating subsidiary that employs all of our team members and incubates discovery programs until we establish a “spoke” in which to further advance them. We centralize shared services, including all research and development operations, administrative services, and business development at the Corporation, and then allocate employees and resources to the other operating subsidiaries based on the needs and development stage for each therapeutic candidate or program.</w:t>
      </w:r>
    </w:p>
    <w:p>
      <w:pPr>
        <w:spacing w:after="0" w:line="85"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Pearl Corp., or Cullinan Pearl, incorporated in November 2018, is our partially-owned operating subsidiary that has exclusive worldwide rights, excluding Japan, to CLN-081.</w:t>
      </w:r>
    </w:p>
    <w:p>
      <w:pPr>
        <w:spacing w:after="0" w:line="67"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Florentine Corp., or Cullinan Florentine, incorporated in December 2019, is our partially-owned operating subsidiary that has exclusive worldwide rights to CLN-049.</w:t>
      </w:r>
    </w:p>
    <w:p>
      <w:pPr>
        <w:spacing w:after="0" w:line="67"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Amber Corp., or Cullinan Amber, incorporated in December 2019, is our partially-owned operating subsidiary that has exclusive worldwide rights to the patents related to the technology that originated from and was developed in the laboratory of Professor Dane Wittrup at the Massachusetts Institute of Technology.</w:t>
      </w:r>
    </w:p>
    <w:p>
      <w:pPr>
        <w:spacing w:after="0" w:line="81"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MICA, Corp. (formerly known as PDI Therapeutics, Inc.), or Cullinan MICA, which we assumed operational control of in May 2020, is our partially-owned operating subsidiary that owns intellectual property related to CLN-619.</w:t>
      </w:r>
    </w:p>
    <w:p>
      <w:pPr>
        <w:spacing w:after="0" w:line="67"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Apollo Corp, or Cullinan Apollo, incorporated in November 2018, is our partially-owned subsidiary. In May 2020, Cullinan Apollo discontinued development of VK-2019 and terminated its license and collaboration agreements with The Wistar Institute.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we will complete a series of transactions, which we refer to collectively as the Reorganization. As a result of the Reorganization, we anticipate Cullinan Oncology, LLC will merge with and into the Corporation, with the Corporation being the surviving entity of such merger. The Corporation will become the registrant for purposes of this offering and our consolidated financial statements will be reported by the Corporation.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steps to the Reorganization will include:</w:t>
      </w:r>
    </w:p>
    <w:p>
      <w:pPr>
        <w:spacing w:after="0" w:line="131" w:lineRule="exact"/>
        <w:rPr>
          <w:sz w:val="20"/>
          <w:szCs w:val="20"/>
          <w:color w:val="auto"/>
        </w:rPr>
      </w:pPr>
    </w:p>
    <w:p>
      <w:pPr>
        <w:jc w:val="both"/>
        <w:ind w:left="1000" w:right="100" w:hanging="547"/>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LLC entity will contribute all of the stock it owns of each of Cullinan Apollo, Cullinan Florentine, Cullinan Amber, Cullinan Pearl, and Cullinan MICA, or collectively, the Asset Subsidiaries, to the Corporation in exchange for common stock of the Corporation that will result in the Asset Subsidiaries becoming partially-owned subsidiaries of the Corporation;</w:t>
      </w:r>
    </w:p>
    <w:p>
      <w:pPr>
        <w:spacing w:after="0" w:line="81"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this contribution and prior to the completion of this offering, the LLC entity will merge with and into the Corporation with the Corporation being the surviving entity of such merger, or the LLC Merger;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80"/>
          </w:cols>
          <w:pgMar w:left="320" w:top="455" w:right="3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40" w:hanging="54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steps necessary to effect the Corporation becoming the registrant for this offering and our combined consolidated financial statements being reported from the Corporation going forward after the Reorganization.</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As part of the LLC Merger, by operation of law, the Corporation will acquire all assets of the LLC entity and assume all of its liabilities and obligations. As part of the Reorganization, the holders of existing units in the LLC entity will exchange those units for corresponding shares of capital stock of the Corporation, after which those holders will have received 100% of the outstanding capital stock of the Corporation as of immediately prior to the completion of this offering. As a result of the LLC Merger, the unit holders of the LLC will receive equity in the Corporation as follows:</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Holders of the LLC entity’s outstanding Series Seed preferred units shall receive</w:t>
            </w:r>
          </w:p>
        </w:tc>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of the Corporation’s Series Seed preferred</w:t>
            </w:r>
          </w:p>
        </w:tc>
      </w:tr>
      <w:tr>
        <w:trPr>
          <w:trHeight w:val="234"/>
        </w:trPr>
        <w:tc>
          <w:tcPr>
            <w:tcW w:w="300" w:type="dxa"/>
            <w:vAlign w:val="bottom"/>
          </w:tcPr>
          <w:p>
            <w:pPr>
              <w:spacing w:after="0"/>
              <w:rPr>
                <w:sz w:val="20"/>
                <w:szCs w:val="20"/>
                <w:color w:val="auto"/>
              </w:rPr>
            </w:pP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4020" w:type="dxa"/>
            <w:vAlign w:val="bottom"/>
          </w:tcPr>
          <w:p>
            <w:pPr>
              <w:spacing w:after="0"/>
              <w:rPr>
                <w:sz w:val="20"/>
                <w:szCs w:val="20"/>
                <w:color w:val="auto"/>
              </w:rPr>
            </w:pP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Holders of the LLC entity’s outstanding Series A preferred units shall receive</w:t>
            </w: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shares of the Corporation’s Series A preferred stock;</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Holders of the LLC entity’s outstanding Series B preferred units shall receive</w:t>
            </w: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of the Corporation’s Series B preferred stock;</w:t>
            </w:r>
          </w:p>
        </w:tc>
      </w:tr>
      <w:tr>
        <w:trPr>
          <w:trHeight w:val="31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Holders of the LLC entity’s outstanding Series C preferred units shall receive</w:t>
            </w: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of the Corporation’s Series C preferred stock;</w:t>
            </w:r>
          </w:p>
        </w:tc>
      </w:tr>
      <w:tr>
        <w:trPr>
          <w:trHeight w:val="234"/>
        </w:trPr>
        <w:tc>
          <w:tcPr>
            <w:tcW w:w="300" w:type="dxa"/>
            <w:vAlign w:val="bottom"/>
          </w:tcPr>
          <w:p>
            <w:pPr>
              <w:spacing w:after="0"/>
              <w:rPr>
                <w:sz w:val="20"/>
                <w:szCs w:val="20"/>
                <w:color w:val="auto"/>
              </w:rPr>
            </w:pP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4020" w:type="dxa"/>
            <w:vAlign w:val="bottom"/>
          </w:tcPr>
          <w:p>
            <w:pPr>
              <w:spacing w:after="0"/>
              <w:rPr>
                <w:sz w:val="20"/>
                <w:szCs w:val="20"/>
                <w:color w:val="auto"/>
              </w:rPr>
            </w:pP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Holders of the LLC entity’s outstanding shares of common units shall receive</w:t>
            </w: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shares of the Corporation’s restricted common stock.</w:t>
            </w:r>
          </w:p>
        </w:tc>
      </w:tr>
    </w:tbl>
    <w:p>
      <w:pPr>
        <w:spacing w:after="0" w:line="198"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Following the LLC Merger, and prior to the consummation of this offering, all outstanding preferred stock of the Corporation will automatically be converted on a 1-for-1 basis into common stock of the 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Incentive Equity of Cullinan Oncology, LLC</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all of the outstanding Non-Voting Incentive Units of the LLC entity will be exchanged for shares of the common stock and restricted common stock of the Corporation as provided for in the distribution provisions of the LLC Agreement, and the terms and conditions of the LLC Merger. The portion of the outstanding Non-Voting Incentive Units of the LLC entity that have vested as of the consummation of the Reorganization will be exchanged for shares of common stock of the Corporation, and the remaining portion of unvested outstanding Non-Voting Incentive Units of the LLC entity will be exchanged for restricted common stock of the Corporation. The shares of restricted common stock will be subject to time-based vesting conditions, in accordance with the terms and conditions of the Non-Voting Incentive Units of the LLC entity from which such shares are exchanged. In addition, in connection with the Reorganization, all of the outstanding non-qualified options to purchase common units of the LLC entity will be exchanged for non-qualified options to purchase shares of common stock of the Corporation as provided for in the distribution provisions of the LLC Agreement, and the terms and conditions of the LLC Merger. The non-qualified options to purchase shares of common stock of the Corporation will be subject to time-based vesting conditions, in accordance with the terms and conditions of the non-qualified options to purchase common units of the LLC entity from which such options are exchanged.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Reorganization, the Corporation will be a holding company of the Asset Subsidiaries. As the controlling shareholder of the Asset Subsidiaries, with the exception of Cullinan MICA, and with the right to appoint the majority of members of the board of directors of Cullinan MICA, the Corporation will operate and control the business and affairs of the Asset Subsidiaries. The Corporation will consolidate the financial results of its subsidiaries.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all of the property and assets of the LLC entity, including equity in the Asset Subsidiaries, will become the property and assets of the Corporation, and all of the debts and obligations of the LLC entity will become the debts and obligations of the Corporation by operation of law. The Corporation will be governed by an amended and restated certificate of incorporation to be filed with the Delaware Secretary of State and amended and restated bylaws, the material portions of each of which are described under the heading “Description of Capital Stock.”</w:t>
      </w:r>
    </w:p>
    <w:p>
      <w:pPr>
        <w:spacing w:after="0" w:line="180"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On the effective date of the Reorganization, the members of the board of directors of the LLC entity will become the members of the Corporation’s board of directors and the officers of the LLC entity will become the officers of the Corporation.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purpose of the Reorganization is to reorganize our corporate structure so that the entity that is offering</w:t>
      </w:r>
    </w:p>
    <w:p>
      <w:pPr>
        <w:spacing w:after="0" w:line="2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common stock to the public in this offering is a corporation rather than a limited liability company and so that our existing investors will own our common stock rather than units in a limited liability company. References in this prospectus to our capitalization and other matters pertaining to our equity and shares prior to the Reorganization relate to the capitalization and equity and units of the LLC entity, and after the Reorganization, to the Corporation.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Equity Exchange</w:t>
      </w:r>
    </w:p>
    <w:p>
      <w:pPr>
        <w:spacing w:after="0" w:line="121" w:lineRule="exact"/>
        <w:rPr>
          <w:sz w:val="20"/>
          <w:szCs w:val="20"/>
          <w:color w:val="auto"/>
        </w:rPr>
      </w:pPr>
    </w:p>
    <w:p>
      <w:pPr>
        <w:ind w:right="340" w:firstLine="449"/>
        <w:spacing w:after="0" w:line="254" w:lineRule="auto"/>
        <w:rPr>
          <w:sz w:val="20"/>
          <w:szCs w:val="20"/>
          <w:color w:val="auto"/>
        </w:rPr>
      </w:pPr>
      <w:r>
        <w:rPr>
          <w:rFonts w:ascii="Times New Roman" w:cs="Times New Roman" w:eastAsia="Times New Roman" w:hAnsi="Times New Roman"/>
          <w:sz w:val="18"/>
          <w:szCs w:val="18"/>
          <w:color w:val="auto"/>
        </w:rPr>
        <w:t>In October 2020, in connection with the Reorganization, the LLC entity adopted the 2020 Unit Option and Grant Plan, or the 2020 Unit Plan, reserving 36,972,854 million common units for issuance pursuant to the 2020 Unit Plan, and decreased the authorized reserve under the 2016 Equity Incentive Plan such that no more non-voting incentive units could be issued under that plan. Options in respect of 32,493,491 common units were then granted pursuant to the 2020 Unit Plan at an exercise price of $0.61 per common unit, including the awards to our named executive officers and non-employee directors as described below. The purpose of these option grants was to (a) provide the required equity pursuant to anti-dilution provisions in agreements with certain employees, directors and consultants; (b) grant recently hired individuals equity in accordance with their offer letters and per standard practices; and (c) exchange employees’ shares of restricted stock in Cullinan Amber, Cullinan Pearl, and Cullinan Florentine for restricted common units of the LLC entity as described below, thereby increasing the LLC entity’s ownership in Cullinan Amber, Cullinan Pearl, and Cullinan Florentine.</w:t>
      </w:r>
    </w:p>
    <w:p>
      <w:pPr>
        <w:spacing w:after="0" w:line="188"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In addition, in November 2020, the LLC entity entered into a Contribution Agreement, or the Restricted Stock Contribution Agreement, with each holder of restricted stock of Cullinan Amber, Cullinan Pearl, and Cullinan Florentine. Pursuant to the Restricted Stock Contribution Agreement, each holder contributed their respective shares of restricted stock and in exchange received 2,254,231 restricted common units of the LLC entity under the 2020 Unit Plan with an aggregate value equal to the value of the restricted stock contributed to the LLC entity, or the Restricted Stock Contribution.</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board of directors of Cullinan Pearl further authorized the entry into a Common Unit Purchase Agreement with the LLC entity pursuant to which Cullinan Pearl purchased 22,868 common units of the LLC entity for a purchase price of $0.61 per common unit, for an aggregate of $13,950, or the Unit Purchase. In addition, the LLC entity entered into subscription agreements with Cullinan Pearl pursuant to which the LLC entity purchased an aggregate of 2,730,225 shares of common stock of Cullinan Pearl.</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Simultaneous with the Restricted Stock Contribution, the board of directors of Cullinan Amber, Cullinan Pearl, and Cullinan Florentine determined to accelerate the vesting of the shares of unvested restricted stock immediately prior to the contribution of such stock pursuant to the Restricted Stock Contribution Agreement described above and then terminated their respective stock option and grant plans and the remaining shares reserved for issuance under each respective stock option and grant plan were retired to the status of authorized and unissued shares. The board of directors of Cullinan Pearl also approved the cancellation of all of its outstanding options that were issued pursuant to its stock option and grant plan. In exchange for the cancellation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455" w:right="3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the outstanding options, the holders of such options received a number of restricted common units of the LLC that were acquired in the Unit Purchase for each option’s spread value using fair market values prepared by a third party accounting firm. Such restricted common units vest on the same schedule as the options they replaced.</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equity exchange, each of Mr. Hughes and Drs. Baeuerle and Savill received anti-dilution and make-whole option grants under the 2020 Unit Plan as well as a cash bonus award of $37,500 each. See “Executive Compensation” for additional information.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80"/>
          </w:cols>
          <w:pgMar w:left="320" w:top="455" w:right="39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short-term investments and our capitalization as of September 30, 2020:</w:t>
      </w:r>
    </w:p>
    <w:p>
      <w:pPr>
        <w:spacing w:after="0" w:line="131"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66,599,045 Series C preferred units in December 2020 for net proceeds of $124.7 million;</w:t>
      </w:r>
    </w:p>
    <w:p>
      <w:pPr>
        <w:spacing w:after="0" w:line="130" w:lineRule="exact"/>
        <w:rPr>
          <w:rFonts w:ascii="Times New Roman" w:cs="Times New Roman" w:eastAsia="Times New Roman" w:hAnsi="Times New Roman"/>
          <w:sz w:val="18"/>
          <w:szCs w:val="18"/>
          <w:color w:val="auto"/>
        </w:rPr>
      </w:pPr>
    </w:p>
    <w:p>
      <w:pPr>
        <w:ind w:left="1440" w:right="440" w:hanging="433"/>
        <w:spacing w:after="0" w:line="282"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Reorganization and, subsequent to the Reorganization, the conversion of all outstanding preferred stock into common stock; and</w:t>
      </w:r>
    </w:p>
    <w:p>
      <w:pPr>
        <w:spacing w:after="0" w:line="67" w:lineRule="exact"/>
        <w:rPr>
          <w:rFonts w:ascii="Times New Roman" w:cs="Times New Roman" w:eastAsia="Times New Roman" w:hAnsi="Times New Roman"/>
          <w:sz w:val="18"/>
          <w:szCs w:val="18"/>
          <w:color w:val="auto"/>
        </w:rPr>
      </w:pPr>
    </w:p>
    <w:p>
      <w:pPr>
        <w:ind w:left="1440" w:right="280" w:hanging="433"/>
        <w:spacing w:after="0" w:line="282"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effective immediately prior to the closing of the offering;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our issuance and sale of shares of our common stock in this offering at an assumed</w:t>
      </w:r>
    </w:p>
    <w:p>
      <w:pPr>
        <w:spacing w:after="0" w:line="27" w:lineRule="exact"/>
        <w:rPr>
          <w:sz w:val="20"/>
          <w:szCs w:val="20"/>
          <w:color w:val="auto"/>
        </w:rPr>
      </w:pPr>
    </w:p>
    <w:p>
      <w:pPr>
        <w:ind w:left="1000" w:right="140"/>
        <w:spacing w:after="0" w:line="260" w:lineRule="auto"/>
        <w:rPr>
          <w:sz w:val="20"/>
          <w:szCs w:val="20"/>
          <w:color w:val="auto"/>
        </w:rPr>
      </w:pPr>
      <w:r>
        <w:rPr>
          <w:rFonts w:ascii="Times New Roman" w:cs="Times New Roman" w:eastAsia="Times New Roman" w:hAnsi="Times New Roman"/>
          <w:sz w:val="18"/>
          <w:szCs w:val="18"/>
          <w:color w:val="auto"/>
        </w:rPr>
        <w:t>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81"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table together with our combined and consolidated financial statements and the related notes appearing at the end of this prospectus and the sections of this prospectus titled “Reorganization,” “Selected Consolidated Financial Data” and “Management’s Discussion and Analysis of Financial Condition and Results of Operations.”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17"/>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4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ACTUAL</w:t>
            </w:r>
          </w:p>
        </w:tc>
        <w:tc>
          <w:tcPr>
            <w:tcW w:w="3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4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94,892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219,592</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Seed redeemable preferred units, $0.0001 par value; 16,000,000 units authorized issued</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actual; no units authorized, issued or outstanding, pro forma; no units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as adjusted</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3,956</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A1 redeemable preferred units, $0.0001 par value; 50,000,000 units authorized issued</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outstanding, actual; no units authorized, issued or outstanding, pro forma; no units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as adjusted</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49,946</w:t>
            </w:r>
          </w:p>
        </w:tc>
        <w:tc>
          <w:tcPr>
            <w:tcW w:w="3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preferred units, $0.0001 par value: 64,200,000 units authorized, and</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63,141,020 units issued and outstanding, actual; no units authorized, issued or outstanding,</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no units authorized, issued or outstanding, pro forma as adjusted</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97,909</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deficit, actual; Stockholders’ equity, pro forma and pro forma as adjusted: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Non-voting incentive units, $0.0001 par value; 23,860,000 units authorized, 11,896,500 units</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no units authorized, issued and outstanding, pro forma and</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44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Pr>
          <w:p>
            <w:pPr>
              <w:spacing w:after="0"/>
              <w:rPr>
                <w:sz w:val="10"/>
                <w:szCs w:val="10"/>
                <w:color w:val="auto"/>
              </w:rPr>
            </w:pPr>
          </w:p>
        </w:tc>
        <w:tc>
          <w:tcPr>
            <w:tcW w:w="15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300" w:type="dxa"/>
            <w:vAlign w:val="bottom"/>
            <w:gridSpan w:val="3"/>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1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3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Common units, $0.0001 par value; no units authorized, issued and outstanding, actual; no</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authorized, issued and outstanding, pro forma and pro forma as adjusted</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no shares authorized, issued and outstanding, actual;</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authorized, 207,636,565 shares issued and outstanding, pro forma;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pro forma as adjusted</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1,863</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1,863</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2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277,261</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(64,993)</w:t>
            </w: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(64,993)</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0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members’ deficit, actual; Total stockholders’ equity, pro forma and pro forma as</w:t>
            </w: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adjusted</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(62,300)</w:t>
            </w:r>
          </w:p>
        </w:tc>
        <w:tc>
          <w:tcPr>
            <w:tcW w:w="18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214,211</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$ 89,511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214,211</w:t>
            </w:r>
          </w:p>
        </w:tc>
        <w:tc>
          <w:tcPr>
            <w:tcW w:w="6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0" w:hanging="459"/>
        <w:spacing w:after="0" w:line="253" w:lineRule="auto"/>
        <w:tabs>
          <w:tab w:leader="none" w:pos="440" w:val="left"/>
        </w:tabs>
        <w:rPr>
          <w:sz w:val="20"/>
          <w:szCs w:val="20"/>
          <w:color w:val="auto"/>
        </w:rPr>
      </w:pPr>
      <w:r>
        <w:rPr>
          <w:rFonts w:ascii="Times New Roman" w:cs="Times New Roman" w:eastAsia="Times New Roman" w:hAnsi="Times New Roman"/>
          <w:sz w:val="18"/>
          <w:szCs w:val="18"/>
          <w:color w:val="auto"/>
        </w:rPr>
        <w:t>(1)</w:t>
        <w:tab/>
        <w:t>A $1.00 increase (decrease) in the assumed initial public offering price of $ per share, which is the midpoint of the price range set forth on the cover page of this prospectus, would increase (decrease) the pro forma as adjusted amount of each of cash, total stockholders’ equity and total capitalization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total stockholders’ equity and total capitalization by $ million, assuming no change in the assumed initial</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public offering price per share and after deducting estimated underwriting discounts and commissions and estimated offering expenses payable by us.</w:t>
      </w:r>
    </w:p>
    <w:p>
      <w:pPr>
        <w:spacing w:after="0" w:line="207" w:lineRule="exact"/>
        <w:rPr>
          <w:sz w:val="20"/>
          <w:szCs w:val="20"/>
          <w:color w:val="auto"/>
        </w:rPr>
      </w:pPr>
    </w:p>
    <w:p>
      <w:pPr>
        <w:ind w:right="660" w:firstLine="449"/>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gives effect to the Reorganization and, subsequent to the Reorganization, the conversion of all outstanding preferred stock into common stock, and is based on (i) an assumed initial public offering price of</w:t>
      </w:r>
    </w:p>
    <w:p>
      <w:pPr>
        <w:spacing w:after="0"/>
        <w:tabs>
          <w:tab w:leader="none" w:pos="660" w:val="left"/>
          <w:tab w:leader="none" w:pos="8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 share, the midpoint of the price range set forth on the cover page of this prospectus, and (ii)</w:t>
      </w:r>
      <w:r>
        <w:rPr>
          <w:sz w:val="20"/>
          <w:szCs w:val="20"/>
          <w:color w:val="auto"/>
        </w:rPr>
        <w:tab/>
      </w:r>
      <w:r>
        <w:rPr>
          <w:rFonts w:ascii="Times New Roman" w:cs="Times New Roman" w:eastAsia="Times New Roman" w:hAnsi="Times New Roman"/>
          <w:sz w:val="18"/>
          <w:szCs w:val="18"/>
          <w:color w:val="auto"/>
        </w:rPr>
        <w:t>shares of our common stock (which</w:t>
      </w:r>
    </w:p>
    <w:p>
      <w:pPr>
        <w:spacing w:after="0" w:line="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includes</w:t>
      </w:r>
      <w:r>
        <w:rPr>
          <w:sz w:val="20"/>
          <w:szCs w:val="20"/>
          <w:color w:val="auto"/>
        </w:rPr>
        <w:tab/>
      </w:r>
      <w:r>
        <w:rPr>
          <w:rFonts w:ascii="Times New Roman" w:cs="Times New Roman" w:eastAsia="Times New Roman" w:hAnsi="Times New Roman"/>
          <w:sz w:val="18"/>
          <w:szCs w:val="18"/>
          <w:color w:val="auto"/>
        </w:rPr>
        <w:t>shares of restricted common stock) outstanding as of September 30, 2020, which assumes the exchange of all outstanding units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Oncology, LLC as of September 30, 2020 and 66,599,045 Series C preferred units issued after September 30, 2020 for an aggregate of</w:t>
      </w:r>
    </w:p>
    <w:p>
      <w:pPr>
        <w:spacing w:after="0" w:line="9"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shares of common stock of Cullinan Management, Inc. (which includes</w:t>
      </w:r>
      <w:r>
        <w:rPr>
          <w:sz w:val="20"/>
          <w:szCs w:val="20"/>
          <w:color w:val="auto"/>
        </w:rPr>
        <w:tab/>
      </w:r>
      <w:r>
        <w:rPr>
          <w:rFonts w:ascii="Times New Roman" w:cs="Times New Roman" w:eastAsia="Times New Roman" w:hAnsi="Times New Roman"/>
          <w:sz w:val="17"/>
          <w:szCs w:val="17"/>
          <w:color w:val="auto"/>
        </w:rPr>
        <w:t>shares of restricted common stock) prior to the completion of this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if such exchange had occurred as of September 30, 2020. See the section of the prospectus titled “Reorganization.”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above does not include:</w:t>
      </w:r>
    </w:p>
    <w:p>
      <w:pPr>
        <w:spacing w:after="0" w:line="131" w:lineRule="exact"/>
        <w:rPr>
          <w:sz w:val="20"/>
          <w:szCs w:val="20"/>
          <w:color w:val="auto"/>
        </w:rPr>
      </w:pPr>
    </w:p>
    <w:p>
      <w:pPr>
        <w:ind w:left="1000" w:right="260" w:hanging="547"/>
        <w:spacing w:after="0" w:line="282" w:lineRule="auto"/>
        <w:tabs>
          <w:tab w:leader="none" w:pos="1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2021 Plan, which will become effective in connection with this offering;</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2021 ESPP, which will become effective in connection with this offering;</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32,493,491 common unit options that were granted pursuant to the 2020 Unit Plan in October 2020 at a weighted average exercise price of $0.61;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2,254,231 restricted common units granted pursuant to the Restricted Stock Contribution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45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76"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Our historical net tangible book value (deficit) and historical net tangible book value (deficit) per share have not been presented as there were no common shares outstanding as of September 30, 2020.</w:t>
      </w:r>
    </w:p>
    <w:p>
      <w:pPr>
        <w:spacing w:after="0" w:line="162"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2020 was $214.2 million, or $1.03 per share of our common stock. Pro forma net tangible book value represents the amount of our total tangible assets less our total liabilities, after giving effect to (i) the issuance of our Series C preferred units and (ii) the Reorganization, including the exchange of all outstanding units of Cullinan Oncology, LLC as of September 30, 2020 and 66,599,045 Series C preferred units issued after September 30, 2020, for an aggregate of 207,636,565 shares of common stock of our wholly-owned subsidiary Cullinan Management (which includes shares of restricted common stock), prior to the completion of this offering, as if such exchange had occurred as of</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September 30, 2020, assuming an initial public offering price of $ per share, which is the midpoint of the price range set forth on the cover page of this prospectus, and subsequent to the Reorganization, the conversion of all outstanding preferred stock into common stock. Pro forma net tangible book value per share represents pro forma net tangible book value divided by the total number of shares outstanding as of September 30, 2020 after giving effect to the pro forma adjustments described above.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giving further effect to our issuance and sale of shares of our common stock in this offering at an assumed initial public offering price of</w:t>
      </w:r>
    </w:p>
    <w:p>
      <w:pPr>
        <w:spacing w:after="0" w:line="27" w:lineRule="exact"/>
        <w:rPr>
          <w:sz w:val="20"/>
          <w:szCs w:val="20"/>
          <w:color w:val="auto"/>
        </w:rPr>
      </w:pPr>
    </w:p>
    <w:p>
      <w:pPr>
        <w:ind w:left="680" w:hanging="672"/>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which is the midpoint of the price range set forth on the cover page of this prospectus, and after deducting estimated underwriting</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commissions and estimated offering expenses payable by us, our pro forma as adjusted net tangible book value as of September 30, 2020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would have been $ million, or $ per share. This represents an immediate increase in pro forma as adjusted net tangible book value per share of $ to existing stockholders and immediate dilution of $ in pro forma as adjusted net tangible book value per share to new investors</w:t>
      </w: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purchasing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tc>
        <w:tc>
          <w:tcPr>
            <w:tcW w:w="4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036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common stock in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this offering</w:t>
            </w:r>
          </w:p>
        </w:tc>
        <w:tc>
          <w:tcPr>
            <w:tcW w:w="36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3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common stock in this offering</w:t>
            </w:r>
          </w:p>
        </w:tc>
        <w:tc>
          <w:tcPr>
            <w:tcW w:w="3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50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per share, which is the midpoint of the price range set forth on the</w:t>
            </w:r>
          </w:p>
        </w:tc>
      </w:tr>
      <w:tr>
        <w:trPr>
          <w:trHeight w:val="216"/>
        </w:trPr>
        <w:tc>
          <w:tcPr>
            <w:tcW w:w="10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of this prospectus, would increase (decrease) our pro forma as adjusted net tangible book value per share after this offering by $</w:t>
            </w:r>
          </w:p>
        </w:tc>
        <w:tc>
          <w:tcPr>
            <w:tcW w:w="14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common stock in this offering by $</w:t>
            </w:r>
          </w:p>
        </w:tc>
        <w:tc>
          <w:tcPr>
            <w:tcW w:w="508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 assuming that the number of shares offered by us, as set forth on</w:t>
            </w:r>
          </w:p>
        </w:tc>
      </w:tr>
    </w:tbl>
    <w:p>
      <w:pPr>
        <w:jc w:val="both"/>
        <w:ind w:right="20"/>
        <w:spacing w:after="0" w:line="396" w:lineRule="auto"/>
        <w:rPr>
          <w:sz w:val="20"/>
          <w:szCs w:val="20"/>
          <w:color w:val="auto"/>
        </w:rPr>
      </w:pPr>
      <w:r>
        <w:rPr>
          <w:rFonts w:ascii="Times New Roman" w:cs="Times New Roman" w:eastAsia="Times New Roman" w:hAnsi="Times New Roman"/>
          <w:sz w:val="17"/>
          <w:szCs w:val="17"/>
          <w:color w:val="auto"/>
        </w:rPr>
        <w:t>the cover page of this prospectus, remains the same and after deducting estimated underwriting discounts and commissions and estimated offering expenses payable by us. An increase of 1,000,000 shares in the number of shares offered by us, as set forth on the cover page of this prospectus, would increase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 by $ and decrease the dilution per share to new investors purchasing common stock in this offering by $ , assuming no change in the assumed initial public offering price per share and after deducting estimated underwriting discounts and commissions and estimated offering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45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payable by us. A decrease of 1,000,000 shares in the number of shares offered by us, as set forth on the cover page of this prospectus, would</w:t>
      </w:r>
    </w:p>
    <w:p>
      <w:pPr>
        <w:spacing w:after="0" w:line="27" w:lineRule="exact"/>
        <w:rPr>
          <w:sz w:val="20"/>
          <w:szCs w:val="20"/>
          <w:color w:val="auto"/>
        </w:rPr>
      </w:pPr>
    </w:p>
    <w:p>
      <w:pPr>
        <w:spacing w:after="0"/>
        <w:tabs>
          <w:tab w:leader="none" w:pos="7160" w:val="left"/>
        </w:tabs>
        <w:rPr>
          <w:sz w:val="20"/>
          <w:szCs w:val="20"/>
          <w:color w:val="auto"/>
        </w:rPr>
      </w:pPr>
      <w:r>
        <w:rPr>
          <w:rFonts w:ascii="Times New Roman" w:cs="Times New Roman" w:eastAsia="Times New Roman" w:hAnsi="Times New Roman"/>
          <w:sz w:val="18"/>
          <w:szCs w:val="18"/>
          <w:color w:val="auto"/>
        </w:rPr>
        <w:t>decrease our pro forma as adjusted net tangible book value per share after this offering by $</w:t>
      </w:r>
      <w:r>
        <w:rPr>
          <w:sz w:val="20"/>
          <w:szCs w:val="20"/>
          <w:color w:val="auto"/>
        </w:rPr>
        <w:tab/>
      </w:r>
      <w:r>
        <w:rPr>
          <w:rFonts w:ascii="Times New Roman" w:cs="Times New Roman" w:eastAsia="Times New Roman" w:hAnsi="Times New Roman"/>
          <w:sz w:val="18"/>
          <w:szCs w:val="18"/>
          <w:color w:val="auto"/>
        </w:rPr>
        <w:t>and increase the dilution per share to new investors</w:t>
      </w:r>
    </w:p>
    <w:p>
      <w:pPr>
        <w:spacing w:after="0" w:line="9"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purchasing common stock in this offering by $ , assuming no change in the assumed initial public offering price and after deducting estimated underwriting discounts and commissions and estimated offering expenses payable by us.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underwriters fully exercise their option to purchase additional shares of common stock in this offering, our pro forma as adjusted net tangible</w:t>
      </w:r>
    </w:p>
    <w:p>
      <w:pPr>
        <w:spacing w:after="0" w:line="27"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18"/>
          <w:szCs w:val="18"/>
          <w:color w:val="auto"/>
        </w:rPr>
        <w:t>book value per share after this offering would be $</w:t>
      </w:r>
      <w:r>
        <w:rPr>
          <w:sz w:val="20"/>
          <w:szCs w:val="20"/>
          <w:color w:val="auto"/>
        </w:rPr>
        <w:tab/>
      </w:r>
      <w:r>
        <w:rPr>
          <w:rFonts w:ascii="Times New Roman" w:cs="Times New Roman" w:eastAsia="Times New Roman" w:hAnsi="Times New Roman"/>
          <w:sz w:val="17"/>
          <w:szCs w:val="17"/>
          <w:color w:val="auto"/>
        </w:rPr>
        <w:t>and the dilution in pro forma as adjusted net tangible book value per share to new investors</w:t>
      </w:r>
    </w:p>
    <w:p>
      <w:pPr>
        <w:spacing w:after="0" w:line="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purchasing common stock in this offering would be $ , assuming no change in the assumed initial public offering price per share and after deducting estimated underwriting discounts and commissions and estimated offering expenses payable by us.</w:t>
      </w:r>
    </w:p>
    <w:p>
      <w:pPr>
        <w:spacing w:after="0" w:line="18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September 30, 2020, on the pro forma as adjusted basis described above, the total number of shares of common stock purchased from us, the total consideration paid or to be paid, and the average price per share paid or to be paid by existing stockholders and</w:t>
      </w:r>
    </w:p>
    <w:p>
      <w:pPr>
        <w:ind w:right="40"/>
        <w:spacing w:after="0" w:line="253" w:lineRule="auto"/>
        <w:rPr>
          <w:sz w:val="20"/>
          <w:szCs w:val="20"/>
          <w:color w:val="auto"/>
        </w:rPr>
      </w:pPr>
      <w:r>
        <w:rPr>
          <w:rFonts w:ascii="Times New Roman" w:cs="Times New Roman" w:eastAsia="Times New Roman" w:hAnsi="Times New Roman"/>
          <w:sz w:val="18"/>
          <w:szCs w:val="18"/>
          <w:color w:val="auto"/>
        </w:rPr>
        <w:t>by new investors in this offering at an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stockholders paid.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2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00" w:type="dxa"/>
            <w:vAlign w:val="bottom"/>
          </w:tcPr>
          <w:p>
            <w:pPr>
              <w:spacing w:after="0"/>
              <w:rPr>
                <w:sz w:val="13"/>
                <w:szCs w:val="13"/>
                <w:color w:val="auto"/>
              </w:rPr>
            </w:pPr>
          </w:p>
        </w:tc>
        <w:tc>
          <w:tcPr>
            <w:tcW w:w="172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42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2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Borders>
              <w:bottom w:val="single" w:sz="8" w:color="auto"/>
            </w:tcBorders>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0"/>
                <w:szCs w:val="10"/>
                <w:color w:val="auto"/>
              </w:rPr>
            </w:pPr>
          </w:p>
        </w:tc>
        <w:tc>
          <w:tcPr>
            <w:tcW w:w="7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0" w:type="dxa"/>
            <w:vAlign w:val="bottom"/>
          </w:tcPr>
          <w:p>
            <w:pPr>
              <w:spacing w:after="0"/>
              <w:rPr>
                <w:sz w:val="10"/>
                <w:szCs w:val="10"/>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7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20" w:type="dxa"/>
            <w:vAlign w:val="bottom"/>
          </w:tcPr>
          <w:p>
            <w:pPr>
              <w:spacing w:after="0"/>
              <w:rPr>
                <w:sz w:val="10"/>
                <w:szCs w:val="10"/>
                <w:color w:val="auto"/>
              </w:rPr>
            </w:pPr>
          </w:p>
        </w:tc>
        <w:tc>
          <w:tcPr>
            <w:tcW w:w="74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4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9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per share, which is the midpoint of the price range set forth on the</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of this prospectus, would increase (decrease) the total consideration paid by new investors by $</w:t>
            </w:r>
          </w:p>
        </w:tc>
        <w:tc>
          <w:tcPr>
            <w:tcW w:w="32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million and, in the case of an increase,</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would increase the percentage of total consideration paid by new investors by</w:t>
            </w:r>
          </w:p>
        </w:tc>
        <w:tc>
          <w:tcPr>
            <w:tcW w:w="490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percentage points and, in the case of a decrease, would decrease</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percentage of total consideration paid by new investors by</w:t>
            </w:r>
          </w:p>
        </w:tc>
        <w:tc>
          <w:tcPr>
            <w:tcW w:w="6360" w:type="dxa"/>
            <w:vAlign w:val="bottom"/>
            <w:gridSpan w:val="11"/>
          </w:tcPr>
          <w:p>
            <w:pPr>
              <w:ind w:left="400"/>
              <w:spacing w:after="0"/>
              <w:rPr>
                <w:sz w:val="20"/>
                <w:szCs w:val="20"/>
                <w:color w:val="auto"/>
              </w:rPr>
            </w:pPr>
            <w:r>
              <w:rPr>
                <w:rFonts w:ascii="Times New Roman" w:cs="Times New Roman" w:eastAsia="Times New Roman" w:hAnsi="Times New Roman"/>
                <w:sz w:val="18"/>
                <w:szCs w:val="18"/>
                <w:color w:val="auto"/>
              </w:rPr>
              <w:t>percentage points, assuming that the number of shares offered by us, as set forth</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on the cover page of this prospectus, remains the same. An increase (decrease) of 1,000,000 shares in the number of shares offered by us, as set forth on the</w:t>
      </w:r>
    </w:p>
    <w:p>
      <w:pPr>
        <w:spacing w:after="0" w:line="200" w:lineRule="exact"/>
        <w:rPr>
          <w:sz w:val="20"/>
          <w:szCs w:val="20"/>
          <w:color w:val="auto"/>
        </w:rPr>
      </w:pPr>
    </w:p>
    <w:p>
      <w:pPr>
        <w:spacing w:after="0" w:line="20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cover page of this prospectus, would increase (decrease) the total consideration 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 per share.</w:t>
      </w:r>
    </w:p>
    <w:p>
      <w:pPr>
        <w:spacing w:after="0" w:line="400"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additional shares in this offering. If the underwriters’ option to purchase additional shares is fully exercised, the number of shares of our common stock held by existing stockholders would be reduced to % of the total number of shares of our common stock outstanding after this offering, and the number of shares of common stock held by new investors purchasing common stock in this offering would be increased to % of the total number of shares of our common stock outstanding after this offering.</w:t>
      </w:r>
    </w:p>
    <w:p>
      <w:pPr>
        <w:spacing w:after="0" w:line="180" w:lineRule="exact"/>
        <w:rPr>
          <w:sz w:val="20"/>
          <w:szCs w:val="20"/>
          <w:color w:val="auto"/>
        </w:rPr>
      </w:pPr>
    </w:p>
    <w:p>
      <w:pPr>
        <w:ind w:right="220" w:firstLine="449"/>
        <w:spacing w:after="0" w:line="276" w:lineRule="auto"/>
        <w:rPr>
          <w:sz w:val="20"/>
          <w:szCs w:val="20"/>
          <w:color w:val="auto"/>
        </w:rPr>
      </w:pPr>
      <w:r>
        <w:rPr>
          <w:rFonts w:ascii="Times New Roman" w:cs="Times New Roman" w:eastAsia="Times New Roman" w:hAnsi="Times New Roman"/>
          <w:sz w:val="17"/>
          <w:szCs w:val="17"/>
          <w:color w:val="auto"/>
        </w:rPr>
        <w:t>The table above is based on 207,636,565 shares of common stock outstanding as of September 30, 2020 and gives effect to the Reorganization and assumes the exchange of all outstanding units of Cullinan Oncology, LLC as of September 30, 2020 and 66,599,045 Series C preferred units issued after</w:t>
      </w:r>
    </w:p>
    <w:p>
      <w:pPr>
        <w:spacing w:after="0" w:line="1" w:lineRule="exact"/>
        <w:rPr>
          <w:sz w:val="20"/>
          <w:szCs w:val="20"/>
          <w:color w:val="auto"/>
        </w:rPr>
      </w:pPr>
    </w:p>
    <w:p>
      <w:pPr>
        <w:ind w:left="780" w:right="280" w:hanging="764"/>
        <w:spacing w:after="0" w:line="260" w:lineRule="auto"/>
        <w:rPr>
          <w:sz w:val="20"/>
          <w:szCs w:val="20"/>
          <w:color w:val="auto"/>
        </w:rPr>
      </w:pPr>
      <w:r>
        <w:rPr>
          <w:rFonts w:ascii="Times New Roman" w:cs="Times New Roman" w:eastAsia="Times New Roman" w:hAnsi="Times New Roman"/>
          <w:sz w:val="18"/>
          <w:szCs w:val="18"/>
          <w:color w:val="auto"/>
        </w:rPr>
        <w:t>September 30, 2020 for an aggregate of</w:t>
      </w:r>
      <w:r>
        <w:rPr>
          <w:sz w:val="20"/>
          <w:szCs w:val="20"/>
          <w:color w:val="auto"/>
        </w:rPr>
        <w:t xml:space="preserve"> </w:t>
      </w:r>
      <w:r>
        <w:rPr>
          <w:rFonts w:ascii="Times New Roman" w:cs="Times New Roman" w:eastAsia="Times New Roman" w:hAnsi="Times New Roman"/>
          <w:sz w:val="18"/>
          <w:szCs w:val="18"/>
          <w:color w:val="auto"/>
        </w:rPr>
        <w:t>shares of common stock of our wholly-owned subsidiary Cullinan Management, Inc. (which includes shares of restricted common stock) prior to the completion of this offering as if such exchange had occurred as of September 30, 2020.</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455"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above does not include:</w:t>
      </w:r>
    </w:p>
    <w:p>
      <w:pPr>
        <w:spacing w:after="0" w:line="131" w:lineRule="exact"/>
        <w:rPr>
          <w:sz w:val="20"/>
          <w:szCs w:val="20"/>
          <w:color w:val="auto"/>
        </w:rPr>
      </w:pPr>
    </w:p>
    <w:p>
      <w:pPr>
        <w:ind w:left="1000" w:hanging="547"/>
        <w:spacing w:after="0" w:line="282" w:lineRule="auto"/>
        <w:tabs>
          <w:tab w:leader="none" w:pos="15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issuance under our 2021 Stock Option and Incentive Plan, or 2021 Plan, which will become effective in connection with this offering;</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5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issuance under our 2021 Employee Stock Purchase Plan, or 2021 ESPP, which will become effective in connection with this offering;</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32,493,491 common unit options that were granted pursuant to the 2020 Unit Plan in October 2020 at a weighted average exercise price of $0.61;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2,254,231 restricted common units granted pursuant to the Restricted Stock Contribution Agreement.</w:t>
      </w:r>
    </w:p>
    <w:p>
      <w:pPr>
        <w:spacing w:after="0" w:line="225"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If common stock options are issued under our equity incentive plan, or if we issue additional shares of common stock in the future, there will be further dilution to investors purchasing common stock in this offering.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80"/>
          </w:cols>
          <w:pgMar w:left="320" w:top="455" w:right="3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information is presented for Cullinan Oncology, LLC, which will merge with and into the Corporation, the entity whose shares are being offered hereby. The consolidated statement of operations and comprehensive loss data for the years ended December 31, 2018 and 2019 and the selected consolidated balance sheet data as of December 31, 2018 and 2019 have been derived from our audited consolidated financial statements. The consolidated statement of operations and comprehensive loss data for the nine months ended September 30, 2019 and 2020 and the selected consolidated balance sheet data as of September 30, 2020 have been derived from our unaudited condensed consolidated financial statements, both of which are included elsewhere in this prospectus. In the opinion of management, the unaudited financial statements include all adjustments, consisting of only normal and recurring adjustments, necessary for a fair presentation of such financial data. You should read this data together with our consolidated financial statements and related notes included elsewhere in this prospectus and the information under the caption “Management’s Discussion and Analysis of Financial Condition and Results of Operations.” Our historical results are not necessarily indicative of the results to be expected in the future for a full year or any interim period.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20" w:type="dxa"/>
            <w:vAlign w:val="bottom"/>
            <w:gridSpan w:val="3"/>
          </w:tcPr>
          <w:p>
            <w:pPr>
              <w:jc w:val="center"/>
              <w:ind w:right="731"/>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7"/>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9,584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16,788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12,986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26,582</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c>
          <w:tcPr>
            <w:tcW w:w="1340" w:type="dxa"/>
            <w:vAlign w:val="bottom"/>
            <w:gridSpan w:val="2"/>
          </w:tcPr>
          <w:p>
            <w:pPr>
              <w:jc w:val="right"/>
              <w:ind w:right="553"/>
              <w:spacing w:after="0"/>
              <w:rPr>
                <w:sz w:val="20"/>
                <w:szCs w:val="20"/>
                <w:color w:val="auto"/>
              </w:rPr>
            </w:pPr>
            <w:r>
              <w:rPr>
                <w:rFonts w:ascii="Times New Roman" w:cs="Times New Roman" w:eastAsia="Times New Roman" w:hAnsi="Times New Roman"/>
                <w:sz w:val="18"/>
                <w:szCs w:val="18"/>
                <w:color w:val="auto"/>
              </w:rPr>
              <w:t>4,305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17,291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31,162</w:t>
            </w:r>
          </w:p>
        </w:tc>
        <w:tc>
          <w:tcPr>
            <w:tcW w:w="0" w:type="dxa"/>
            <w:vAlign w:val="bottom"/>
          </w:tcPr>
          <w:p>
            <w:pPr>
              <w:spacing w:after="0"/>
              <w:rPr>
                <w:sz w:val="1"/>
                <w:szCs w:val="1"/>
                <w:color w:val="auto"/>
              </w:rPr>
            </w:pPr>
          </w:p>
        </w:tc>
      </w:tr>
      <w:tr>
        <w:trPr>
          <w:trHeight w:val="223"/>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340" w:type="dxa"/>
            <w:vAlign w:val="bottom"/>
            <w:gridSpan w:val="2"/>
          </w:tcPr>
          <w:p>
            <w:pPr>
              <w:jc w:val="right"/>
              <w:ind w:right="553"/>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(16,923)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(30,352)</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1340" w:type="dxa"/>
            <w:vAlign w:val="bottom"/>
            <w:gridSpan w:val="2"/>
          </w:tcPr>
          <w:p>
            <w:pPr>
              <w:jc w:val="right"/>
              <w:ind w:right="493"/>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Cullinan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(14,189)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(20,657)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(16,088)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(23,453)</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unit attributable to common and non-voting incentive unit</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basic and diluted</w:t>
            </w:r>
            <w:r>
              <w:rPr>
                <w:rFonts w:ascii="Times New Roman" w:cs="Times New Roman" w:eastAsia="Times New Roman" w:hAnsi="Times New Roman"/>
                <w:sz w:val="15"/>
                <w:szCs w:val="15"/>
                <w:color w:val="auto"/>
              </w:rPr>
              <w:t>(1)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93"/>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and non-voting incentive units used in</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computing net loss per unit, basic and diluted</w:t>
            </w:r>
            <w:r>
              <w:rPr>
                <w:rFonts w:ascii="Times New Roman" w:cs="Times New Roman" w:eastAsia="Times New Roman" w:hAnsi="Times New Roman"/>
                <w:sz w:val="15"/>
                <w:szCs w:val="15"/>
                <w:color w:val="auto"/>
              </w:rPr>
              <w:t>(1)</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2,549,865</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6,397,443</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97"/>
              </w:rPr>
              <w:t>6,017,973</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8,960,373</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(14,189)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(16,923)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(30,352)</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40" w:type="dxa"/>
            <w:vAlign w:val="bottom"/>
            <w:gridSpan w:val="2"/>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(21,658)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(16,923)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(30,289)</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1340" w:type="dxa"/>
            <w:vAlign w:val="bottom"/>
            <w:gridSpan w:val="2"/>
          </w:tcPr>
          <w:p>
            <w:pPr>
              <w:jc w:val="right"/>
              <w:ind w:right="493"/>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Cullinan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(14,189)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(20,661)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(16,088)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(23,390)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 (unaudited)</w:t>
            </w:r>
            <w:r>
              <w:rPr>
                <w:rFonts w:ascii="Times New Roman" w:cs="Times New Roman" w:eastAsia="Times New Roman" w:hAnsi="Times New Roman"/>
                <w:sz w:val="15"/>
                <w:szCs w:val="15"/>
                <w:color w:val="auto"/>
              </w:rPr>
              <w:t>(1)(2)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stock outstanding used in computing</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r>
              <w:rPr>
                <w:rFonts w:ascii="Times New Roman" w:cs="Times New Roman" w:eastAsia="Times New Roman" w:hAnsi="Times New Roman"/>
                <w:sz w:val="15"/>
                <w:szCs w:val="15"/>
                <w:color w:val="auto"/>
              </w:rPr>
              <w:t>(1)(2)</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8"/>
              </w:rPr>
              <w:t>80,594,229</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136,285,931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7"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to our consolidated financial statements and our condensed consolidated financial statements included elsewhere in this prospectus for a description of how we compute net loss per unit attributable to common and non-voting incentive unit holders, basic and diluted, and the weighted-average common and non-voting incentive units used in computation of per unit amounts.</w:t>
      </w:r>
    </w:p>
    <w:p>
      <w:pPr>
        <w:spacing w:after="0" w:line="1" w:lineRule="exact"/>
        <w:rPr>
          <w:rFonts w:ascii="Times New Roman" w:cs="Times New Roman" w:eastAsia="Times New Roman" w:hAnsi="Times New Roman"/>
          <w:sz w:val="18"/>
          <w:szCs w:val="18"/>
          <w:color w:val="auto"/>
        </w:rPr>
      </w:pPr>
    </w:p>
    <w:p>
      <w:pPr>
        <w:ind w:left="460" w:hanging="452"/>
        <w:spacing w:after="0" w:line="253"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attributable to common stockholders, basic and diluted (unaudited) and pro forma weighted average common stock outstanding—basic and diluted (unaudited) gives effect to (i) the completion of the Reorganization—see “Reorganization” for further detail—and (ii) subsequent to the Reorganization, the conversion of all outstanding shares of our preferred stock into common stock as if such transactions had occurred on the later of the beginning of the period or the issuance of the redeemable preferred units, but does not reflect the transactions described in “The Reorganization—Reorganization Equity Exchange”, nor does it include units from the Series C offering completed in December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4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$ 33,832</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$ 98,630</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94,892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(1)</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32,895</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97,568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89,298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34,640</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100,461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53,902</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137,774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151,811</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deficit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(20,650)</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(39,909)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120"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“Selected Consolidated Financial Data” section of this prospectus and our consolidated financial statements and the related notes appearing elsewhere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developing a diversified pipeline of targeted oncology and immuno-oncology therapies with transformative potential for cancer patients. In approximately three and a half years, by leveraging our differentiated hub-and-spoke business model, we have efficiently developed or in-licensed a pipeline of seven distinct programs. Our unique business model leverages a central operating company and separate subsidiaries that are established to hold and advance individual therapeutic candidates. Cullinan Management, Inc., or Cullinan Management, our wholly-owned operating subsidiary, employs all of our team members and incubates discovery programs until we establish a “spoke” in which to further advance them. In addition, we centralize shared services, including all research and development operations, administrative services, and business development, in Cullinan Management and allocate employees and resources to each spoke based on the needs and development stage of each therapeutic candidate. As of September 30, 2020, we had five partially-owned development subsidiaries, or spokes, in addition to Cullinan Management: Cullinan Pearl Corp., or Cullinan Pearl, which is advancing CLN-081; Cullinan Apollo Corp., or Cullinan Apollo, which was formed around VK-2019, a drug that we subsequently decided to discontinue development of in May 2020; Cullinan MICA Corp., or Cullinan MICA, which is advancing CLN-619; Cullinan Florentine Corp., or Cullinan Florentine, which is advancing CLN-049; and Cullinan Amber Corp., or Cullinan Amber, which is developing our AMBER platform and advancing CLN-617 as its first therapeutic candidate. Cullinan Management, Cullinan Pearl, Cullinan MICA, Cullinan Florentine and Cullinan Amber are collectively referred to as the Asset Subsidiaries. Our earlier-stage programs, NexGem, Opal and Jade, are currently held in Cullinan Management. At December 31, 2019, we had four partially-owned development subsidiaries in addition to Cullinan Management: Cullinan Amber, Cullinan Apollo, Cullinan Florentine and Cullinan Pearl.</w:t>
      </w:r>
    </w:p>
    <w:p>
      <w:pPr>
        <w:spacing w:after="0" w:line="196" w:lineRule="exact"/>
        <w:rPr>
          <w:sz w:val="20"/>
          <w:szCs w:val="20"/>
          <w:color w:val="auto"/>
        </w:rPr>
      </w:pPr>
    </w:p>
    <w:p>
      <w:pPr>
        <w:ind w:firstLine="449"/>
        <w:spacing w:after="0" w:line="274" w:lineRule="auto"/>
        <w:rPr>
          <w:sz w:val="20"/>
          <w:szCs w:val="20"/>
          <w:color w:val="auto"/>
        </w:rPr>
      </w:pPr>
      <w:r>
        <w:rPr>
          <w:rFonts w:ascii="Times New Roman" w:cs="Times New Roman" w:eastAsia="Times New Roman" w:hAnsi="Times New Roman"/>
          <w:sz w:val="17"/>
          <w:szCs w:val="17"/>
          <w:color w:val="auto"/>
        </w:rPr>
        <w:t>Since our inception in 2016, we have focused substantially all of our efforts and financial resources on raising capital, organizing and staffing our company, identifying, acquiring or in-licensing, and developing product and technology rights, establishing and protecting our intellectual property portfolio, and developing and advancing our programs. To support these activities, we and our wholly-owned subsidiary, Cullinan Management, (i) identify and secure new programs, (ii) set up new subsidiaries to further advance individual programs, (iii) recruit key management team members, (iv) raise and allocate capital across the portfolio, and (v) provide certain shared services, including research and development operations, administrative services, and business development, to our subsidiaries. We do not have any products approved for sale and have not generated any revenue from product sales.</w:t>
      </w:r>
    </w:p>
    <w:p>
      <w:pPr>
        <w:spacing w:after="0" w:line="17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Since inception, we have funded our operations primarily through the sale of redeemable preferred units. In October 2016, we received $4.0 million from the purchase and sale of our Series Seed preferred units. Subsequently, in April 2017, we received approximately $50.0 million from the purchase and sale of our Series A preferred units. In October and December 2019, we received a total of approximately $84.3 million for the purchase and sale of our Series B preferred units. In February and March 2020, we received approximately $14.3 million for the additional sale of our Series B preferred units. Through December 16, 2020, after giving effect to the issuance of our Series C preferred units, our investors have provided approximately $277.0 million in cumulative net proceeds.</w:t>
      </w:r>
    </w:p>
    <w:p>
      <w:pPr>
        <w:spacing w:after="0" w:line="187"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of $94.9 million. Subsequent to September 30, 2020, we have received $124.7 million of proceeds from sales of our Series C</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00"/>
          </w:cols>
          <w:pgMar w:left="320" w:top="455" w:right="3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preferred units. We have incurred operating losses and have had negative cash flows from operations since our inception. Our net loss was $14.2 million, $21.7 million and $30.4 million, for the years ended December 31, 2018 and 2019 and the nine months ended September 30, 2020, respectively. As of September 30, 2020, we had an accumulated deficit of $65.0 million. We expect to continue to generate operating losses for the foreseeable future. Our future viability is dependent on the success of our research and development and our ability to access additional capital to fund our operations. There can be no assurance that our current operating plan will be achieved or that additional funding will be available on terms acceptable to us, or at all.</w:t>
      </w:r>
    </w:p>
    <w:p>
      <w:pPr>
        <w:spacing w:after="0" w:line="183"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We are subject to risks and uncertainties common to early-stage companies in the biotechnology industry including, but not limited to, new technological innovations, protection of proprietary technology, dependence on key personnel, compliance with government regulations, and the ability to obtain additional capital to fund operations. Our therapeutic programs will require significant additional research and development efforts, including preclinical and clinical testing and regulatory approval prior to commercialization. These efforts require additional capital, adequate personnel and extensive compliance-reporting capabilities. There can be no assurance that our research and development will be successfully completed, that adequate protection for our intellectual property will be obtained, that any products developed will obtain necessary government regulatory approval, or that any approved products will be commercially viable. The current outbreak of the novel coronavirus, or COVID-19, could materially and adversely affect our results of operations, financial condition and cash flows. The full extent of the impact due to the COVID-19 pandemic will depend on future developments that are highly uncertain, including as a result of new information that may emerge concerning COVID-19 and actions taken to contain or treat COVID-19, as well as the economic impact. Given the uncertainty around the extent and timing of the potential future spread or mitigation efforts related to the current outbreak of COVID-19, the financial impact cannot be reasonably estimated at this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ind w:right="1060" w:firstLine="449"/>
        <w:spacing w:after="0" w:line="282" w:lineRule="auto"/>
        <w:rPr>
          <w:sz w:val="20"/>
          <w:szCs w:val="20"/>
          <w:color w:val="auto"/>
        </w:rPr>
      </w:pPr>
      <w:r>
        <w:rPr>
          <w:rFonts w:ascii="Times New Roman" w:cs="Times New Roman" w:eastAsia="Times New Roman" w:hAnsi="Times New Roman"/>
          <w:sz w:val="18"/>
          <w:szCs w:val="18"/>
          <w:color w:val="auto"/>
        </w:rPr>
        <w:t>Since our inception, we have created wholly-owned subsidiaries or made investments in certain controlled entities. Losses attributed to noncontrolling interests are reported separately in our consolidated statement of operations and comprehensive loss.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entities that are consolidated in our consolidated financial statements include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Entities</w:t>
            </w:r>
          </w:p>
        </w:tc>
        <w:tc>
          <w:tcPr>
            <w:tcW w:w="1600" w:type="dxa"/>
            <w:vAlign w:val="bottom"/>
            <w:vMerge w:val="restart"/>
          </w:tcPr>
          <w:p>
            <w:pPr>
              <w:spacing w:after="0"/>
              <w:rPr>
                <w:sz w:val="13"/>
                <w:szCs w:val="13"/>
                <w:color w:val="auto"/>
              </w:rPr>
            </w:pPr>
          </w:p>
        </w:tc>
        <w:tc>
          <w:tcPr>
            <w:tcW w:w="30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Current Relationship</w:t>
            </w: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Date Control</w:t>
            </w:r>
          </w:p>
        </w:tc>
        <w:tc>
          <w:tcPr>
            <w:tcW w:w="19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Ownership as of</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Ownership as of</w:t>
            </w:r>
          </w:p>
        </w:tc>
        <w:tc>
          <w:tcPr>
            <w:tcW w:w="0" w:type="dxa"/>
            <w:vAlign w:val="bottom"/>
          </w:tcPr>
          <w:p>
            <w:pPr>
              <w:spacing w:after="0"/>
              <w:rPr>
                <w:sz w:val="1"/>
                <w:szCs w:val="1"/>
                <w:color w:val="auto"/>
              </w:rPr>
            </w:pPr>
          </w:p>
        </w:tc>
      </w:tr>
      <w:tr>
        <w:trPr>
          <w:trHeight w:val="165"/>
        </w:trPr>
        <w:tc>
          <w:tcPr>
            <w:tcW w:w="1340" w:type="dxa"/>
            <w:vAlign w:val="bottom"/>
            <w:tcBorders>
              <w:bottom w:val="single" w:sz="8" w:color="auto"/>
            </w:tcBorders>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16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First Acquired</w:t>
            </w:r>
          </w:p>
        </w:tc>
        <w:tc>
          <w:tcPr>
            <w:tcW w:w="196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Sep 30, 2020 %</w:t>
            </w:r>
            <w:r>
              <w:rPr>
                <w:rFonts w:ascii="Times New Roman" w:cs="Times New Roman" w:eastAsia="Times New Roman" w:hAnsi="Times New Roman"/>
                <w:sz w:val="12"/>
                <w:szCs w:val="12"/>
                <w:b w:val="1"/>
                <w:bCs w:val="1"/>
                <w:color w:val="auto"/>
              </w:rPr>
              <w:t>(1)</w:t>
            </w:r>
          </w:p>
        </w:tc>
        <w:tc>
          <w:tcPr>
            <w:tcW w:w="158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Dec 18, 2020%</w:t>
            </w: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20"/>
        </w:trPr>
        <w:tc>
          <w:tcPr>
            <w:tcW w:w="2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Management, Inc.</w:t>
            </w:r>
          </w:p>
        </w:tc>
        <w:tc>
          <w:tcPr>
            <w:tcW w:w="2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gridSpan w:val="2"/>
            <w:vMerge w:val="continue"/>
            <w:shd w:val="clear" w:color="auto" w:fill="CCEEFF"/>
          </w:tcPr>
          <w:p>
            <w:pPr>
              <w:spacing w:after="0"/>
              <w:rPr>
                <w:sz w:val="17"/>
                <w:szCs w:val="17"/>
                <w:color w:val="auto"/>
              </w:rPr>
            </w:pPr>
          </w:p>
        </w:tc>
        <w:tc>
          <w:tcPr>
            <w:tcW w:w="2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Wholly-owned Subsidiary</w:t>
            </w:r>
          </w:p>
        </w:tc>
        <w:tc>
          <w:tcPr>
            <w:tcW w:w="50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September 2016</w:t>
            </w:r>
          </w:p>
        </w:tc>
        <w:tc>
          <w:tcPr>
            <w:tcW w:w="500" w:type="dxa"/>
            <w:vAlign w:val="bottom"/>
            <w:vMerge w:val="continue"/>
            <w:shd w:val="clear" w:color="auto" w:fill="CCEEFF"/>
          </w:tcPr>
          <w:p>
            <w:pPr>
              <w:spacing w:after="0"/>
              <w:rPr>
                <w:sz w:val="17"/>
                <w:szCs w:val="17"/>
                <w:color w:val="auto"/>
              </w:rPr>
            </w:pPr>
          </w:p>
        </w:tc>
        <w:tc>
          <w:tcPr>
            <w:tcW w:w="1960" w:type="dxa"/>
            <w:vAlign w:val="bottom"/>
            <w:gridSpan w:val="2"/>
            <w:shd w:val="clear" w:color="auto" w:fill="CCEEFF"/>
          </w:tcPr>
          <w:p>
            <w:pPr>
              <w:jc w:val="right"/>
              <w:ind w:right="7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Apollo Corp.</w:t>
            </w:r>
          </w:p>
        </w:tc>
        <w:tc>
          <w:tcPr>
            <w:tcW w:w="3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November 2018</w:t>
            </w: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Pearl Corp.</w:t>
            </w:r>
          </w:p>
        </w:tc>
        <w:tc>
          <w:tcPr>
            <w:tcW w:w="30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November 2018</w:t>
            </w: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Amber Corp.</w:t>
            </w:r>
          </w:p>
        </w:tc>
        <w:tc>
          <w:tcPr>
            <w:tcW w:w="3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December 2019</w:t>
            </w: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Florentine Corp.</w:t>
            </w:r>
          </w:p>
        </w:tc>
        <w:tc>
          <w:tcPr>
            <w:tcW w:w="30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December 2019</w:t>
            </w:r>
          </w:p>
        </w:tc>
        <w:tc>
          <w:tcPr>
            <w:tcW w:w="19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66%</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MICA Corp.</w:t>
            </w:r>
          </w:p>
        </w:tc>
        <w:tc>
          <w:tcPr>
            <w:tcW w:w="3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May 2020</w:t>
            </w:r>
          </w:p>
        </w:tc>
        <w:tc>
          <w:tcPr>
            <w:tcW w:w="1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5"/>
                <w:szCs w:val="15"/>
                <w:color w:val="auto"/>
              </w:rPr>
              <w:t>(4)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percentages are reflected on a fully-diluted basis.</w:t>
      </w:r>
    </w:p>
    <w:p>
      <w:pPr>
        <w:spacing w:after="0" w:line="27" w:lineRule="exact"/>
        <w:rPr>
          <w:rFonts w:ascii="Times New Roman" w:cs="Times New Roman" w:eastAsia="Times New Roman" w:hAnsi="Times New Roman"/>
          <w:sz w:val="18"/>
          <w:szCs w:val="18"/>
          <w:color w:val="auto"/>
        </w:rPr>
      </w:pPr>
    </w:p>
    <w:p>
      <w:pPr>
        <w:jc w:val="both"/>
        <w:ind w:left="460" w:right="240" w:hanging="452"/>
        <w:spacing w:after="0" w:line="250"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the board of directors of Cullinan Pearl, Cullinan Amber, and Cullinan Florentine terminated their respective stock option and grant plan and the remaining shares reserved for issuance under each respective stock option and grant plan were retired to the status of authorized and unissued shares.</w:t>
      </w:r>
    </w:p>
    <w:p>
      <w:pPr>
        <w:spacing w:after="0" w:line="1"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closing of the second tranche of the Series A Preferred Stock financing of Cullinan Florentine, which occurred on December 16, 2020, and the issuance of common stock of Cullinan Florentine to DKFZ and UFE on December 18, 2020.</w:t>
      </w:r>
    </w:p>
    <w:p>
      <w:pPr>
        <w:ind w:left="460" w:right="460" w:hanging="452"/>
        <w:spacing w:after="0" w:line="255"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Oncology, LLC’s, or the LLC entity’s, ownership will increase to 48%, on a fully-diluted basis, upon completion of the remaining two tranches of Series A financing and are subject to the determination of Cullinan MICA’s board. See “—Cullinan MICA” below for additional information.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455"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Cullinan Apollo</w:t>
      </w:r>
    </w:p>
    <w:p>
      <w:pPr>
        <w:spacing w:after="0" w:line="121"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Cullinan Apollo, incorporated in November 2018, is our partially-owned operating subsidiary that was formed around VK-2019. In December 2018, Cullinan Apollo licensed the exclusive worldwide rights to VK-2019, an Epstein-Barr Nuclear Antigen 1 (EBNA1) inhibitor, from The Wistar Institute, or Wistar. Cullinan Apollo also entered into a Collaborative Research Agreement with Wistar to continue preclinical research and development of VK-2019. In May 2020, Cullinan Apollo discontinued development of VK-2019 and terminated its license and collaboration agreements with Wistar.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Cullinan Pearl</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Cullinan Pearl, incorporated in November 2018, is our partially-owned operating subsidiary that has exclusive worldwide rights, excluding Japan, to CLN-081, our orally available small molecule designed as a next generation, irreversible EGFR inhibitor that is in development for the treatment of NSCLC patients with EGFR exon 20 insertion mutations. In February 2019, Cullinan Pearl entered into a licensing and collaboration agreement with Taiho Pharmaceutical, Co., Ltd., or Taiho Pharma, for the worldwide rights to CLN-081 outside of Japan, which Taiho Pharma retained. As of November 30, 2020, the LLC entity and Taiho Ventures, LLC, or Taiho Ventures, have purchased an aggregate of $23.0 million in Series A preferred stock of Cullinan Pearl. Specifically, in February 2019, Cullinan Pearl issued to Taiho Ventures 1,860,000 shares of Series A Preferred Stock at a price of $1.00 per share for an aggregate purchase price of $1,860,000. In August 2020, at the election of the board of directors of Cullinan Pearl, Cullinan Pearl closed its subsequent closing of its Series A Preferred Stock financing and issued to Taiho Ventures an additional 1,206,000 shares of Series A Preferred Stock for an aggregate purchase price of $1,206,000. As of November 30, 2020, the LLC entity owns 87% and Taiho Ventures owns 13% of the Series A preferred stock. Assuming conversion of the Series A preferred stock, the LLC entity owns 80%, Taiho Ventures owns 10%, and Taiho Pharma owns 10% of the fully diluted common stock outstanding of Cullinan Pearl. Pursuant to a voting agreement, by and among Cullinan Pearl, the LLC entity, Taiho Ventures, and other stockholders of Cullinan Pearl, the Series A Preferred stockholders, acting by majority vote, have the right to appoint two members of the board of directors, Taiho Ventures has the right to appoint one director; the LLC entity’s chief executive officer, Mr. Hughes, serves as the fourth board member; and two independent directors are appointed by a majority of the other four Cullinan Pearl board of directors.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Cullinan Amber</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Cullinan Amber, incorporated in December 2019, is our partially-owned operating subsidiary that has exclusive worldwide rights to the patents related to the technology that originated in the laboratory of Professor Dane Wittrup at the Massachusetts Institute of Technology, or MIT. In December 2019, Cullinan Amber entered into an Exclusive Patent License Agreement with MIT. The LLC entity currently owns 90% of the issued equity of Cullinan Amber, on a fully-diluted basis, including 100% of the shares of Series A preferred stock. MIT and Dr. Wittrup each own approximately 5% of the issued and outstanding equity of Cullinan Amber on a fully-diluted basis. Pursuant to the Series A Preferred Stock Purchase Agreement, by and among Cullinan Amber and the LLC entity, upon election by the Cullinan Amber board of directors, the LLC entity will purchase up to an additional 9,000,000 Series A Preferred Stock at a purchase price of $1.00 per share of Series A Preferred Stock in one or more closings. Pursuant to a voting agreement by and among Cullinan Amber, the LLC entity, and other stockholders, of the three person board of directors, the holders of Series A preferred stock, acting by majority vote, have the right to designate two members of the board of directors.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Cullinan Florentine</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Cullinan Florentine, incorporated in December 2019, is our partially-owned operating subsidiary that has exclusive worldwide rights to CLN-049, our bispecific antibody targeting FLT3 and CD3, pursuant to an Exclusive License Agreement with Deutsches Krebsforschungszentrum, or DKFZ, Eberhard Karls University of Tübingen, Faculty of Medicine, or University of Tübingen, and Universitätsmedizin Gesellschaft für Forschung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 Entwicklung mbH, Tübingen, or UFE. Through December 16, 2020, the LLC entity has purchased an aggregate of $12.0 million of shares of Series A preferred stock of Cullinan Florentine through two closings of a Series A financing. In connection with the issuance of additional shares of Series A Preferred Stock to the LLC entity and pursuant to the license agreement with DKFZ, UFE and the University of Tubingen, Cullinan Florentine issued to each of DKFZ and UFE an additional 261,540 and 120,270 shares of common stock of Cullinan Florentine, respectively. As a result, the LLC entity currently owns 92% of the fully diluted shares outstanding of Cullinan Florentine, including 100% of the shares of Series A preferred stock. DKFZ and University of Tübingen currently own in the aggregate approximately 8% of the equity of Cullinan Florentine on a fully-diluted basis. Pursuant to a voting agreement, in the form filed as Exhibit 10.19 hereto, between Cullinan Florentine, the LLC entity and other stockholders, of the four person board of directors, the holders of Series A preferred stock, acting by majority vote, have the right to designate two members of the board of directors, DKFZ and UFE, acting jointly, have the right to appoint one director, and the CEO of Cullinan Florentine, who is currently our CEO, Mr. Owen Hughes, is the fourth board member.</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Cullinan MICA</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Cullinan MICA, Corp. (formerly known as PDI Therapeutics, Inc.), or Cullinan MICA, of which we assumed operational control in May 2020, is our partially-owned operating subsidiary that owns intellectual property related to CLN-619, our MICA/B-targeted humanized IgG1 monoclonal antibody. The LLC entity purchased 24% of the issued equity of Cullinan MICA, on a fully-diluted basis, including 89% of the outstanding shares of Series A Senior Preferred Stock. Pursuant to the Series A Senior Preferred Stock Purchase Agreement by and among the LLC entity, Cullinan MICA, and other stockholders of Cullinan MICA, the LLC entity will purchase up to an additional $16.0 million of the aggregate $18.0 million Series A Senior Preferred Stock in two milestone-dependent closings. The first closing milestone relates to the establishment of an acceptable preliminary dosing, pharmacokinetic, and safety profile, as well as certain Good Manufacturing Practice and regulatory events, in a monotherapy dose escalation study for CLN-619 in patients with advanced solid tumors. Upon the (i) determination of Cullinan MICA’s board of directors that the milestone has been achieved or (ii) the election of Cullinan MICA’s board of directors to waive the milestone requirements, the purchasers are required to invest approximately an additional $8.0 million. At that time, the LLC entity will own approximately 37% of the fully diluted capital stock outstanding. The second closing milestone relates to the global expansion cohorts for CLN-619 and will be met upon: confirmation of dosing and pharmacodynamics effects, demonstration of clinical efficacy, and achievement of an acceptable safety profile. Upon the (i) determination of Cullinan MICA’s board of directors that the milestone has been achieved or (ii) the election of Cullinan MICA’s board of directors to waive the milestone requirements, the purchasers are required to invest approximately an additional $10.0 million. Upon the second closing, the LLC entity will own approximately 48% of the fully diluted capital stock outstanding. Pursuant to a voting agreement, by and among Cullinan MICA, the LLC entity, and other stockholders of Cullinan MICA, of the five person board of directors, the LLC entity has the right to appoint three members of the board of directors. For additional disclosure on the accounting implications of this transaction, please see Note 5 of our condensed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for our therapeutic candidates are successful and result in regulatory approval or if we enter into collaboration or license agreements with third parties, we may generate revenue in the future from a combination of product sales or payments from such collaboration or license agreements.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therapeutic candidates and programs. We expense research and development costs and intangible assets acquired that have no alternative future use as incurred. These expenses include:</w:t>
      </w:r>
    </w:p>
    <w:p>
      <w:pPr>
        <w:spacing w:after="0" w:line="81" w:lineRule="exact"/>
        <w:rPr>
          <w:sz w:val="20"/>
          <w:szCs w:val="20"/>
          <w:color w:val="auto"/>
        </w:rPr>
      </w:pPr>
    </w:p>
    <w:p>
      <w:pPr>
        <w:ind w:left="1000" w:right="120" w:hanging="547"/>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organizations that support our drug discovery and development activities;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therapeutic candidates and programs, including under agreements with contract research organizations, or CROs;</w:t>
      </w:r>
    </w:p>
    <w:p>
      <w:pPr>
        <w:spacing w:after="0" w:line="67"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manufacturing organizations, or CMOs, that are primarily engaged to provide drug substance and product for our clinical trials, research and development programs, as well as investigative sites and consultants that conduct our clinical trials, nonclinical studies and other scientific development services;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acquiring and manufacturing nonclinical and clinical trial materials, including manufacturing registration and validation batches;</w:t>
      </w:r>
    </w:p>
    <w:p>
      <w:pPr>
        <w:spacing w:after="0" w:line="142"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current or future therapeutic candidates.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clinical development costs may vary significantly based on factors such as:</w:t>
      </w:r>
    </w:p>
    <w:p>
      <w:pPr>
        <w:spacing w:after="0" w:line="131" w:lineRule="exact"/>
        <w:rPr>
          <w:sz w:val="20"/>
          <w:szCs w:val="20"/>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5480" w:right="5040" w:hanging="5027"/>
        <w:spacing w:after="0" w:line="454" w:lineRule="auto"/>
        <w:tabs>
          <w:tab w:leader="none" w:pos="99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 periods; 109</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therapeutic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therapeutic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therapeutic candidates;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therapeutic candidates we are developing.</w:t>
      </w:r>
    </w:p>
    <w:p>
      <w:pPr>
        <w:spacing w:after="0" w:line="225"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therapeutic candidates is highly uncertain. This is due to the numerous risks and uncertainties associated with product development and commercialization, including the following:</w:t>
      </w:r>
    </w:p>
    <w:p>
      <w:pPr>
        <w:spacing w:after="0" w:line="67" w:lineRule="exact"/>
        <w:rPr>
          <w:sz w:val="20"/>
          <w:szCs w:val="20"/>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necessary additional 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the production of our therapeutic candidates;</w:t>
      </w:r>
    </w:p>
    <w:p>
      <w:pPr>
        <w:spacing w:after="0" w:line="130" w:lineRule="exact"/>
        <w:rPr>
          <w:rFonts w:ascii="Times New Roman" w:cs="Times New Roman" w:eastAsia="Times New Roman" w:hAnsi="Times New Roman"/>
          <w:sz w:val="18"/>
          <w:szCs w:val="18"/>
          <w:color w:val="auto"/>
        </w:rPr>
      </w:pPr>
    </w:p>
    <w:p>
      <w:pPr>
        <w:ind w:left="1000" w:right="920" w:hanging="547"/>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clinical supply for our clinical trials and commercial manufacturing, if our therapeutic candidates are approved;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therapeutic candidates, if and when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therapeutic candidates,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following approval.</w:t>
      </w:r>
    </w:p>
    <w:p>
      <w:pPr>
        <w:spacing w:after="0" w:line="225"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therapeutic candidates could significantly change the costs and timing associated with the development of that therapeutic candidate. We may never succeed in obtaining regulatory approval for any of our therapeutic candidates or programs.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management,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80"/>
          </w:cols>
          <w:pgMar w:left="320" w:top="455" w:right="3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89"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future as we increase our headcount to support development of our therapeutic candidates and programs and our continued research activities. We also anticipate that we will incur increased accounting, audit, legal, regulatory, compliance, and director and officer insurance costs as well as investor and public relations expenses associated with being a public company.</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cash equivalents, and short-term investments.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LLC entity has elected to be treated under the Partnership provisions of the Internal Revenue Code. Accordingly, the LLC entity is not viewed as a tax-paying entity in any jurisdiction and all income and deductions of the LLC entity are reported on our members’ individual income tax returns and no income taxes are recorded by the LLC entity. The LLC entity does not have any operations.</w:t>
      </w:r>
    </w:p>
    <w:p>
      <w:pPr>
        <w:spacing w:after="0" w:line="176" w:lineRule="exact"/>
        <w:rPr>
          <w:sz w:val="20"/>
          <w:szCs w:val="20"/>
          <w:color w:val="auto"/>
        </w:rPr>
      </w:pPr>
    </w:p>
    <w:p>
      <w:pPr>
        <w:ind w:right="60" w:firstLine="449"/>
        <w:spacing w:after="0" w:line="274" w:lineRule="auto"/>
        <w:rPr>
          <w:sz w:val="20"/>
          <w:szCs w:val="20"/>
          <w:color w:val="auto"/>
        </w:rPr>
      </w:pPr>
      <w:r>
        <w:rPr>
          <w:rFonts w:ascii="Times New Roman" w:cs="Times New Roman" w:eastAsia="Times New Roman" w:hAnsi="Times New Roman"/>
          <w:sz w:val="17"/>
          <w:szCs w:val="17"/>
          <w:color w:val="auto"/>
        </w:rPr>
        <w:t>Our Subsidiaries are taxed as corporations for federal and state income tax purposes. Our Subsidiaries account for income taxes using the asset and liability method in accordance with FASB ASC Topic 740, Income Taxes. Current income taxes are based on taxable income for federal and state reporting purposes. Deferred income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A valuation allowance is provided when it is more likely than not that some portion, or all of a deferred tax asset will not be realized. Due to our Subsidiaries’ lacking earnings history, the net deferred tax assets have been fully offset by a valuation allowance.</w:t>
      </w:r>
    </w:p>
    <w:p>
      <w:pPr>
        <w:spacing w:after="0" w:line="173"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Our Subsidiaries recognize the effect of income tax positions only if those positions are more likely than not of being sustained. Recognized income tax positions are measured at the largest amount of benefit that is greater than fifty percent likely to be realized upon settlement. Changes in measurement are reflected in the period in which the change in judgment occurs.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2018 and 2019</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4580" w:type="dxa"/>
            <w:vAlign w:val="bottom"/>
            <w:gridSpan w:val="2"/>
            <w:vMerge w:val="continue"/>
          </w:tcPr>
          <w:p>
            <w:pPr>
              <w:spacing w:after="0"/>
              <w:rPr>
                <w:sz w:val="11"/>
                <w:szCs w:val="11"/>
                <w:color w:val="auto"/>
              </w:rPr>
            </w:pPr>
          </w:p>
        </w:tc>
        <w:tc>
          <w:tcPr>
            <w:tcW w:w="4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4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9,584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30"/>
        </w:trPr>
        <w:tc>
          <w:tcPr>
            <w:tcW w:w="4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(22,270)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4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4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Cullinan</w:t>
            </w:r>
          </w:p>
        </w:tc>
        <w:tc>
          <w:tcPr>
            <w:tcW w:w="4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52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8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Cullinan Pearl (CLN-081)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4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7,002</w:t>
            </w: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$ 6,888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Apollo (VK-2019)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4,133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Florentine (CLN-049)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Amber (CLN-617)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Wittelsbach Program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terminated programs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personnel and unallocated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4,463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23"/>
        </w:trPr>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$9.6 million for the year ended December 31, 2018, compared to $16.8 million for the year ended December 31, 2019. We have separately provided additional detail for the research and development expenses incurred in connection with the research and development activities conducted for the therapeutic candidates and programs being developed by our partially-owned subsidiaries Cullinan Amber, Cullinan Florentine, and Cullinan Pearl, certain of our consolidated entities, as we believe they represent key portfolio value drivers. We have also included research and development expense detail for Cullinan Apollo and Cullinan Wittelsbach, which are subsidiaries that we have dissolved, or plan to dissolve in the case of Cullinan Apollo, in the near future. The increase of $7.2 million was primarily due to CLN-081 clinical activity following our 2019 IND submission and the upfront fee and fair value of common stock issued to Taiho Pharma in connection with our license of ex-Japan rights to CLN-081, as well as increased external research activity associated with our collaborations with Fred Hutch and Adimab LLC, or Adimab, offset by non-recurring costs from our terminated programs, including from Cullinan Wittelsbach.</w:t>
      </w:r>
    </w:p>
    <w:p>
      <w:pPr>
        <w:spacing w:after="0" w:line="188"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We are heavily dependent on the success of our therapeutic candidates, the most advanced of which are in preclinical or the early stages of clinical development, which is a lengthy and expensive process with uncertain outcomes and the potential for substantial delays. We cannot give any assurance that any of our therapeutic candidates will receive regulatory approval or, if approved, achieve commercial success.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5680" w:type="dxa"/>
            <w:vAlign w:val="bottom"/>
            <w:gridSpan w:val="2"/>
            <w:vMerge w:val="continue"/>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Personnel-related</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2,580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2,657</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 fees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year ended December 31, 2018 compared to $5.5 million for the year ended December 31, 2019. The increase of $0.5 million was primarily due to increased expenditure on outside professional services and diligence regarding the Cullinan Amber and Cullinan Florentine transactions, as well as inflationary impact of personnel- and occupancy-related expenses. These increases were largely due to our operations expanding and an increase in headcount to support the additional operations.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200" w:firstLine="449"/>
        <w:spacing w:after="0" w:line="266" w:lineRule="auto"/>
        <w:rPr>
          <w:sz w:val="20"/>
          <w:szCs w:val="20"/>
          <w:color w:val="auto"/>
        </w:rPr>
      </w:pPr>
      <w:r>
        <w:rPr>
          <w:rFonts w:ascii="Times New Roman" w:cs="Times New Roman" w:eastAsia="Times New Roman" w:hAnsi="Times New Roman"/>
          <w:sz w:val="18"/>
          <w:szCs w:val="18"/>
          <w:color w:val="auto"/>
        </w:rPr>
        <w:t>Other income, net was $0.4 million during the year ended December 31, 2018 compared to $0.6 million during the year ended December 31, 2019. The increase of $0.2 million was primarily related to an increase in interest income resulting from higher average balances on our cash, cash equivalents, and short-term investments.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p>
    <w:p>
      <w:pPr>
        <w:spacing w:after="0" w:line="11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Net losses are attributed to noncontrolling interests under the hypothetical liquidation at book value, or HLBV, method for certain subsidiaries. The HLBV method is a point in time calculation that utilizes inputs to determine the amount that the noncontrolling interest holders would receive upon a hypothetical liquidation at each balance sheet date based on the liquidation provisions of the respective articles of incorporation. Net loss attributable to noncontrolling interest was nil in 2018 compared to $1.0 million associated with our partially-owned subsidiary Cullinan Pearl in 2019.</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Periods Ended September 30, 2019 and 2020</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2019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6"/>
        </w:trPr>
        <w:tc>
          <w:tcPr>
            <w:tcW w:w="540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4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348"/>
              <w:spacing w:after="0"/>
              <w:rPr>
                <w:sz w:val="20"/>
                <w:szCs w:val="20"/>
                <w:color w:val="auto"/>
              </w:rPr>
            </w:pPr>
            <w:r>
              <w:rPr>
                <w:rFonts w:ascii="Times New Roman" w:cs="Times New Roman" w:eastAsia="Times New Roman" w:hAnsi="Times New Roman"/>
                <w:sz w:val="18"/>
                <w:szCs w:val="18"/>
                <w:color w:val="auto"/>
              </w:rPr>
              <w:t>12,986</w:t>
            </w:r>
          </w:p>
        </w:tc>
        <w:tc>
          <w:tcPr>
            <w:tcW w:w="3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w w:val="98"/>
              </w:rPr>
              <w:t>4,305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(17,291)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(16,923)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(835)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Cullinan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(16,088)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540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Borders>
              <w:top w:val="single" w:sz="8" w:color="auto"/>
            </w:tcBorders>
          </w:tcPr>
          <w:p>
            <w:pPr>
              <w:spacing w:after="0"/>
              <w:rPr>
                <w:sz w:val="12"/>
                <w:szCs w:val="12"/>
                <w:color w:val="auto"/>
              </w:rPr>
            </w:pPr>
          </w:p>
        </w:tc>
        <w:tc>
          <w:tcPr>
            <w:tcW w:w="4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MICA (CLN-619)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8,560</w:t>
            </w: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$ 8,560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Florentine (CLN-049)</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7,281</w:t>
            </w:r>
          </w:p>
        </w:tc>
        <w:tc>
          <w:tcPr>
            <w:tcW w:w="22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7,281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Pearl (CLN-081)</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5,390</w:t>
            </w: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Apollo (VK-2019)</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Amber (CLN-617)</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personnel and unallocated</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3,073</w:t>
            </w:r>
          </w:p>
        </w:tc>
        <w:tc>
          <w:tcPr>
            <w:tcW w:w="22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12,986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26,582</w:t>
            </w: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13,596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$13.0 million for the nine months ended September 30, 2019, compared to $26.6 million for the nine months ended September 30, 2020. The increase of $13.6 million was primarily due to the consolidation of Cullinan MICA’s research and development expenses following our Series A investment in May 2020 and the CLN-049 IND-enabling studies in our Cullinan Florentine subsidiary in 2020 compared to 2019, partially offset by lower expenses associated with our Cullinan Apollo program, which was terminated in 2020 as well as the upfront license fee related to CLN-081 in our partially-owned Cullinan Pearl subsidiary that was incurred in 2019.</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455"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5"/>
                <w:szCs w:val="15"/>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6"/>
        </w:trPr>
        <w:tc>
          <w:tcPr>
            <w:tcW w:w="5180" w:type="dxa"/>
            <w:vAlign w:val="bottom"/>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73"/>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7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1,994</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 fees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4,580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$4.3 million for the nine months ended September 30, 2019 compared to $4.6 million for the nine months ended September 30, 2020. The increase of $0.3 million was primarily due increased expenditure on outside professional services firms for diligence and negotiation in connection with the Cullinan MICA transaction as well as accounting and audit fees, partially offset by a reduction in general and administrative personnel compared to 2019.</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Other income, net was $0.4 million during the nine months ended September 30, 2019 compared to $0.8 million during the nine months ended September 30, 2020. The increase of $0.4 million was primarily related to an increase in interest income resulting from higher average balances on our cash, cash equivalents, and short-term investments.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p>
    <w:p>
      <w:pPr>
        <w:spacing w:after="0" w:line="11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Net losses are attributed to noncontrolling interests under the HLBV method for certain subsidiaries. Net loss attributable to noncontrolling interest under the HLBV method was $0.8 million for the nine months ended September 30, 2019, compared to $6.9 million for the nine months ended September 30, 2020. The increase of $6.1 million was primarily related to the noncontrolling interest held in our partially-owned subsidiary Cullinan MICA.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products and we do not expect to generate revenue from sales of products for several years, if at all. To date, we have funded our operations primarily with proceeds from the sale of our redeemable preferred units. Through December 16, 2020, after giving effect to the sale of our Series C preferred units and our receipt of the net proceeds therefrom, we have received net proceeds of approximately $277.0 million from sales of our redeemable preferred units. As of September 30, 2020, we had cash, cash equivalents, and short-term investments of $94.9 million. Subsequent to September 30, 2020, we have received $124.7 million of net proceeds from sales of our Series C preferred units. Based on our current operational plans and assumptions, we expect that the net proceeds from this offering, combined with</w:t>
      </w:r>
    </w:p>
    <w:p>
      <w:pPr>
        <w:spacing w:after="0" w:line="5"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our current cash, cash equivalents, and short-term investments, will be sufficient to fund operations through . We have based these estimates on assumptions that may prove to be wrong, and we could utilize our available capital resources sooner than we expect. We cannot guarantee that we will be able to raise additional capital on reasonable terms or at all.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455"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2018 and 2019</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8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924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(13,549)</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(20,897)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85,715</w:t>
            </w:r>
          </w:p>
        </w:tc>
        <w:tc>
          <w:tcPr>
            <w:tcW w:w="0" w:type="dxa"/>
            <w:vAlign w:val="bottom"/>
          </w:tcPr>
          <w:p>
            <w:pPr>
              <w:spacing w:after="0"/>
              <w:rPr>
                <w:sz w:val="1"/>
                <w:szCs w:val="1"/>
                <w:color w:val="auto"/>
              </w:rPr>
            </w:pPr>
          </w:p>
        </w:tc>
      </w:tr>
      <w:tr>
        <w:trPr>
          <w:trHeight w:val="223"/>
        </w:trPr>
        <w:tc>
          <w:tcPr>
            <w:tcW w:w="9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400" w:type="dxa"/>
            <w:vAlign w:val="bottom"/>
          </w:tcPr>
          <w:p>
            <w:pPr>
              <w:jc w:val="right"/>
              <w:ind w:right="32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operating activities used $13.5 million of cash and primarily consisted of our net loss of $14.2 million, offset by changes in net operating assets and liabilities of $0.3 million, and non-cash charges of $0.3 million. Our non-cash charges of $0.3 million primarily consisted of a $0.2 million license expense in exchange for subsidiary capital stock.</w:t>
      </w:r>
    </w:p>
    <w:p>
      <w:pPr>
        <w:spacing w:after="0" w:line="176"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operating activities used $20.9 million of cash and primarily consisted of our net loss of $21.7 million, offset by changes in net operating assets and liabilities of $0.1 million and non-cash charges of $0.6 million. Our non-cash charges of $0.6 million primarily consisted of a $0.5 million license expense in exchange for subsidiary capital stock.</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2018, investing activities used $0.3 million of cash for the purchases of property and equipment.</w:t>
      </w:r>
    </w:p>
    <w:p>
      <w:pPr>
        <w:spacing w:after="0" w:line="225"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investing activities used $35.4 million of cash for the purchases short-term investments and less than $0.1 million for the purchases of property and equipment.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used in financing activities was less than $0.1 million, primarily consisting of costs and payments related to the issuance of Series B preferred units and subsidiary preferred equity.</w:t>
      </w:r>
    </w:p>
    <w:p>
      <w:pPr>
        <w:spacing w:after="0" w:line="162" w:lineRule="exact"/>
        <w:rPr>
          <w:sz w:val="20"/>
          <w:szCs w:val="20"/>
          <w:color w:val="auto"/>
        </w:rPr>
      </w:pPr>
    </w:p>
    <w:p>
      <w:pPr>
        <w:ind w:right="280" w:firstLine="449"/>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2019, net cash provided by financing activities was $85.7 million, which primarily consisted of net proceeds from the issuance of Series B preferred units of $83.9 million and net proceeds of $1.8 million related to the issuance of noncontrolling interests.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Periods Ended September 30, 2019 and 2020</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5"/>
        </w:trPr>
        <w:tc>
          <w:tcPr>
            <w:tcW w:w="4440" w:type="dxa"/>
            <w:vAlign w:val="bottom"/>
            <w:gridSpan w:val="2"/>
            <w:vMerge w:val="continue"/>
          </w:tcPr>
          <w:p>
            <w:pPr>
              <w:spacing w:after="0"/>
              <w:rPr>
                <w:sz w:val="11"/>
                <w:szCs w:val="11"/>
                <w:color w:val="auto"/>
              </w:rPr>
            </w:pPr>
          </w:p>
        </w:tc>
        <w:tc>
          <w:tcPr>
            <w:tcW w:w="4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Borders>
              <w:top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(16,028)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(20,336)</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1,801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15,243</w:t>
            </w:r>
          </w:p>
        </w:tc>
        <w:tc>
          <w:tcPr>
            <w:tcW w:w="0" w:type="dxa"/>
            <w:vAlign w:val="bottom"/>
          </w:tcPr>
          <w:p>
            <w:pPr>
              <w:spacing w:after="0"/>
              <w:rPr>
                <w:sz w:val="1"/>
                <w:szCs w:val="1"/>
                <w:color w:val="auto"/>
              </w:rPr>
            </w:pPr>
          </w:p>
        </w:tc>
      </w:tr>
      <w:tr>
        <w:trPr>
          <w:trHeight w:val="216"/>
        </w:trPr>
        <w:tc>
          <w:tcPr>
            <w:tcW w:w="4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(14,242)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(21,953)</w:t>
            </w: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ind w:right="560" w:firstLine="4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operating activities used $16.0 million of cash and primarily consisted of our net loss of $16.9 million and changes in net operating assets and liabilities of $0.3 million, offset by non-cash charges of $0.6 million. Our non-cash charges of $0.6 million primarily consisted of a $0.5 million license expense in exchange for subsidiary common stock.</w:t>
      </w:r>
    </w:p>
    <w:p>
      <w:pPr>
        <w:spacing w:after="0" w:line="176"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operating activities used $20.3 million of cash and primarily consisted of our net loss of $30.4 million, offset by changes in net operating assets and liabilities of $2.4 million and non-cash charges of $7.7 million. Our non-cash charges of $7.7 million primarily consisted of a $1.0 million license expense in exchange for subsidiary common stock and $6.4 million for acquired in-process research and development assets because they had no alternative future use.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investing activities used less than $0.1 million of cash for the purchases of property and equipment.</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investing activities used $16.9 million of cash and primarily consisted of less than $0.1 million used for the purchases of property and equipment and $48.3 million of purchases of short-term investments, offset by $30.0 million proceeds from sales of short-term investments and $1.5 million of cash acquired as part of the asset acquisition for our MICA program.</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$1.8 million, which primarily consisted of proceeds from the issuance of noncontrolling interests.</w:t>
      </w:r>
    </w:p>
    <w:p>
      <w:pPr>
        <w:spacing w:after="0" w:line="162"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$15.2 million, which primarily consisted of proceeds from our issuances of Series B preferred units in February and March 2020, net of issuance costs, of $14.0 million.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manufacturing and clinical trials of our therapeutic candidates. In addition, upon the closing of this offering, we expect to incur additional costs associated with operating as a public company, including significant legal, accounting, investor relations, and other expenses that we did not incur as a private company. Our expenses will also increase as we:</w:t>
      </w:r>
    </w:p>
    <w:p>
      <w:pPr>
        <w:spacing w:after="0" w:line="85" w:lineRule="exact"/>
        <w:rPr>
          <w:sz w:val="20"/>
          <w:szCs w:val="20"/>
          <w:color w:val="auto"/>
        </w:rPr>
      </w:pPr>
    </w:p>
    <w:p>
      <w:pPr>
        <w:ind w:left="1000" w:right="8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investigational new drug applications, or INDs, for our therapeutic candidates and programs;</w:t>
      </w:r>
    </w:p>
    <w:p>
      <w:pPr>
        <w:spacing w:after="0" w:line="67" w:lineRule="exact"/>
        <w:rPr>
          <w:rFonts w:ascii="Times New Roman" w:cs="Times New Roman" w:eastAsia="Times New Roman" w:hAnsi="Times New Roman"/>
          <w:sz w:val="18"/>
          <w:szCs w:val="18"/>
          <w:color w:val="auto"/>
        </w:rPr>
      </w:pPr>
    </w:p>
    <w:p>
      <w:pPr>
        <w:ind w:left="1000" w:right="64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therapeutic candidates, including but not limited to CLN-081, CLN-049, and CLN-619;</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temporary precautionary measures to help minimize the risk of COVID-19 to our employees;</w:t>
      </w:r>
    </w:p>
    <w:p>
      <w:pPr>
        <w:spacing w:after="0" w:line="130"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capabilities to obtain marketing approval for our therapeutic candidates and to support manufacturing on a commercial scale;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plans to establish and operate in-house manufacturing operations and facility;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therapeutic candidates that successfully complete clinical trials, if any;</w:t>
      </w:r>
    </w:p>
    <w:p>
      <w:pPr>
        <w:spacing w:after="0" w:line="130"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finance, general and administrative, commercial, and scientific personnel;</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our organization to being a public company.</w:t>
      </w:r>
    </w:p>
    <w:p>
      <w:pPr>
        <w:spacing w:after="0" w:line="225"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Following this offering, we will be a publicly-traded company and will incur significant legal, accounting, and other expenses that we were not required to incur as a private company. In addition, the Sarbanes-Oxley Act of 2002, as well as rules adopted by the SEC and Nasdaq, requires public companies to implement specified corporate governance practices that are currently not applicable to us as a private company. Pursuant to Section 404 of the Sarbanes-Oxley Act of 2002, or Section 404, we will first be required to furnish a report by our management on our internal control over financial reporting for the year ending December 31, 2022.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expect these rules and regulations will increase our legal and financial compliance costs and will make some activities more time-consuming and costly.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our current operational plans and assumptions, we expect that the net proceeds from this offering, combined with our current cash, cash</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equivalents, and short-term investments, will be sufficient to fund operations through . We have based these estimates on assumptions that may prove to be wrong, and we could utilize our available capital resources sooner than we expect. As we progress with our development programs and the regulatory review process, we expect to incur significant commercialization expenses related to product manufacturing, pre-commercial activities and commercialization. We may also require additional capital to pursue in-licenses or acquisitions of other programs to further expand our pipeline.</w:t>
      </w:r>
    </w:p>
    <w:p>
      <w:pPr>
        <w:spacing w:after="0" w:line="189"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therapeutic candidates and programs, we are unable to estimate the exact amount of our working capital requirements. Our future funding requirements will depend on and could increase significantly as a result of many factors, including:</w:t>
      </w:r>
    </w:p>
    <w:p>
      <w:pPr>
        <w:spacing w:after="0" w:line="81" w:lineRule="exact"/>
        <w:rPr>
          <w:sz w:val="20"/>
          <w:szCs w:val="20"/>
          <w:color w:val="auto"/>
        </w:rPr>
      </w:pPr>
    </w:p>
    <w:p>
      <w:pPr>
        <w:ind w:left="100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and preclinical and clinical development for our current and future therapeutic candidates;</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67"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by patients receiving our therapeutic candidates or future therapeutic candidates;</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license agreements on favorable terms, if at all, and the extent to which we acquire or in-license technologies or programs, if at all;</w:t>
      </w:r>
    </w:p>
    <w:p>
      <w:pPr>
        <w:spacing w:after="0" w:line="67" w:lineRule="exact"/>
        <w:rPr>
          <w:rFonts w:ascii="Times New Roman" w:cs="Times New Roman" w:eastAsia="Times New Roman" w:hAnsi="Times New Roman"/>
          <w:sz w:val="18"/>
          <w:szCs w:val="18"/>
          <w:color w:val="auto"/>
        </w:rPr>
      </w:pPr>
    </w:p>
    <w:p>
      <w:pPr>
        <w:ind w:left="1000" w:right="76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programs;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440" w:hanging="547"/>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delays with respect to preclinical and clinical development of our current and future therapeutic candidates, including as result of the COVID-19 pandemic;</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facilities to accommodate our expected growth in personnel;</w:t>
      </w:r>
    </w:p>
    <w:p>
      <w:pPr>
        <w:spacing w:after="0" w:line="130"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therapeutic candidates or any future therapeutic candidates, remain in good standing with regulatory authorities and develop, validate, and maintain commercially viable manufacturing processes that are compliant with current good manufacturing practices, or cGMP;</w:t>
      </w:r>
    </w:p>
    <w:p>
      <w:pPr>
        <w:spacing w:after="0" w:line="81"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technologies or programs;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therapeutic candidates, if and when approved;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equity, current ownership interests will be diluted. If we raise additional funds through government or third-party funding, collaboration agreements, strategic alliances, licensing arrangements, or marketing and distribution arrangements, we may have to relinquish valuable rights to our technologies, future revenue streams, research programs or therapeutic candidates, or grant licenses on terms that may not be favorable to us.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delay, limit, reduce, or terminate our product development or future commercialization efforts or grant rights to develop and market products or therapeutic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 and the effects that such obligations are expected to have on our liquidity and cash flows in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0"/>
                <w:szCs w:val="10"/>
                <w:color w:val="auto"/>
              </w:rPr>
            </w:pPr>
          </w:p>
        </w:tc>
        <w:tc>
          <w:tcPr>
            <w:tcW w:w="10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20" w:type="dxa"/>
            <w:vAlign w:val="bottom"/>
          </w:tcPr>
          <w:p>
            <w:pPr>
              <w:spacing w:after="0"/>
              <w:rPr>
                <w:sz w:val="10"/>
                <w:szCs w:val="10"/>
                <w:color w:val="auto"/>
              </w:rPr>
            </w:pPr>
          </w:p>
        </w:tc>
        <w:tc>
          <w:tcPr>
            <w:tcW w:w="8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7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1 Year</w:t>
            </w:r>
          </w:p>
        </w:tc>
        <w:tc>
          <w:tcPr>
            <w:tcW w:w="7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3"/>
                <w:szCs w:val="13"/>
                <w:color w:val="auto"/>
              </w:rPr>
            </w:pPr>
          </w:p>
        </w:tc>
        <w:tc>
          <w:tcPr>
            <w:tcW w:w="8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3"/>
                <w:szCs w:val="13"/>
                <w:color w:val="auto"/>
              </w:rPr>
            </w:pPr>
          </w:p>
        </w:tc>
        <w:tc>
          <w:tcPr>
            <w:tcW w:w="6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commitments</w:t>
            </w:r>
          </w:p>
        </w:tc>
        <w:tc>
          <w:tcPr>
            <w:tcW w:w="48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$2,728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590</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$1,825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4"/>
              </w:rPr>
              <w:t>$313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2,728</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590</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1,825</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4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We have certain payment obligations under various license and collaboration agreements. Under these agreements, we are required to make milestone payments upon successful completion and achievement of certain intellectual property, clinical, regulatory, and sales milestones. The payment obligations under the license and collaboration agreements are contingent upon future events, such as our achievement of specified development, clinical, regulatory, and commercial milestones, and we will be required to make milestone and royalty payments in connection with the sale of products developed under these agreements. As the achievement and timing of these future milestone payments are not probable or estimable, such amounts have not been included in our consolidated balance sheet as of December 31, 2019, our condensed consolidated balance sheet as of September 30, 2020, or in the contractual obligations table above.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We are expected to make payments of $1.0 million and $0.5 million in 2020 and 2021, respectively, related to certain options available to us under our collaboration agreement with Adimab, related to CLN-978.</w:t>
      </w:r>
    </w:p>
    <w:p>
      <w:pPr>
        <w:spacing w:after="0" w:line="162"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CROs for clinical trials and with vendors for preclinical studies, manufacturing services, and other services and products for operating purposes, which are generally cancelable upon written notice. These payments are not included in the contractual obligations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and condensed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consolidate entities in which we have a direct or indirect controlling financial interest. We evaluate each of our subsidiaries to determine whether the entity represents a variable interest entity (VIE) for which consolidation should be evaluated under the VIE model, or alternatively, if the entity is a voting interest entity, for which consolidation should be evaluated using the voting interest model. We have concluded that none of our subsidiaries is a VIE and we have consolidated each subsidiary under the voting interest model. Under the voting interest model, we consolidate the entity if it is determined 1) that we directly, or indirectly, have greater than 50% of the voting shares or other equity holders do not have substantive voting, participation, or liquidation rights, or 2) when we have a controlling financial interest through our control of the board of directors, and the significant decisions of the entity are made at the board level.</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Net loss attributable to noncontrolling interests in our consolidated statements of operations is a result of our investments in our consolidated entities, which include Cullinan Pearl and Cullinan MICA, and consists of the portion of the net loss of those consolidated entities that is not allocated to us. Changes in the amount of net loss attributable to noncontrolling interests related to these subsidiaries are directly impacted by changes in the net loss of the consolidated entity. To the extent that ownership interests in the Asset Subsidiaries are held by entities other than the LLC entity, management reports these as noncontrolling interests on the consolidated balance sheets. Earnings or losses are attributed to noncontrolling interests under the hypothetical liquidation at book value, or HLBV, method. The HLBV method is a point in time calculation that utilizes inputs to determine the amount that we and our noncontrolling interest holders would receive upon a hypothetical liquidation at each balance sheet date based on the liquidation provisions of the respective articles of incorporation.</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and Accruals</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and development activities conducted by third-party service providers, which include the conduct of preclinical studies, clinical trials, and contract manufacturing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455"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activities. We record the estimated costs of research and development activities based upon the estimated amount of services provided but not yet invoiced and include these costs in accrued research and development liabilities in our consolidated balance sheets and within research and development expense in our consolidated statements of operations and comprehensive loss. These costs are a significant component of our research and development expenses.</w:t>
      </w:r>
    </w:p>
    <w:p>
      <w:pPr>
        <w:spacing w:after="0" w:line="158"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amount of work completed through discussions with internal personnel and external service providers as to the progress or stage of completion of the services and in accordance with agreements established with our third-party service providers for such services. We make significant judgments and estimates in determining the accrued research and development liabilities balance at each reporting period. As actual costs become known, we adjust our accrued estimates. Although we do not expect our estimates to be materially different from amounts actually incurred, the status and timing of services performed, the number of patients enrolled in clinical trials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 We record advance payments to service providers as prepaid assets, which are expensed as the contracted services are performed. To date, there have been no material differences between our accrued costs and actual costs.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Because there is no public market for our non-voting incentive units as we are a private company, our board of directors has determined the fair value of our non-voting incentive units by considering a number of objective and subjective factors, including having contemporaneous and retrospective valuations of our equity performed by a third-party valuation specialist, valuations of comparable peer public companies, sales of our redeemable preferred units, operating and financial performance, the lack of liquidity of our non-voting incentive units, and general and industry-specific economic outlook. The fair value of our non-voting incentive units will be determined by our board of directors until such time as our non-voting incentive units are listed on an established stock exchange. We recognize the compensation cost of equity-based awards using the straight-line method over the requisite service period of the award, which is generally the vesting period of the award. We classify equity-based compensation in our consolidated statements of operations and comprehensive loss in the same manner in which the award recipient’s payroll costs are classified or in which the award recipient’s service payments are classified. We have elected to recognize the actual forfeitures by reducing the equity-based compensation in the same period as the forfeitures occur.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LLC entity has elected to be treated under the Partnership provisions of the Internal Revenue Code. Accordingly, we are not viewed as a tax-paying entity in any jurisdiction and all income and deductions are reported on the members’ individual income tax returns and no income taxes are recorded by the LLC entity. The LLC entity does not have any operations.</w:t>
      </w:r>
    </w:p>
    <w:p>
      <w:pPr>
        <w:spacing w:after="0" w:line="176" w:lineRule="exact"/>
        <w:rPr>
          <w:sz w:val="20"/>
          <w:szCs w:val="20"/>
          <w:color w:val="auto"/>
        </w:rPr>
      </w:pPr>
    </w:p>
    <w:p>
      <w:pPr>
        <w:ind w:right="40" w:firstLine="449"/>
        <w:spacing w:after="0" w:line="274" w:lineRule="auto"/>
        <w:rPr>
          <w:sz w:val="20"/>
          <w:szCs w:val="20"/>
          <w:color w:val="auto"/>
        </w:rPr>
      </w:pPr>
      <w:r>
        <w:rPr>
          <w:rFonts w:ascii="Times New Roman" w:cs="Times New Roman" w:eastAsia="Times New Roman" w:hAnsi="Times New Roman"/>
          <w:sz w:val="17"/>
          <w:szCs w:val="17"/>
          <w:color w:val="auto"/>
        </w:rPr>
        <w:t>Our Subsidiaries are taxed as corporations for federal and state income tax purposes. Our Subsidiaries account for income taxes using the asset and liability method in accordance with FASB ASC Topic 740, Income Taxes. Current income taxes are based on taxable income for federal and state reporting purposes. Deferred income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A valuation allowance is provided when it is more likely than not that some portion, or all of a deferred tax asset will not be realized. Due to our Subsidiaries’ lack of earnings history, the net deferred tax assets have been fully offset by a valuation allowance.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20"/>
          </w:cols>
          <w:pgMar w:left="320" w:top="455" w:right="3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Our Subsidiaries recognize the effect of income tax positions only if those positions are more likely than not of being sustained. Recognized income tax positions are measured at the largest amount of benefit that is greater than fifty percent likely to be realized upon settlement. Changes in measurement are reflected in the period in which the change in judgment occurs.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Unit</w:t>
      </w:r>
    </w:p>
    <w:p>
      <w:pPr>
        <w:spacing w:after="0" w:line="121"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8"/>
          <w:szCs w:val="18"/>
          <w:color w:val="auto"/>
        </w:rPr>
        <w:t>The holders of our redeemable preferred units are entitled to receive distributions, including cumulative returns on their units outstanding, prior and in preference to any distributions on any of our common units and non-voting incentive units, which are also entitled to cumulative returns. For the years ended December 31, 2018 and 2019 and the nine months ended September 30, 2019 and 2020 we determined that our common stock equivalents are our common units and non-voting incentive units.</w:t>
      </w:r>
    </w:p>
    <w:p>
      <w:pPr>
        <w:spacing w:after="0" w:line="180"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unit as the Company has issued units that meet the definition of participating securities. The two-class method determines net income (loss) per unit for each class of common and participating securities according to dividends declared or accumulated and participation rights in undistributed earnings. The two-class method requires income available to common unit holders for the period to be allocated between common and participating securities based upon their respective rights to receive dividends as if all income for the period had been distributed. For the years ended December 31, 2018 and 2019, the Company considers its redeemable preferred units to be participating securities as they are entitled to participate in undistributed earnings along with Common Unit and vested Non-Voting Incentive Unit members. Unvested Non-Voting Incentive Units are not considered participating securities.</w:t>
      </w:r>
    </w:p>
    <w:p>
      <w:pPr>
        <w:spacing w:after="0" w:line="18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Basic net income (loss) per unit attributable to common unit holders is computed by dividing the net income (loss) attributable to common and non-voting incentive unit holders by the weighted average number of common and non-voting incentive units outstanding for the period. Diluted net income (loss) attributable to common and non-voting incentive unit holders is computed by adjusting net income (loss) attributable to common and non-voting incentive unit holders to reallocate undistributed earnings based on the potential impact of dilutive securities. Diluted net income (loss) per unit attributable to common and non-voting incentive unit holders is computed by dividing the diluted net income (loss) attributable to common and non-voting incentive unit holders by the weighted average number of common and non-voting incentive units outstanding for the period, including potential dilutive common and non-voting incentive units. For purpose of this calculation, unvested non-voting incentive units and redeemable preferred units are considered potential dilutive common units.</w:t>
      </w:r>
    </w:p>
    <w:p>
      <w:pPr>
        <w:spacing w:after="0" w:line="19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redeemable preferred unit contractually entitles the holders of such units to participate in dividends but does not contractually require the holders of such units to participate in losses of us. Accordingly, in periods in which we report a net loss attributable to common and non-voting incentive unit holders, such losses are not allocated to such participating securities. In periods in which we report a net loss attributable to common unit holders, diluted net loss per unit attributable to common and non-voting incentive unit holders is the same as basic net loss per unit attributable to common unit holders, since dilutive common and non-voting incentive units are not assumed to have been issued if their effect is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Status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455"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920" w:firstLine="449"/>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w:t>
      </w:r>
    </w:p>
    <w:p>
      <w:pPr>
        <w:spacing w:after="0" w:line="260" w:lineRule="auto"/>
        <w:rPr>
          <w:sz w:val="20"/>
          <w:szCs w:val="20"/>
          <w:color w:val="auto"/>
        </w:rPr>
      </w:pPr>
      <w:r>
        <w:rPr>
          <w:rFonts w:ascii="Times New Roman" w:cs="Times New Roman" w:eastAsia="Times New Roman" w:hAnsi="Times New Roman"/>
          <w:sz w:val="18"/>
          <w:szCs w:val="18"/>
          <w:color w:val="auto"/>
        </w:rPr>
        <w:t>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1" w:lineRule="exact"/>
        <w:rPr>
          <w:sz w:val="20"/>
          <w:szCs w:val="20"/>
          <w:color w:val="auto"/>
        </w:rPr>
      </w:pPr>
    </w:p>
    <w:p>
      <w:pPr>
        <w:ind w:right="100" w:firstLine="449"/>
        <w:spacing w:after="0" w:line="257"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80" w:firstLine="4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Securities and Exchange Commission.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of our consolidated financial statements appearing at the end of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00"/>
          </w:cols>
          <w:pgMar w:left="320" w:top="455" w:right="3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focused on developing a diversified pipeline of targeted oncology and immuno-oncology therapies with transformative potential for cancer patients. Our strategy is to build a pipeline of therapeutic candidates that are uncorrelated across multiple dimensions, with a focus on assets that we believe have novel technology, employ differentiated mechanisms, are in a more advanced stage of development than competing candidates, or have a combination of these attributes. In approximately three and a half years, we have efficiently developed or in-licensed a pipeline of seven distinct programs by leveraging our hub-and-spoke business model. We continue to prioritize probability of success and capital efficiency. Specifically, before we advance a therapeutic candidate into clinical development, we evaluate its ability to generate an immune system response or to inhibit oncogenic drivers as a single agent. Importantly, we have terminated programs that do not meet our rigorous criteria for advancement and will continue to do so when we believe we can more efficiently allocate our capital. We currently have one clinical-stage targeted oncology candidate in Phase 1/2a development and six preclinical immuno-oncology candidates and programs. We believe our approach will allow us to advance at least one therapeutic candidate into the clinic and one program into IND-enabling studies each year for at least the next several years.</w:t>
      </w:r>
    </w:p>
    <w:p>
      <w:pPr>
        <w:spacing w:after="0" w:line="194"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Our lead candidate, CLN-081, is an orally available small molecule designed as a next generation, irreversible epidermal growth factor receptor, or EGFR, inhibitor that is designed to selectively target cells expressing mutant EGFR variants, including EGFR exon 20 insertion, or EGFRex20ins, mutations, with relative sparing of cells expressing wild type EGFR. We are currently evaluating CLN-081 as a treatment for non-small cell lung cancer, or NSCLC, in adult patients with EGFRex20ins mutations in a Phase 1/2a trial. Our most advanced immuno-oncology therapeutic candidates include CLN-049, a bispecific antibody targeting FLT3 and CD3; and CLN-619, a monoclonal antibody designed to stimulate natural killer, or NK, and T cell responses by engaging a unique target, MICA/B. We intend to initially develop CLN-049 for the treatment of acute myeloid leukemia, or AML, and CLN-619 for the treatment of solid tumors. In addition, through our AMBER platform, we are developing CLN-617, a fusion protein combining, in a single agent, two potent antitumor cytokines, interleukin-2, or IL-2, and interleukin-12, or IL-12, fused with a novel collagen-binding domain designed to enable tumor retention for the treatment of solid tumors. Our pipeline includes three additional immuno-oncology programs in the lead optimization stage that we believe have compelling mechanisms of action and potential for clinical development. We currently hold worldwide development and commercialization rights to each of our therapeutic candidates, except for CLN-081 in Japan.</w:t>
      </w:r>
    </w:p>
    <w:p>
      <w:pPr>
        <w:spacing w:after="0" w:line="19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Our unique hub-and-spoke business model leverages a central operating company and separate subsidiaries that are established to hold and advance individual therapeutic candidates. This model enables us to increase operational efficiency, maintain optimal cost structure, attract leading collaborators, and promote asset flexibility. In order to advance and grow our portfolio, we adhere to our Cullinan approach, which is guided by the following core elements:</w:t>
      </w:r>
    </w:p>
    <w:p>
      <w:pPr>
        <w:spacing w:after="0" w:line="85" w:lineRule="exact"/>
        <w:rPr>
          <w:sz w:val="20"/>
          <w:szCs w:val="20"/>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diversification to mitigate overall risk and maximize optionality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strategy based on risk-adjusted potential, including staged funding to pre-specified scientific and clinical results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infrastructure and key external relationships to maintain a lean operating base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development capabilities complemented by external business development</w:t>
      </w:r>
    </w:p>
    <w:p>
      <w:pPr>
        <w:spacing w:after="0" w:line="128"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Focus on translational medicine and therapeutic candidates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single agent activity</w:t>
      </w:r>
    </w:p>
    <w:p>
      <w:pPr>
        <w:spacing w:after="0" w:line="13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asset evaluation and selection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built a pipeline of targeted oncology and immuno-oncology therapeutic candidates and programs that are diversified by mechanism, therapeutic approach, modality, and stage of development. On a quarterly basis, we rigorously assess each of our programs using internally defined success criteria to justify continued investment and determine proper capital allocation. When certain programs do not meet our de-risking criteria for advancement, we terminate those programs and preserve our capital and resources to invest in programs with greater potential. As a result, our pipeline will continue to be dynamic. Our current pipeline is summarized in the diagram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383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lead candidate, CLN-081, is an orally available small molecule, designed as a next generation, irreversible EGFR inhibitor that is designed to selectively target cells expressing mutant EGFR variants. CLN-081 is currently in a Phase 1/2a dose escalation and expansion trial evaluating oral, twice-daily, or BID, administration of various doses in patients with NSCLC harboring EGFRex20ins mutations that have had at least one prior treatment with platinum based chemotherapy or another approved standard therapy. In September 2020, at the European Society for Medical Oncology virtual congress, we disclosed preliminary results based on the first 22 patients dosed in this ongoing trial. As of September 1, 2020, amongst 17 evaluable patients across all dose cohorts, we observed a best overall response of partial response in six patients and stable, disease in 11 patients. The partial responses included two confirmed and four unconfirmed partial responses, three of whom had not yet reached a confirmatory scan and one who progressed prior to a confirmatory scan. As of the September 1, 2020 data cut-off, no DLTs, or Grade 3 treatment-related adverse events, or TRAEs, had been reported. In connection with this offering, we subsequently performed an interim analysis of the ongoing study. As of a November 10, 2020 data cut-off, amongst 25 evaluable patients across all dose cohorts, we observed a best overall response of partial response in 10 patients, stable disease in 14 patients, and disease progression in one patient. The partial responses included six confirmed and four unconfirmed partial responses, two of whom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had not yet reached a confirmatory scan. Regarding the two remaining patients with unconfirmed partial responses, one experienced progressive disease due to a new brain lesion growth and one died before their second scan after experiencing aspirational pneumonia that was deemed unrelated to study drug by the investigator. As of the November 10, 2020 data cut-off, we observed one DLT, which was Grade 3 diarrhea TRAE in the 150mg BID dosing cohort, our highest dose evaluated to date, and one other Grade 3 TRAE, which was anemia. We observed no Grade 2 diarrhea TRAEs in the 30, 45, 65, or 100mg BID dose cohorts. We observed one Grade 2 diarrhea TRAE in the 150mg BID dose cohort. As of the November 10, 2020 data cut-off, we observed eight Grade 2 skin rash TRAEs across all dose cohorts. Although these results are preliminary and based on a small number of patients with limited follow-up, we believe that the preclinical and early clinical data as of the data cut-off collectively support the potential of CLN-081 to be a clinically active molecule with a favorable product profile. Given the trial was designed as a dose escalation and expansion study, we anticipate observing additional TRAEs as we enroll more patients and follow them over longer duration periods at higher dose levels.</w:t>
      </w:r>
    </w:p>
    <w:p>
      <w:pPr>
        <w:spacing w:after="0" w:line="188"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addition to CLN-081, our pipeline includes six immuno-oncology biologic candidates designed to stimulate one or multiple dimensions of the immune system as a single agent. Our two most advanced immuno-oncology therapeutic candidates are CLN-049, a bi-specific T cell-engaging antibody targeting FLT3 and CD3, and CLN-619, a monoclonal antibody designed to stimulate NK and T cell responses by engaging a unique target, MICA/B. CLN-049 has demonstrated the ability to redirect T cells to lyse FLT3-expressing AML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potent antitumor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multiple preclinical studies. Based on its hypothesized mechanism of action, we believe CLN-049 has the potential to be employed across the spectrum of molecularly-defined AML subtypes. We intend to initially develop CLN-049 as a novel therapy for the treatment of patients with relapsed or refractory, or r/r, AML. In preclinical studies, CLN-619 demonstrated antitumor activity as a single agent in multiple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We believe CLN-619 has the potential to become a novel backbone agent for immuno-oncology therapy given the broad expression of MICA/B across tumor types and the biological rationale for combining CLN-619 with other agents. We intend to initially develop CLN-619 for the treatment of patients with advanced solid tumors.</w:t>
      </w:r>
    </w:p>
    <w:p>
      <w:pPr>
        <w:spacing w:after="0" w:line="188"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 xml:space="preserve">We are also developing CLN-617, a fusion protein uniquely combining, in a single agent, two potent antitumor cytokines, IL-2 and IL-12, with a collagen-binding domain for the treatment of solid tumors. The combination of IL-2 and IL-12 has synergistically enhanced T and NK cell functions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and mediated pronounced therapeutic activity in preclinical tumor models, even in well-established mouse models with primary and/or metastatic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tumors. The collagen-binding domain engineered into CLN-617 is designed to retain cytokines in the tumor microenvironment following intratumoral administration, thereby minimizing systemic dissemination and associated toxicities while prolonging immunostimulatory antitumor activity. In preclinical studies, murine surrogates of CLN-617 demonstrated robust single agent antitumor activity in both injected and non-injected contralateral tumors without inducing systemic toxicity, as measured by reduction in body weight. Based on these results, we believe CLN-617 may be capable of generating a systemic immune response that can mediate tumor regression, even in non-injected distal tumors. Given the broad expression of collagen across multiple tumor types and the well-validated antitumor activity of cytokine-based therapies, CLN-617 may have utility across many different types of solid tumors. We refer to the collagen-binding technology used in CLN-617 as AMBER, which we believe represents a novel platform with the potential to broaden the therapeutic window of cytokines and other immuno-stimulatory agents by potentially reducing systemic toxicity.</w:t>
      </w:r>
    </w:p>
    <w:p>
      <w:pPr>
        <w:spacing w:after="0" w:line="19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earlier-stage immuno-oncology programs include: CLN-978, a next-generation CD19-targeted, half-life extended T cell engaging antibody; Opal, a bispecific fusion protein that blocks the PD-1 axis and selectively activates the 4-IBB/CD137 pathway on T cells in tumors; and Jade, a cell therapy targeting a novel senescence and cancer-related protein that we are collaborating with the Fred Hutchinson Cancer Research Center to identify naturally occurring T cell receptors, or TCRs, against this target. Depending on the results of our lead optimization efforts, our ongoing preclinical studies, internal portfolio prioritization, and developments in the competitive landscape, we may or may not advance these programs further in development. Furthermore, we are also actively evaluating external collaboration and in-licensing opportunities to continue to expand our pipeline.</w:t>
      </w:r>
    </w:p>
    <w:p>
      <w:pPr>
        <w:spacing w:after="0" w:line="187"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Based on early preclinical and clinical results, we have recently terminated multiple programs in order to allocate resources for more promising programs in our portfolio. We believe these decisions demonstrate our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455" w:right="3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commitment and discipline with respect to our strategy and business model. For example, Apollo, an oral small molecule targeting EBNA1, was terminated due to a lack of translation of the compelling pharmacodynamic effect and antitumor activity seen in preclinical studies into patients. We were able to efficiently evaluate this program with minimal costs, spending approximately $10 million from initial licensing to date, including costs related to the sponsored research agreement.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History and Team</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began substantive operations in 2017 following Series A funding from F2 Ventures and the UBS Oncology Impact Fund, which is managed by MPM Capital and is one of the largest dedicated pools of capital focused exclusively on oncology investing. Since inception, we have raised approximately $277.0 million from these investors as well as other institutional investors, including Foresite Capital, Boxer Capital of Tavistock Group, Eventide Asset Management, Nextech Invest, OrbiMed, Venrock Healthcare Capital Partners, Rock Springs Capital, BVF Partners, L.P., and Logos Capital. With less than $60 million spent to date, we have prudently built a diverse pipeline of seven uncorrelated targeted oncology and immuno-oncology programs.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Critical to our success has been the ability to assemble an accomplished management team with proven track records in targeted oncology and immuno-oncology. We are led by a senior management team with extensive capabilities in immuno-oncology, biologics and small molecule drug development, as well as business development and portfolio management. Collectively, our team possesses a strong record of success, as demonstrated by 36 accepted INDs and six approved New Drug Applications, or NDAs, or Biologics License Applications, or BLAs, and significant previous experiences at leading life sciences companies, including Alexion Pharmaceuticals, Inc., Amgen Inc., Biogen Inc., Bristol Myers Squibb Company, MacroGenics, Inc., Merck &amp; Co., Inc., Novartis International AG, Pfizer Inc., and Sanofi S.A..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Our goal is to develop targeted oncology and immuno-oncology therapeutics that will dramatically improve the standard-of-care for patients with cancer. The key elements of our strategy are to:</w:t>
      </w:r>
    </w:p>
    <w:p>
      <w:pPr>
        <w:spacing w:after="0" w:line="63" w:lineRule="exact"/>
        <w:rPr>
          <w:sz w:val="20"/>
          <w:szCs w:val="20"/>
          <w:color w:val="auto"/>
        </w:rPr>
      </w:pPr>
    </w:p>
    <w:p>
      <w:pPr>
        <w:ind w:left="1000" w:hanging="547"/>
        <w:spacing w:after="0" w:line="25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a pipeline of differentiated oncology therapeutic candidates that are diversified by mechanism, therapeutic approach, modality, and stage of development. </w:t>
      </w:r>
      <w:r>
        <w:rPr>
          <w:rFonts w:ascii="Times New Roman" w:cs="Times New Roman" w:eastAsia="Times New Roman" w:hAnsi="Times New Roman"/>
          <w:sz w:val="18"/>
          <w:szCs w:val="18"/>
          <w:color w:val="auto"/>
        </w:rPr>
        <w:t>We seek to mitigate capital risk by accumulating and maintaining a diversified portfolio of uncorrelated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therapeutic candidates and programs. We also attempt to mitigate technical risk by intentionally carrying a portfolio mix such that some programs are directed toward novel targets, while others focus on more validated pathways. For the latter programs, we seek to in-license or internally design agents with mechanisms or formats that we believe will be responsible for differentiating tolerability, ease of administration, efficacy, or a combination thereof. Importantly, before we advance a therapeutic candidate into clinical development, we evaluate its ability to generate an immune system response or to inhibit oncogenic drivers as a single agent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00" w:right="200" w:hanging="547"/>
        <w:spacing w:after="0" w:line="25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pipeline through research collaborations, business development, and internally designed programs. </w:t>
      </w:r>
      <w:r>
        <w:rPr>
          <w:rFonts w:ascii="Times New Roman" w:cs="Times New Roman" w:eastAsia="Times New Roman" w:hAnsi="Times New Roman"/>
          <w:sz w:val="18"/>
          <w:szCs w:val="18"/>
          <w:color w:val="auto"/>
        </w:rPr>
        <w:t>Our founders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 are leaders in oncology drug discovery, clinical development, and business development. Their proven track records and longstanding relationships in the life sciences industry provide us with access to ideas and assets from around the world. In addition, their experiences and deep understanding of molecular and cancer biology also enable us to translate novel concepts into internally designed therapeutic candidates. We are actively evaluating external collaboration and in-licensing opportunities as well as internal development opportunities to continue to expand our pipeline.</w:t>
      </w:r>
    </w:p>
    <w:p>
      <w:pPr>
        <w:spacing w:after="0" w:line="87" w:lineRule="exact"/>
        <w:rPr>
          <w:rFonts w:ascii="Times New Roman" w:cs="Times New Roman" w:eastAsia="Times New Roman" w:hAnsi="Times New Roman"/>
          <w:sz w:val="18"/>
          <w:szCs w:val="18"/>
          <w:color w:val="auto"/>
        </w:rPr>
      </w:pPr>
    </w:p>
    <w:p>
      <w:pPr>
        <w:ind w:left="1000" w:right="300" w:hanging="547"/>
        <w:spacing w:after="0" w:line="259"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therapeutic candidate, CLN-081, toward potential regulatory approval for the targeted treatment of NSCLC patients with EGFRex20ins mutations. </w:t>
      </w:r>
      <w:r>
        <w:rPr>
          <w:rFonts w:ascii="Times New Roman" w:cs="Times New Roman" w:eastAsia="Times New Roman" w:hAnsi="Times New Roman"/>
          <w:sz w:val="18"/>
          <w:szCs w:val="18"/>
          <w:color w:val="auto"/>
        </w:rPr>
        <w:t>Our ongoing Phase 1/2a trial includes a flexible design that enables us to expand dosing cohorts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demonstration of antitumor responses and adequate tolerability. Based on the preliminary results as of the November 10, 2020 data cutoff, we anticipate accumulating additional safety, tolerability, and efficacy data in expanded 65 mg and 100 mg dose cohorts, with a clinical update expected in the first half of 2021. After determining 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560"/>
        <w:spacing w:after="0" w:line="282" w:lineRule="auto"/>
        <w:rPr>
          <w:sz w:val="20"/>
          <w:szCs w:val="20"/>
          <w:color w:val="auto"/>
        </w:rPr>
      </w:pPr>
      <w:r>
        <w:rPr>
          <w:rFonts w:ascii="Times New Roman" w:cs="Times New Roman" w:eastAsia="Times New Roman" w:hAnsi="Times New Roman"/>
          <w:sz w:val="18"/>
          <w:szCs w:val="18"/>
          <w:color w:val="auto"/>
        </w:rPr>
        <w:t>recommended Phase 2 dose, or RP2D, we plan to meet with health authorities to discuss the development and regulatory pathways for CLN-081.</w:t>
      </w:r>
    </w:p>
    <w:p>
      <w:pPr>
        <w:spacing w:after="0" w:line="63" w:lineRule="exact"/>
        <w:rPr>
          <w:sz w:val="20"/>
          <w:szCs w:val="20"/>
          <w:color w:val="auto"/>
        </w:rPr>
      </w:pPr>
    </w:p>
    <w:p>
      <w:pPr>
        <w:ind w:left="1000" w:right="140" w:hanging="547"/>
        <w:spacing w:after="0" w:line="254"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clinical proof-of-concept for our most advanced immuno-oncology therapeutic candidates, CLN-049 and CLN-619, in patients with hematological malignancies and solid tumors, respectively. </w:t>
      </w:r>
      <w:r>
        <w:rPr>
          <w:rFonts w:ascii="Times New Roman" w:cs="Times New Roman" w:eastAsia="Times New Roman" w:hAnsi="Times New Roman"/>
          <w:sz w:val="18"/>
          <w:szCs w:val="18"/>
          <w:color w:val="auto"/>
        </w:rPr>
        <w:t>CLN-049’s target, FLT3, is expressed frequently on AML cells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leukemic blasts but minimally on healthy blood cells, which differentiates FLT3 from other tumor surface antigens identified in AML, such as CD33 and CD123 that are targeted by antibody-based therapies in development. Furthermore, by targeting extracellular FLT3, we believe CLN-049 has the potential to reach a broader patient population than existing small molecule FLT3 kinase inhibitors acting on the intracellular domain, which are limited to a subset of approximately 25% of AML patients with certain mutations. We intend to submit an IND for a Phase 1/2a trial in adult patients with r/r AML in the first quarter of 2021. Given the mechanistic rationale for both programs and encouraging preclinical results, our goal is to establish clinical proof-of-concept for CLN-049 and CLN-619 through their respective Phase 1/2a trials. CLN-619’s target, MICA/B, is expressed by numerous tumor types across both solid tumors and hematological malignancies. Furthermore, the MICA/B receptor, NKG2D, is expressed in both innate and adaptive effector cell populations. We anticipate submitting an IND for a Phase 1/2a trial in the first half of 2021 for the treatment of solid tumors.</w:t>
      </w:r>
    </w:p>
    <w:p>
      <w:pPr>
        <w:spacing w:after="0" w:line="87" w:lineRule="exact"/>
        <w:rPr>
          <w:rFonts w:ascii="Times New Roman" w:cs="Times New Roman" w:eastAsia="Times New Roman" w:hAnsi="Times New Roman"/>
          <w:sz w:val="18"/>
          <w:szCs w:val="18"/>
          <w:color w:val="auto"/>
        </w:rPr>
      </w:pPr>
    </w:p>
    <w:p>
      <w:pPr>
        <w:ind w:left="1000" w:hanging="547"/>
        <w:spacing w:after="0" w:line="25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advance and evolve our pipeline with a goal of advancing one therapeutic candidate into the clinic and one program into IND-enabling studies each year. </w:t>
      </w:r>
      <w:r>
        <w:rPr>
          <w:rFonts w:ascii="Times New Roman" w:cs="Times New Roman" w:eastAsia="Times New Roman" w:hAnsi="Times New Roman"/>
          <w:sz w:val="18"/>
          <w:szCs w:val="18"/>
          <w:color w:val="auto"/>
        </w:rPr>
        <w:t>In addition to our three most advanced therapeutic candidates, we have four additional preclinical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designed with the goal of addressing limitations of approved immuno-oncology therapies. For example, we believe CLN-617 is the only single agent immunotherapy in development combining IL-2 and IL-12 with a collagen-binding domain to enhance retention of cytokines within the tumor microenvironment. Another of our research programs, CLN-978, is half-life extended, humanized, single-chain T cell engaging antibody that we believe has the potential to improve on some of the shortcomings of the approved CD3/CD19 bispecific T cell engager, blinatumomab, and to compete with CD19-targeted CAR-T cell therapies.</w:t>
      </w:r>
    </w:p>
    <w:p>
      <w:pPr>
        <w:spacing w:after="0" w:line="88" w:lineRule="exact"/>
        <w:rPr>
          <w:rFonts w:ascii="Times New Roman" w:cs="Times New Roman" w:eastAsia="Times New Roman" w:hAnsi="Times New Roman"/>
          <w:sz w:val="18"/>
          <w:szCs w:val="18"/>
          <w:color w:val="auto"/>
        </w:rPr>
      </w:pPr>
    </w:p>
    <w:p>
      <w:pPr>
        <w:ind w:left="1000" w:right="60" w:hanging="547"/>
        <w:spacing w:after="0" w:line="255"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opportunities to accelerate development timelines and maximize the value of our portfolio. </w:t>
      </w:r>
      <w:r>
        <w:rPr>
          <w:rFonts w:ascii="Times New Roman" w:cs="Times New Roman" w:eastAsia="Times New Roman" w:hAnsi="Times New Roman"/>
          <w:sz w:val="18"/>
          <w:szCs w:val="18"/>
          <w:color w:val="auto"/>
        </w:rPr>
        <w:t>We intend to maximize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value for each of our programs by opportunistically leveraging the existing infrastructure of other companies or internally pursuing later-stages of development and commercialization. Our subsidiaries hold the worldwide rights to our therapeutic candidates, except for CLN-081, where our licensor, Taiho Pharmaceutical Co., Ltd., or Taiho Pharma, retains rights for Japan. Our business model provides us with the flexibility to efficiently pursue various types of transactions and collaborations with third parties at the subsidiary level. It also enables us to preserve resources for continued internal investment upon successful achievements of development milestones. We have made and will continue to make decisions regarding each of our subsidiaries and programs with the overarching aim of maximizing both patient benefit and shareholder value.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Hub-and-Spoke Business Model</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We employ a hub-and-spoke business model to execute our strategy of building a diversified oncology company in a capital efficient manner and to provide us with the flexibility to either advance therapeutic candidates ourselves or through transactions with third parties. Our “hub” consists of a holding company, Cullinan Oncology, LLC, or the LLC entity, and an operating company, Cullinan Management, Inc., or Cullinan Management, which, collectively, provide capital, human resources, and other services to each spoke via a shared services agreement. We believe that by centralizing these shared services, including all research and development operations, administrative services, and business development, and allocating employees and resources to each spoke, we can enhance operational efficiency and maintain an optimal cost structure. For example, as of November 30, 2020, we had 17 full time employees, one part-time employee, and two consultants working on a pipeline of seven active programs. See “Certain Relationships and Related Person Transactions–Agreements with our Subsidiaries–</w:t>
      </w:r>
      <w:r>
        <w:rPr>
          <w:rFonts w:ascii="Times New Roman" w:cs="Times New Roman" w:eastAsia="Times New Roman" w:hAnsi="Times New Roman"/>
          <w:sz w:val="18"/>
          <w:szCs w:val="18"/>
          <w:i w:val="1"/>
          <w:iCs w:val="1"/>
          <w:color w:val="auto"/>
        </w:rPr>
        <w:t>Services Agreements</w:t>
      </w:r>
      <w:r>
        <w:rPr>
          <w:rFonts w:ascii="Times New Roman" w:cs="Times New Roman" w:eastAsia="Times New Roman" w:hAnsi="Times New Roman"/>
          <w:sz w:val="18"/>
          <w:szCs w:val="18"/>
          <w:color w:val="auto"/>
        </w:rPr>
        <w:t>” for more information.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Our hub-and-spoke model also enables us to access both internal and external expertise to build and develop our pipeline. We incubate internal programs, such as NexGem, Opal, and Jade, in our hub, leveraging Cullinan Management’s network of service providers as needed to support our discovery, lead optimization, and IND-enabling efforts. When we decide to license from or collaborate with external parties, we establish distinct subsidiaries, or “spokes”, to hold and advance those programs. This structure enables us to keep licensors economically incentivized at the program level through our ability to offer equity and access to potential cash milestones and royalty payments. Further, because each spoke is a separate legal entity that holds all of the assets related to the development candidate, including the relevant intellectual property, and has no employees, fixed assets, or overhead costs, we have flexibility both to raise capital at either the parent or subsidiary level and to pursue subsidiary-level licenses or stock sales.</w:t>
      </w:r>
    </w:p>
    <w:p>
      <w:pPr>
        <w:spacing w:after="0" w:line="189"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In the figure below, each “spoke” contains the subsidiary’s therapeutic candidate as well as any relevant licensors or shareholders. The LLC entity’s ownership, as of December 18, 2020, as a percentage of fully-diluted shares outstanding is listed below each circle.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Hub-and-Spoke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173990</wp:posOffset>
            </wp:positionV>
            <wp:extent cx="3094355" cy="2177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9435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structure of our financing arrangements with each subsidiary enables us to increase our economic ownership when we provide additional capital. Further information about our subsidiaries, including ownership and governance, is included in the “Management’s Discussion and Analysis” section of this prospectus.</w:t>
      </w:r>
    </w:p>
    <w:p>
      <w:pPr>
        <w:spacing w:after="0" w:line="176"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Cullinan Management is our wholly-owned operating subsidiary that employs all of our team members and incubates discovery programs until we establish a “spoke” in which to further advance them. This subsidiary currently holds exclusive rights or options to our three earlier-stage programs, NexGem, Opal, and Jade. We centralize shared services, including all research and development operations, administrative services, and business development at Cullinan Management, and allocate employees and resources to each spoke based on the needs and development stage of each therapeutic candidate.</w:t>
      </w:r>
    </w:p>
    <w:p>
      <w:pPr>
        <w:spacing w:after="0" w:line="183"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Our hub-and-spoke business model is designed to (i) enhance operational efficiency, (ii) maintain an optimal cost structure, (iii) attract leading collaborators, and (iv) promote asset flexibility, as further described below.</w:t>
      </w:r>
    </w:p>
    <w:p>
      <w:pPr>
        <w:spacing w:after="0" w:line="63" w:lineRule="exact"/>
        <w:rPr>
          <w:sz w:val="20"/>
          <w:szCs w:val="20"/>
          <w:color w:val="auto"/>
        </w:rPr>
      </w:pPr>
    </w:p>
    <w:p>
      <w:pPr>
        <w:ind w:left="1000" w:right="140" w:hanging="547"/>
        <w:spacing w:after="0" w:line="26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operational efficiency</w:t>
      </w:r>
      <w:r>
        <w:rPr>
          <w:rFonts w:ascii="Times New Roman" w:cs="Times New Roman" w:eastAsia="Times New Roman" w:hAnsi="Times New Roman"/>
          <w:sz w:val="18"/>
          <w:szCs w:val="18"/>
          <w:color w:val="auto"/>
        </w:rPr>
        <w:t>: We centralize all employees and services at our hub and allocate resources to spokes as needed.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 managers to access these resources and make program-level decisions in order to increase productivity and speed. We believe this model enables a flexible organizational structure that can achieve scale through the addition of programs without increasing burdensome bureaucracy or redundant infrastructure.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00"/>
          </w:cols>
          <w:pgMar w:left="320" w:top="455" w:right="3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hanging="547"/>
        <w:spacing w:after="0" w:line="259"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 an optimal cost structure</w:t>
      </w:r>
      <w:r>
        <w:rPr>
          <w:rFonts w:ascii="Times New Roman" w:cs="Times New Roman" w:eastAsia="Times New Roman" w:hAnsi="Times New Roman"/>
          <w:sz w:val="18"/>
          <w:szCs w:val="18"/>
          <w:color w:val="auto"/>
        </w:rPr>
        <w:t>: We have a relatively small number of employees and have built a network of trusted external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choosing to leverage their infrastructure and expertise as needed instead of embarking on capital-intensive lab, manufacturing, and equipment expenditures. As of November 30, 2020, we had 17 full time employees, one part-time employee and two consultants working on seven active programs. By reducing overhead costs, we believe we can increase the likelihood that we can generate a return on invested capital.</w:t>
      </w:r>
    </w:p>
    <w:p>
      <w:pPr>
        <w:spacing w:after="0" w:line="84" w:lineRule="exact"/>
        <w:rPr>
          <w:rFonts w:ascii="Times New Roman" w:cs="Times New Roman" w:eastAsia="Times New Roman" w:hAnsi="Times New Roman"/>
          <w:sz w:val="18"/>
          <w:szCs w:val="18"/>
          <w:color w:val="auto"/>
        </w:rPr>
      </w:pPr>
    </w:p>
    <w:p>
      <w:pPr>
        <w:ind w:left="1000" w:right="320" w:hanging="547"/>
        <w:spacing w:after="0" w:line="268"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leading collaborators and licensors</w:t>
      </w:r>
      <w:r>
        <w:rPr>
          <w:rFonts w:ascii="Times New Roman" w:cs="Times New Roman" w:eastAsia="Times New Roman" w:hAnsi="Times New Roman"/>
          <w:sz w:val="18"/>
          <w:szCs w:val="18"/>
          <w:color w:val="auto"/>
        </w:rPr>
        <w:t>: Each of our subsidiaries has its own capitalization and governance, enabling us to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licensors economically incentivized at the program level. We believe that the experienced leadership team and shared services at our hub differentiate us from other potential licensees.</w:t>
      </w:r>
    </w:p>
    <w:p>
      <w:pPr>
        <w:spacing w:after="0" w:line="76" w:lineRule="exact"/>
        <w:rPr>
          <w:rFonts w:ascii="Times New Roman" w:cs="Times New Roman" w:eastAsia="Times New Roman" w:hAnsi="Times New Roman"/>
          <w:sz w:val="18"/>
          <w:szCs w:val="18"/>
          <w:color w:val="auto"/>
        </w:rPr>
      </w:pPr>
    </w:p>
    <w:p>
      <w:pPr>
        <w:jc w:val="both"/>
        <w:ind w:left="1000" w:right="240" w:hanging="547"/>
        <w:spacing w:after="0" w:line="26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Promote asset flexibility</w:t>
      </w:r>
      <w:r>
        <w:rPr>
          <w:rFonts w:ascii="Times New Roman" w:cs="Times New Roman" w:eastAsia="Times New Roman" w:hAnsi="Times New Roman"/>
          <w:sz w:val="18"/>
          <w:szCs w:val="18"/>
          <w:color w:val="auto"/>
        </w:rPr>
        <w:t>: Each spoke is a separate legal entity that holds the relevant intellectual property of its therapeutic candidates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has none of its own employees, fixed assets, or overhead costs. This allows us to efficiently pursue various subsidiary-level transactions, such as stock or asset sales, licensing transactions, strategic partnerships, co-development arrangements, or spin-outs. It also provides us with the flexibility to terminate programs with minimal costs if results do not meet our de-risking criteria for advancement.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Cullinan Approach</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Our mission is to advance and grow a portfolio of innovative, early-stage oncology assets based on the latest scientific breakthroughs. Given these foundations, we think about capital allocation and risk as much as we think about drug development. We believe that by focusing our efforts on translational medicine and portfolio diversification, we can mitigate overall exposure to many of the inherent risks of drug development. The key elements of our approach are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811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680" w:firstLine="449"/>
        <w:spacing w:after="0" w:line="282" w:lineRule="auto"/>
        <w:rPr>
          <w:sz w:val="20"/>
          <w:szCs w:val="20"/>
          <w:color w:val="auto"/>
        </w:rPr>
      </w:pPr>
      <w:r>
        <w:rPr>
          <w:rFonts w:ascii="Times New Roman" w:cs="Times New Roman" w:eastAsia="Times New Roman" w:hAnsi="Times New Roman"/>
          <w:sz w:val="18"/>
          <w:szCs w:val="18"/>
          <w:color w:val="auto"/>
        </w:rPr>
        <w:t>Fundamental to our success is our ability to apply a disciplined set of criteria for asset evaluation and development advancement, as well as sequenced capital allocation that preserves resources for programs with greater potential. Our approach is guided by the following core elements:</w:t>
      </w:r>
    </w:p>
    <w:p>
      <w:pPr>
        <w:spacing w:after="0" w:line="63" w:lineRule="exact"/>
        <w:rPr>
          <w:sz w:val="20"/>
          <w:szCs w:val="20"/>
          <w:color w:val="auto"/>
        </w:rPr>
      </w:pPr>
    </w:p>
    <w:p>
      <w:pPr>
        <w:ind w:left="1000" w:right="460" w:hanging="547"/>
        <w:spacing w:after="0" w:line="268"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Portfolio diversification to mitigate risk and maximize optionality: </w:t>
      </w:r>
      <w:r>
        <w:rPr>
          <w:rFonts w:ascii="Times New Roman" w:cs="Times New Roman" w:eastAsia="Times New Roman" w:hAnsi="Times New Roman"/>
          <w:sz w:val="18"/>
          <w:szCs w:val="18"/>
          <w:color w:val="auto"/>
        </w:rPr>
        <w:t>We rigorously evaluate which targeted oncology and immuno-oncology therapeutic candidates and programs to develop; however, we recognize that failure is inherent in drug development. For that reason, we maintain a portfolio of</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80"/>
          </w:cols>
          <w:pgMar w:left="320" w:top="455" w:right="3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55" w:lineRule="auto"/>
        <w:rPr>
          <w:sz w:val="20"/>
          <w:szCs w:val="20"/>
          <w:color w:val="auto"/>
        </w:rPr>
      </w:pPr>
      <w:r>
        <w:rPr>
          <w:rFonts w:ascii="Times New Roman" w:cs="Times New Roman" w:eastAsia="Times New Roman" w:hAnsi="Times New Roman"/>
          <w:sz w:val="18"/>
          <w:szCs w:val="18"/>
          <w:color w:val="auto"/>
        </w:rPr>
        <w:t>uncorrelated therapeutic candidates to mitigate overall portfolio risk due to the failure of any single program while also providing exposure to a variety of promising mechanisms and pathways. As of November 30, 2020, our portfolio of seven programs is diversified across stage of development (discovery, IND-enabling, and clinical), therapeutic approach (targeted oncology and immuno-oncology), modality (small molecule, monoclonal antibodies, bi-specific antibodies, fusion proteins and cell therapy), and tumor indications. We believe that the uncorrelated nature of our programs will ensure that the success or outcome of any individual program is decoupled from the outcome of others in the portfolio, and that this approach, together with our staged funding and disciplined de-risking criteria, provides a fundamentally reduced corporate risk profile.</w:t>
      </w:r>
    </w:p>
    <w:p>
      <w:pPr>
        <w:spacing w:after="0" w:line="90" w:lineRule="exact"/>
        <w:rPr>
          <w:sz w:val="20"/>
          <w:szCs w:val="20"/>
          <w:color w:val="auto"/>
        </w:rPr>
      </w:pPr>
    </w:p>
    <w:p>
      <w:pPr>
        <w:ind w:left="1000" w:right="20" w:hanging="547"/>
        <w:spacing w:after="0" w:line="272" w:lineRule="auto"/>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Capital allocation strategy based on risk-adjusted potential, including staged funding to pre-specified scientific and clinical results: </w:t>
      </w:r>
      <w:r>
        <w:rPr>
          <w:rFonts w:ascii="Times New Roman" w:cs="Times New Roman" w:eastAsia="Times New Roman" w:hAnsi="Times New Roman"/>
          <w:sz w:val="17"/>
          <w:szCs w:val="17"/>
          <w:color w:val="auto"/>
        </w:rPr>
        <w:t>Our initial investments in our subsidiaries are structured to fund programs to key value inflection points, and we seek to commit additional capital to our subsidiaries only when these hurdles are met. We create development plans that tranche funding to clear pre-specified milestones that test hypotheses early in drug development. Our criteria emphasize iterative evaluation of the potential for single agent activity throughout the development of each program. For example, our partially-owned subsidiary Cullinan MICA’s $26 million Series A financing included three tranches. Following the initial close of $8 million, subsequent funding is contingent upon achieving clinical and regulatory milestones designed to establish clinical proof-of-concept as a monotherapy. These financing structures enable us to minimize spending on programs that do not meet our de-risking criteria for advancement and preserve resources to invest in programs with greater potential.</w:t>
      </w:r>
    </w:p>
    <w:p>
      <w:pPr>
        <w:spacing w:after="0" w:line="77" w:lineRule="exact"/>
        <w:rPr>
          <w:rFonts w:ascii="Times New Roman" w:cs="Times New Roman" w:eastAsia="Times New Roman" w:hAnsi="Times New Roman"/>
          <w:sz w:val="17"/>
          <w:szCs w:val="17"/>
          <w:color w:val="auto"/>
        </w:rPr>
      </w:pPr>
    </w:p>
    <w:p>
      <w:pPr>
        <w:ind w:left="1000" w:right="140" w:hanging="547"/>
        <w:spacing w:after="0" w:line="278" w:lineRule="auto"/>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Virtual infrastructure and key external relationships to maintain a lean operating base: </w:t>
      </w:r>
      <w:r>
        <w:rPr>
          <w:rFonts w:ascii="Times New Roman" w:cs="Times New Roman" w:eastAsia="Times New Roman" w:hAnsi="Times New Roman"/>
          <w:sz w:val="17"/>
          <w:szCs w:val="17"/>
          <w:color w:val="auto"/>
        </w:rPr>
        <w:t>By centralizing shared services, we are able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efficiently allocate employees and resources based on the needs and development stage for each of our therapeutic candidates. Furthermore, we have a relatively small number of employees and have built a network of trusted external service providers and consultants, choosing to leverage their infrastructure and expertise as needed instead of embarking on capital-intensive lab, manufacturing, and equipment expenditures. We believe the combination of our virtual infrastructure and external network enables us to reduce operating costs.</w:t>
      </w:r>
    </w:p>
    <w:p>
      <w:pPr>
        <w:spacing w:after="0" w:line="69" w:lineRule="exact"/>
        <w:rPr>
          <w:rFonts w:ascii="Times New Roman" w:cs="Times New Roman" w:eastAsia="Times New Roman" w:hAnsi="Times New Roman"/>
          <w:sz w:val="17"/>
          <w:szCs w:val="17"/>
          <w:color w:val="auto"/>
        </w:rPr>
      </w:pPr>
    </w:p>
    <w:p>
      <w:pPr>
        <w:ind w:left="1000" w:right="20" w:hanging="547"/>
        <w:spacing w:after="0" w:line="255"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development capabilities complemented by external business development: </w:t>
      </w:r>
      <w:r>
        <w:rPr>
          <w:rFonts w:ascii="Times New Roman" w:cs="Times New Roman" w:eastAsia="Times New Roman" w:hAnsi="Times New Roman"/>
          <w:sz w:val="18"/>
          <w:szCs w:val="18"/>
          <w:color w:val="auto"/>
        </w:rPr>
        <w:t>We believe that simultaneous engagement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mechanistic approaches through a single molecular agent can drive meaningful clinical benefits in oncology care, especially for immuno-oncology approaches. The therapeutic index of such a multi-functional agent is often dictated by the specific design of the molecule, including the structural backbone, the configuration, and assembly of each component, and the desired biological targets. Following our comprehensive review of the oncology landscape, we sometimes conclude that no external assets fully capture the potential therapeutic benefit from these design principles. In these instances, we leverage our team’s deep understanding of molecular and cancer biology, together with external sources of expertise, to develop molecules with optimized designs, either through internally sourced ideas or in collaborations with external research centers of excellence.</w:t>
      </w:r>
    </w:p>
    <w:p>
      <w:pPr>
        <w:spacing w:after="0" w:line="90" w:lineRule="exact"/>
        <w:rPr>
          <w:rFonts w:ascii="Times New Roman" w:cs="Times New Roman" w:eastAsia="Times New Roman" w:hAnsi="Times New Roman"/>
          <w:sz w:val="18"/>
          <w:szCs w:val="18"/>
          <w:color w:val="auto"/>
        </w:rPr>
      </w:pPr>
    </w:p>
    <w:p>
      <w:pPr>
        <w:ind w:left="1000" w:hanging="547"/>
        <w:spacing w:after="0" w:line="255"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Focus on translational medicine and therapeutic candidates with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single agent activity: </w:t>
      </w:r>
      <w:r>
        <w:rPr>
          <w:rFonts w:ascii="Times New Roman" w:cs="Times New Roman" w:eastAsia="Times New Roman" w:hAnsi="Times New Roman"/>
          <w:sz w:val="18"/>
          <w:szCs w:val="18"/>
          <w:color w:val="auto"/>
        </w:rPr>
        <w:t>Due to the technical risk and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 requirements inherent in drug development, we believe the stage of development where drugs transition from preclinical proof-of-mechanism to clinical proof-of-concept is the greatest opportunity for value creation. By focusing our efforts on this stage of drug development, we believe we can advance programs to critical decision and value inflection points quickly and in a capital efficient manner, while preserving resources until clinical proof-of-concept is achieved. In addition, we believe that our focus on robust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single agent activity will potentially increase the probability of success in clinical development and reduce the time and capital required to achieve clinical proof-of-concept. Once proof-of-concept is established, we will seek to maximize the value of the program, either through external business development or with continued internal investment.</w:t>
      </w:r>
    </w:p>
    <w:p>
      <w:pPr>
        <w:spacing w:after="0" w:line="90" w:lineRule="exact"/>
        <w:rPr>
          <w:rFonts w:ascii="Times New Roman" w:cs="Times New Roman" w:eastAsia="Times New Roman" w:hAnsi="Times New Roman"/>
          <w:sz w:val="18"/>
          <w:szCs w:val="18"/>
          <w:color w:val="auto"/>
        </w:rPr>
      </w:pPr>
    </w:p>
    <w:p>
      <w:pPr>
        <w:ind w:left="1000" w:right="340" w:hanging="547"/>
        <w:spacing w:after="0" w:line="28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Disciplined asset evaluation and selection: </w:t>
      </w:r>
      <w:r>
        <w:rPr>
          <w:rFonts w:ascii="Times New Roman" w:cs="Times New Roman" w:eastAsia="Times New Roman" w:hAnsi="Times New Roman"/>
          <w:sz w:val="18"/>
          <w:szCs w:val="18"/>
          <w:color w:val="auto"/>
        </w:rPr>
        <w:t>We systematically map the oncology landscape, canvassing publicly available literature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databases as well as our team’s longstanding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20"/>
          </w:cols>
          <w:pgMar w:left="320" w:top="455" w:right="3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54" w:lineRule="auto"/>
        <w:rPr>
          <w:sz w:val="20"/>
          <w:szCs w:val="20"/>
          <w:color w:val="auto"/>
        </w:rPr>
      </w:pPr>
      <w:r>
        <w:rPr>
          <w:rFonts w:ascii="Times New Roman" w:cs="Times New Roman" w:eastAsia="Times New Roman" w:hAnsi="Times New Roman"/>
          <w:sz w:val="18"/>
          <w:szCs w:val="18"/>
          <w:color w:val="auto"/>
        </w:rPr>
        <w:t xml:space="preserve">relationships with academic research laboratories, other biotechnology and pharmaceutical companies, and venture capital firms. We apply a set of key criteria to narrow our focus to targets and biological pathways with attractive attributes for drug development. Our team vets potential programs or therapeutic candidates across multiple parameters, including mechanistic rationale, preclinical and clinical data generated as a single agent, potential commercial and manufacturing viability, fit within our portfolio, intellectual property position, and the potential impact of competition. Before we acquire or license a program, we determine whether it is likely that we could replicate, and ideally extend, scientific results using our network of trusted service providers, additional assay systems and formats, and rigorous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We only commit the resources to establish a subsidiary around a candidate when it has met these criteria and advanced to the lead optimization stage or later.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CLN-081</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Our lead therapeutic candidate, CLN-081 (formerly known as TAS6417), is an orally available small molecule designed as a next generation, irreversible EGFR inhibitor in development for the treatment of a genetically defined subset of patients with NSCLC. CLN-081 was designed with a unique chemical scaffold to bind to the active site of exon 20 insertions, inhibiting mutant activity while preserving wild type EGFR activity. In preclinical studies, CLN-081 demonstrated high selectivity for cells expressing EGFR containing activating mutations, including exon 20 insertions, while relatively sparing cells expressing wild type EGFR and displaying antitumor activity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In our ongoing Phase 1/2a trial, preliminary clinical activity and tolerability data as of November 10, 2020 are encouraging. Amongst 25 evaluable patients across all dose cohorts, we observed a best overall response of partial response in 10 patients, stable disease in 14 patients, and disease progression in one patient as of the data cut-off. The partial responses included six confirmed and four unconfirmed partial responses, two of whom had not yet reached a confirmatory scan. Regarding the other two patients with an unconfirmed partial response, one experienced progressive disease due to a new brain lesion growth and one died before their second scan after experiencing aspirational pneumonia, deemed by the investigator as unrelated to study drug. As of the November 10, 2020 data cut-off, we observed one DLT, which was Grade 3 diarrhea TRAE in the 150mg BID dosing cohort, our highest dose evaluated to date, and one other Grade 3 TRAE, which was anemia.</w:t>
      </w:r>
    </w:p>
    <w:p>
      <w:pPr>
        <w:spacing w:after="0" w:line="19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We licensed worldwide rights, excluding Japan, to CLN-081 from Taiho Pharma in 2018 and initiated a Phase 1/2a dose escalation and expansion trial in previously treated, adult NSCLC patients with EGFRex20ins mutations. We anticipate providing a clinical update from the ongoing Phase 1/2a trial in the first half of 2021. After determining a RP2D, we plan to meet with health authorities to discuss the development and regulatory pathways for CLN-081.</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 on NSCLC and EGFR mutations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Lung cancer is by far the leading cause of cancer deaths among both men and women, comprising almost 25% of all cancer deaths. Each year, more people die of lung cancer than of colon, breast, and prostate cancers combined. The American Cancer Society estimates that, in 2020, there will be approximately 228,820 new cases of lung cancer and approximately 135,720 deaths from lung cancer in the United States. The most common subtype of lung cancer is NSCLC, which represents approximately 80% to 85% of all lung cancers.</w:t>
      </w:r>
    </w:p>
    <w:p>
      <w:pPr>
        <w:spacing w:after="0" w:line="180"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EGFR is a receptor tyrosine kinase, or RTK, that normally functions to trigger cell division when growth factors bind to the receptor. Oncogenic mutations in the tyrosine kinase domain can induce growth factor independent activation of EGFR, resulting in uncontrolled cell growth and proliferation. Ultimately, these aberrant signals can contribute to the development of NSCLC. EGFR mutations are present in approximately 15% to 25% of U.S. and Western European NSCLC patients and approximately 30% to 50% of Asian NSCLC patients. Given its important role and prevalence in cancer, mutant EGFR is a critical target in lung cancer therapy. Exon 19 deletion and exon 21 L858R substitution mutations, collectively referred to as classical EGFR mutations, are the most common and account for over 75% of EGFR mutations in NSCLC. Multiple EGFR inhibitors, including gefitinib, erlotinib, afatinib, and osimertinib, target these common mutations and have been approved as first-line therapies, thus validating mutant EGFR as a target for the treatment of NSCLC.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Exon 20 insertions, which account for 7% to 13% of all EGFR mutations in NSCLC patients, are the most prevalent after the classical EGFR mutations. We estimate an incidence of approximately 2,000 to 5,000 NSCLC patients in the U.S. and approximately 1,000 to 3,000 patients in France, Germany, Italy, Spain, and the United Kingdom, or EU5, with EGFRex20ins mutations, as shown in the table below.</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Incidence of Advanced NSCLC Patients with EGFRex20in Mutations in the U.S. and EU5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EU5</w:t>
            </w: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Incidence of NSCLC</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160,000</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117,000</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of NSCLC Patients with EGFR Mutations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 to 25%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to 20%</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Patients with EGFR Mutations with EGFRex20ins Mutations</w:t>
            </w:r>
          </w:p>
        </w:tc>
        <w:tc>
          <w:tcPr>
            <w:tcW w:w="30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 to 13%</w:t>
            </w: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Incidence of Addressable Patient Population</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2,000 to 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 to 3,000</w:t>
            </w:r>
          </w:p>
        </w:tc>
      </w:tr>
    </w:tbl>
    <w:p>
      <w:pPr>
        <w:spacing w:after="0" w:line="179"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Preclinical studies have shown that exon 20 insertions, as well as classical EGFR mutations, have the characteristics of oncogenic driver mutations, which are responsible for both tumorigenesis and the progression of cancer. However, in contrast to classical EGFR mutations, exon 20 insertions do not sensitize the kinase domain to treatment with approved EGFR inhibitors.</w:t>
      </w:r>
    </w:p>
    <w:p>
      <w:pPr>
        <w:spacing w:after="0" w:line="176"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Currently, there are no targeted therapies approved for NSCLC patients with EGFRex20ins mutations. These patients are typically treated with platinum-based chemotherapy regimens but have poor outcomes. A pooled analysis investigating outcomes in this patient population demonstrated a median overall survival, or OS, of 16.2 months and a median progression-free survival, or PFS, of 4.8 months. Results from a separate publication showed a similar disparity in outcomes between NSCLC patients with EGFRex20ins mutations compared to those with classical mutations following treatment with a single agent EGFR inhibitor. As shown in the figure below, patients with EGFRex20ins mutations demonstrated a median PFS of two months as compared to 14 months for patients with classical EGFR mutations.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NSCLC Patients with Classical Mutations Had Longer Median PFS Than NSCLC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Patients with EGFRex20ins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160020</wp:posOffset>
            </wp:positionV>
            <wp:extent cx="1885950" cy="1594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8595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80" w:firstLine="449"/>
        <w:spacing w:after="0" w:line="281" w:lineRule="auto"/>
        <w:rPr>
          <w:sz w:val="20"/>
          <w:szCs w:val="20"/>
          <w:color w:val="auto"/>
        </w:rPr>
      </w:pPr>
      <w:r>
        <w:rPr>
          <w:rFonts w:ascii="Times New Roman" w:cs="Times New Roman" w:eastAsia="Times New Roman" w:hAnsi="Times New Roman"/>
          <w:sz w:val="17"/>
          <w:szCs w:val="17"/>
          <w:color w:val="auto"/>
        </w:rPr>
        <w:t>Numerous other studies investigating approved EGFR inhibitors in patients with EGFRex20ins mutations demonstrated limited efficacy, with response rates ranging from 0% to 28%. These clinical results are supported by preclinical data, which demonstrate that cancer cells bearing EGFRex20ins mutations are not inhibited with clinically-achievable doses of approved EGFR inhibitors. Therefore, we believe there is a high unmet need for NSCLC patients with EGFRex20ins mutations given the limitations of approved EGFR inhibitors and lack of approved targeted therapies for these patients.</w:t>
      </w:r>
    </w:p>
    <w:p>
      <w:pPr>
        <w:spacing w:after="0" w:line="164"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two most advanced EGFR inhibitors in active clinical development for NSCLC patients with EGFRex20ins mutations are poziotinib, from Spectrum Pharmaceuticals, and mobocertinib (TAK-788), from Takeda Pharmaceuticals, Inc., or Takeda. According to data presented at the 2020 American Association for Cancer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or AACR, Virtural Annual Meeting, poziotinib dosed at 16mg QD was observed to generate a 14.8% objective response rate, or ORR, in the intent to treat population, or ITT, of 115 patients. Treatment-related adverse events of any grade diarrhea or rash, both classical EGFR-related toxicities, were observed in 79% and 60% of patients, respectively, and Grade 3 or greater events were observed in 25% and 28% patients, respectively. Additionally, 68% of patients experienced dose reductions, 88% experienced drug interruptions, and 10% experienced permanent discontinuation due to TRAEs. Clinical trial results with TAK-788 (mobocertinib) were presented at the European Society of Medical Oncology 2020 Virtual Annual Meeting in September 2020. Among 28 patients treated at the maximum-tolerated dose/RP2D of 160mg QD, the confirmed ORR was 43%. Any grade treatment-related diarrhea and rash were observed in 82% and 46% of patients, respectively, while Grade 3 or greater treatment-related diarrhea were observed in 32% of patients. Takeda reported that approximately 18% of patients experienced dose reductions. In 2019, at the 20th World Conference on Lung Cancer, Takeda reported clinical results from a population of 137 patients treated with TAK-788 across multiple dose levels and 72 patients treated with 160 mg QD TAK-788. Among the 72 patients treated with the RP2D of 160mg QD, any grade treatment-related diarrhea and rash were observed in 85% and 36% of patients, respectively, while Grade 3 or greater treatment-related diarrhea were observed in 18% of patients. We did not conduct head-to-head comparative studies of TAK-788 and CLN-081. As a result, comparative conclusions cannot be drawn between the data presented by Takeda on TAK-788 and the data we have observed for CLN-081.</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Solution: CLN-081</w:t>
      </w:r>
    </w:p>
    <w:p>
      <w:pPr>
        <w:spacing w:after="0" w:line="121" w:lineRule="exact"/>
        <w:rPr>
          <w:sz w:val="20"/>
          <w:szCs w:val="20"/>
          <w:color w:val="auto"/>
        </w:rPr>
      </w:pPr>
    </w:p>
    <w:p>
      <w:pPr>
        <w:ind w:right="60" w:firstLine="449"/>
        <w:spacing w:after="0" w:line="281" w:lineRule="auto"/>
        <w:rPr>
          <w:sz w:val="20"/>
          <w:szCs w:val="20"/>
          <w:color w:val="auto"/>
        </w:rPr>
      </w:pPr>
      <w:r>
        <w:rPr>
          <w:rFonts w:ascii="Times New Roman" w:cs="Times New Roman" w:eastAsia="Times New Roman" w:hAnsi="Times New Roman"/>
          <w:sz w:val="17"/>
          <w:szCs w:val="17"/>
          <w:color w:val="auto"/>
        </w:rPr>
        <w:t>CLN-081 is a small molecule that was designed as an irreversible EGFR inhibitor with a novel pyrrolopyrimidine scaffold, which is unique among the therapies in development that are targeting EGFRex20ins mutations. CLN-081 is designed to fit into the ATP-binding site of EGFR where it covalently modifies C797, thereby forming a durable drug-protein linkage that irreversibly inhibits the mutant receptor. In preclinical studies, CLN-081 demonstrated high selectivity and inhibition of EGFR in cells expressing mutant EGFR proteins, with substantially less inhibition in cells expressing wild type EGFR.</w:t>
      </w:r>
    </w:p>
    <w:p>
      <w:pPr>
        <w:spacing w:after="0" w:line="16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licensor evaluated the selectivity index in vitro of CLN-081 versus competing EGFR inhibitors, as measured by the ratio of the half-maximal growth inhibition, or IC50, value of cells expressing wild type EGFR versus cells expressing exon 20 insertion mutant EGFR. As shown below, CLN-081 demonstrated the highest selectivity index, suggesting that CLN-081 may be capable of achieving clinically relevant inhibition of EGFR with exon 20 insertion mutations with relative sparing of wild type EGFR.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CLN-081 Demonstrated Superior Selectivity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Across Multiple EGFRex20ins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160020</wp:posOffset>
            </wp:positionV>
            <wp:extent cx="4620260" cy="23660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2026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455" w:right="3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 xml:space="preserve">Multiple preclinical studies, including IND-enabling studies, of CLN-081 have been completed, which supported the submission and acceptance of our IND by the FDA in the second quarter of 2019.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CLN-081 was evaluated in multiple EGFRex20ins mutation-driven tumor models, including three of the most common insertion mutations: D770_N771insSVD, H773_V774 insNPH, and V769_D770insASV. In all three mouse models, doses of 200 milligrams per kilogram, or mpk, of CLN-081 achieved persistent tumor regression with no body weight loss over five percent. In comparison, 20mpk of afatinib induced only modest tumor growth inhibition in these models. The results of these common insertion mutation models are summarized below.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Tumor Reduction Observed in Mice With CLN-081 Treatment vs. Afatinib or Vehicle in Multiple EGFRex20ins Mutant NSCLC Models</w:t>
      </w:r>
    </w:p>
    <w:p>
      <w:pPr>
        <w:sectPr>
          <w:pgSz w:w="11900" w:h="16838" w:orient="portrait"/>
          <w:cols w:equalWidth="0" w:num="1">
            <w:col w:w="11240"/>
          </w:cols>
          <w:pgMar w:left="320" w:top="455" w:right="339" w:bottom="1440" w:gutter="0" w:footer="0" w:header="0"/>
        </w:sectPr>
      </w:pPr>
    </w:p>
    <w:p>
      <w:pPr>
        <w:spacing w:after="0" w:line="25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NCI-H1975 xenograft</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(EGFR D770 N771insSVD)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142875</wp:posOffset>
            </wp:positionV>
            <wp:extent cx="1645920" cy="9512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NIH/3T3 allografts</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(EGFR H773 V774insNPH)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150495</wp:posOffset>
            </wp:positionV>
            <wp:extent cx="1731645" cy="1045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31645" cy="1045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Lung cancer PDX</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(EGFR V769 D770insASV)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167640</wp:posOffset>
            </wp:positionV>
            <wp:extent cx="1731645" cy="1028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31645" cy="102870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960" w:space="720"/>
            <w:col w:w="3000" w:space="720"/>
            <w:col w:w="2840"/>
          </w:cols>
          <w:pgMar w:left="320" w:top="4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another preclinical study, the antitumor activity and impact on body weight of CLN-081 was compared to that of poziotinib, which, at the time, was the most advanced EGFRex20ins inhibitor in clinical development. Antitumor activity and body weight change were measured in mice bearing H1975 EGFR D770_N771insSVD xenografts. Comparable tumor growth suppression was observed in the mice treated with 1mpk of poziotinib as those treated with 100mpk of CLN-081. Notably, poziotinib treatment led to body weight loss in all mice. In contrast, mice treated with CLN-081 with doses up to 200mpk showed no significant body weight loss. We believe these results illustrate the potential selectivity and potential therapeutic window for CLN-081. However, preclinical data must be interpreted with caution. We may not observe differentiation in clinical trials that is similar to the results of preclinical comparative studies of CLN-081, and we will not be able to rely upon comparative data from preclinical studies in connection with submissions to the FDA or other regulatory agencies for approval or otherwise.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CLN-081 Inhibited Tumor Growth and Avoided Weight Loss in NSCLC with EGFRex20ins Mutations</w:t>
      </w:r>
    </w:p>
    <w:p>
      <w:pPr>
        <w:sectPr>
          <w:pgSz w:w="11900" w:h="16838" w:orient="portrait"/>
          <w:cols w:equalWidth="0" w:num="1">
            <w:col w:w="11240"/>
          </w:cols>
          <w:pgMar w:left="320" w:top="455" w:right="339" w:bottom="1440" w:gutter="0" w:footer="0" w:header="0"/>
          <w:type w:val="continuous"/>
        </w:sect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NCI-H1975 xenograft</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(EGFR D770 N771insSVD)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150495</wp:posOffset>
            </wp:positionV>
            <wp:extent cx="2383155" cy="130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83155"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Corresponding body-weight change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164465</wp:posOffset>
            </wp:positionV>
            <wp:extent cx="2383155" cy="13455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83155" cy="13455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120" w:space="720"/>
            <w:col w:w="4400"/>
          </w:cols>
          <w:pgMar w:left="320" w:top="4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455" w:right="339" w:bottom="1440" w:gutter="0" w:footer="0" w:header="0"/>
          <w:type w:val="continuous"/>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We initiated our ongoing Phase 1/2a trial of CLN-081 in the fourth quarter of 2019. This first-in-human, open-label, multi-center trial is designed to evaluate the safety and tolerability, pharmacokinetics, pharmacodynamics, and preliminary efficacy of CLN-081 in adult NSCLC patients with EGFRex20ins mutations.</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As of November 10, 2020, 37 patients across five dose escalation cohorts, including cohorts at 30, 45, 65, 100, and 150 mg BID dose levels, received at least one dose of CLN-081. We have further expanded enrollment at the 30, 65, and 100 mg BID dose levels to further characterize the initial antitumor efficacy of CLN-081. We are actively enrolling patients across sites in the U.S., the Netherlands, Singapore, Hong Kong, and Taiwan, and we plan to initiate additional sites, including in China.</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patient population in our trial is heavily pre-treated, with a median of two prior systemic therapies and more than 80% of patients having</w:t>
      </w:r>
    </w:p>
    <w:p>
      <w:pPr>
        <w:spacing w:after="0" w:line="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received two or more prior therapies at study entry (i.e.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line of therapy or greater), as shown in the table below. Further, 40% of patients have received prior treatment with an EGFR inhibitor, including 11% that have received prior treatment with poziotinib or mobocertinib, and 57% of the patients received prior treatment with a checkpoint inhibitor.</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Demographics and Baseline Characteristics for CLN-081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28892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94935"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455"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Preliminary safety, pharmacokinetic, and efficacy data</w:t>
      </w:r>
    </w:p>
    <w:p>
      <w:pPr>
        <w:spacing w:after="0" w:line="11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As of November 10, 2020, we observed one DLT, which was Grade 3 diarrhea TRAE in the 150mg BID dosing cohort, our highest dose evaluated to date, and one other Grade 3 TRAE, which was anemia. TRAEs most common to EGFR inhibitors are outlined below. Rash is the most common TRAE observed as of the data cutoff, with 10 patients experiencing Grade 1 rash, eight patients experiencing Grade 2 rash, and no patients experiencing a Grade 3 or greater rash. In addition to rash, diarrhea is another toxicity common to EGFR inhibitors due to inhibition of wild-type EGFR in the GI tract. As of the data cut-off, we observed nine cases of treatment-related diarrhea, of which seven were Grade 1, one was Grade 2, and one was Grade 3 (both the Grade 2 and Grade 3 TRAEs were at the 150mg BID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147955</wp:posOffset>
            </wp:positionV>
            <wp:extent cx="4474845" cy="2443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7484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As of the November 10, 2020 data cut-off, preliminary pharmacokinetic data demonstrated a near dose-dependent trend in exposure, as measured by unbound area under the curve, or AUC, and CMAX values. Furthermore, the target unbound AUC required to achieve tumor regression in preclinical studies was reached starting at the initial dose of 30 mg BID.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00"/>
          </w:cols>
          <w:pgMar w:left="320" w:top="455" w:right="3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As of November 10, 2020, among 25 evaluable patients, we observed best responses of partial response in 10 patients, stable disease in 14 patients, and disease progression in one patient, as shown in figure (A) below. Twelve patients were not yet evaluable, meaning that treatment was ongoing, but they had not yet reached their initial on-treatment imaging time point. The partial responses included six confirmed and four unconfirmed partial responses, two of whom had not yet reached a confirmatory scan. Regarding the two remaining patients with unconfirmed partial responses, one experienced progressive disease due to a new brain lesion growth and one died before their second scan after experiencing aspirational pneumonia that was deemed unrelated to study drug by the investigator. One of the two patients that will not confirm was previously treated with mobocertinib, or TAK-788, and initially achieved a partial response, but had brain metastases on a subsequent scan. Per RECIST criteria, the appearance of new lesions was considered progression, resulting in an unconfirmed response despite continued response of the target lesion. Among patients who experienced stable disease, all but one experienced either tumor regression or no tumor growth in their target lesions, as shown in figure (B) below. Furthermore, tumor regression was apparent at the first scan post-baseline in the majority of evaluable patients, as shown in figure (C) below. Responses have been observed across several EFGRex20ins mutation sub-types. Patients in the trial have their initial tumor imaging performed after approximately six weeks of treatment, and then every nine weeks thereafter.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Preliminary Efficacy Results from Ongoing Phase 1/2a Trial of CLN-081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19685</wp:posOffset>
            </wp:positionV>
            <wp:extent cx="4003040" cy="2322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030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 - Best Response % Change from Baseline (target lesion)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173990</wp:posOffset>
            </wp:positionV>
            <wp:extent cx="4003040" cy="2091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030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455" w:right="3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(C)—Percentage Change in Sum of Target Lesions from 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Expansion Opportunities for CLN-081</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preclinical studies, CLN-081 has also demonstrated activity against other EGFR mutations beyond exon 20 insertions, including exon 19 deletions, the exon 21 L8585R substitution mutation, T790M resistance mutations, other less prevalent mutations, and select combinations of these mutations. We believe this broad spectrum of activity may offer rationale for future clinical expansion opportunities for CLN-081 into NSCLC patients with other types of EGFR mutations. For example, CLN-081 has demonstrated antitumor activity in preclinical studies in EGFR mutations that emerge in patients that develop acquired resistance to osimertinib.</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EGFRex20ins mutations also play a role in other tumor types. For example, approximately 70% of sinonasal squamous cell carcinoma is believed to be driven by exon 20 insertion mutant EGFR. Additionally, EGFRex20ins mutations are believed to drive approximately 1% of various solid tumors, including bladder cancer, liver cancer, endometrial cancer, and others.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CLN-049</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 xml:space="preserve">Our second most advanced immuno-oncology therapeutic candidate, CLN-049, is a humanized bispecific antibody that we are developing for the treatment of acute myeloid leukemia, or AML. CLN-049 is designed to simultaneously bind to FLT3 on target leukemic cells and to CD3 on T cells, triggering the T cells to kill the target cancer cells. We have observed that CLN-049 led to highly potent FLT3-dependent killing of leukemic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a wide range of FLT3 expression levels on AML cells. In preclinical studies, treatment with CLN-049, even at low doses, led to survival benefit in an AML xenograft model and complete elimination of leukemic blasts in various mouse models implanted with primary patient leukemic cells or AML cell lines.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 on Acute Myeloid Leukemia and FLT3</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American Cancer Society estimates that, in 2020, there will be approximately 20,000 newly-diagnosed patients with AML and approximately 11,000 deaths from AML in the U.S. AML is a complex hematologic malignancy characterized by uncontrolled proliferation of malignant immature myeloid blast cell populations. These blasts may completely infiltrate and replace the bone marrow, resulting in major disruption of normal hematopoiesis and pancytopenia, very high numbers of circulating blasts in the peripheral blood, and infiltration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visceral organs as well as the skin. In addition, patients with AML may be susceptible to bleeding complications due to thrombocytopenia and experience complications from treatment with cytotoxic chemotherapy. These patients may also be severely immuno-compromised secondary to their disease and experience prolonged periods of neutropenia and lymphopenia. As a result, these patients are often susceptible to life-threatening infections that also contribute to severe morbidity and mortality.</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Despite advancements in the treatment of AML, there continues to be a high unmet need in these patients. Eligible newly diagnosed patients are typically treated with intensive induction chemotherapy, which may include continuous infusion of cytarabine with an anthracycline, in an attempt to achieve a complete remission. The majority of patients that experience complete remission undergo hematopoietic stem cell transplantation, or HSCT. Despite aggressive first-line combination chemotherapy, the recent approvals of multiple targeted small molecules for molecularly-defined AML patient subsets, and the use of HSCT in patients with a suitable matched donor, the prognosis of patients with AML remains extremely poor. Although 60% to 85% of younger adult patients achieve complete remissions, patients older than 60 years of age have inferior complete response rates of 40% to 60%. In addition, approximately 40% of all patients relapse following HSCT.</w:t>
      </w:r>
    </w:p>
    <w:p>
      <w:pPr>
        <w:spacing w:after="0" w:line="18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FLT3, or FMS-like tyrosine kinase 3, is a Class III RTK with a well-recognized and essential role in hematopoiesis. In healthy individuals, expression of FLT3 is restricted to a subpopulation of hematopoietic stem and progenitor cells, or HSPCs, inducing their proliferation and differentiation into monocytes, dendritic cells, B cells, and T cells. FLT3 has been identified as a proto-oncogene and plays a key role in promoting leukemic cell proliferation and survival. Several small molecule kinase inhibitors targeting FLT3 mutations are in development or have been approved for the treatment of AML. However, these product candidates and approved therapies only address approximately 25% of AML patients who have intracellular FLT3 genetic mutations but do not address the larger subset of patients with extracellular expression of FLT3 on the surface of cancer cells.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Studies have shown that FLT3 is expressed by FACS staining on AML blasts in at least 75% of AML patients, regardless of an oncogenic driver mutation. In one study, leukemic bulk cells from 318 newly diagnosed or relapsed AML patients were evaluated for cell surface FLT3 protein expression, and 78% were found positive for FLT3, as shown in the figure below. This broad expression of FLT3 in AML patients suggests that targeting FLT3 with a biologic agent, namely a T cell engaging bispecific antibody that recruits T cells to kill tumor cells expressing FLT3 on the cell surface, could address a larger AML patient population than the targeted small molecule inhibitors targeting the intracellular signaling domain of FLT3 that are approved or in development. Compared to other tumor surface antigens identified in AML, such as CD33 and CD123, FLT3 expression is generally restricted to a subpopulation of bone marrow HSPCs and circulating dendritic cells. FLT3 plays a key role in driving leukemogenesis and malignant progression of AML, promoting leukemic cell proliferation and survival. We believe that the expression of FLT3 on the surface of leukemic blasts in most AML patients and its role as a known oncogenic driver make it an attractive therapeutic target for a T cell engager approach.</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 75% of AML Patients Show Positive Cell Surface FLT3 Protein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173990</wp:posOffset>
            </wp:positionV>
            <wp:extent cx="2040255" cy="1689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4025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Solution: CLN-049</w:t>
      </w:r>
    </w:p>
    <w:p>
      <w:pPr>
        <w:spacing w:after="0" w:line="121"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 xml:space="preserve">CLN-049 is a humanized bispecific antibody construct comprised of two FLT3-binding domains, an Fc-silenced humanized IgG1 backbone, and CD3-binding single-chain Fv domains, or scFvs, fused to the C-terminus of the antibody’s heavy chain. In multiple preclinical studies, CLN-049 has demonstrated the ability to redirect T cells to lyse FLT3-expressing AML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potent antitumor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Given the observed variability in FLT3 expression levels among patients, we characterized the killing potential of CLN-049 across multiple cell lines expressing differing levels of FLT3 on the cell surface. As shown in the figures below, CLN-049 was observed to mediate robust target-dependent cell killing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across all AML cell lines tested. Importantly, we observed that the EC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 i.e. the drug concentration at which 50% of target cells are killed, was in the sub-nM range and did not seem to be dependent on the number of FLT3 receptor molecules found on AML target cells. In particular, we observed potent target cell killing even when those cells expressed fewer than 100 copies of the FLT3 receptor per cell. Based on these results, we believe CLN-049 may effectively kill AML target cells with even low levels of FLT3 expression, which could potentially translate into deeper and more durable responses in the clinic and may allow us to treat a larger subset of AML patients.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CLN-049 Demonstrated Killing of Target Cells Expressing a Range of FLT3, </w:t>
      </w:r>
      <w:r>
        <w:rPr>
          <w:rFonts w:ascii="Times New Roman" w:cs="Times New Roman" w:eastAsia="Times New Roman" w:hAnsi="Times New Roman"/>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173990</wp:posOffset>
            </wp:positionV>
            <wp:extent cx="3094355" cy="1482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9435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FLT3 is not widely expressed on normal immune cells, but rather is restricted to certain hematopoietic stem cell precursors in the bone marrow and dendritic cell subsets in the periphery. As shown in the figure below, a recent study found that the expression level of FLT3 transcript was significantly higher on AML cells compared to normal solid tissues.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FLT3 Transcript Level is Higher on AML Cells Than on Normal Human Solid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173990</wp:posOffset>
            </wp:positionV>
            <wp:extent cx="3917315" cy="2082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1731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00"/>
          </w:cols>
          <w:pgMar w:left="320" w:top="455"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Importantly, we observed that CLN-049 treatment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did not lead to a significant reduction in CD34+ bone marrow cells, as shown in the figure below, supporting our hypothesis that CLN-049 preferentially kills FLT3-expressing leukemic cells while sparing normal cells.</w:t>
      </w: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CLN-049 Treatment Did Not Result in Significant Killing of Normal CD34+ Bone Marrow Cells </w:t>
      </w:r>
      <w:r>
        <w:rPr>
          <w:rFonts w:ascii="Times New Roman" w:cs="Times New Roman" w:eastAsia="Times New Roman" w:hAnsi="Times New Roman"/>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173990</wp:posOffset>
            </wp:positionV>
            <wp:extent cx="4046220" cy="21088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462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CLN-049 has two CD3-binding arms that can potentially crosslink CD3 on T cells, which may result in target cell-independent T cell activation and systemic cytokine-related toxicities. In preclinical studies, we examined whether CLN-049 can lead to spurious T cell activation in the absence of target cells. As shown below, incubation of purified human T cells with CLN-049 in the absence of target-expressing cells did not induce T cell activation markers CD25 and CD69 on either CD4+ or CD8+ T cells as opposed to positive control anti-CD3 antibodies OKT3 and UCHT1 (CLN-049 parental CD3 antibody) that induced T cell activation.</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CLN-049 Did Not Trigger the Upregulation of Activation Marker CD69 On Purified Human CD4+ or</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CD8+ T Cells in the Absence of FLT3 Expressing Target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160020</wp:posOffset>
            </wp:positionV>
            <wp:extent cx="5134610" cy="8058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346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80"/>
          </w:cols>
          <w:pgMar w:left="320" w:top="455" w:right="3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potential efficacy of CLN-049 was evaluated in a humanized mouse model where a human AML cell line was administered systemically. As shown in the figure below, CLN-049 controlled AML leukemic burden in the engrafted human PBMC (DHC23) mice and led to the extension of the animals’ survival in a dose-dependent manner. We believe CLN-049 effected this result by redirecting the T cells in the human PBMC population to kill the target AML cells.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Dose-dependent Effect of CLN-049 on the Survival of Mice with Disseminated Leukemic AML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173990</wp:posOffset>
            </wp:positionV>
            <wp:extent cx="2785745" cy="12084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857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anti-leukemic activity of CLN-049 was also evaluated using patient-derived AML blasts and PBMCs in a disseminated humanized mouse model. As shown in the figure below, treatment with CLN-049 resulted in a significant reduction in the overall leukemic burden in the bone marrow of both the AML blast (left panel) and ALL cell line model (right panel). In contrast, a control T cell engaging bispecific antibody having the same format as CLN-049 but containing a non-specific target-binding domain did not impact the leukemic burden as compared to untreated control.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CLN-049 Demonstrated Anti-Leukemic Activity in Humanized Mouse Models with Primary AML and ALL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1800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7147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45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To further evaluate the safety of CLN-049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CLN-049 was administered in a humanized mouse model inoculated with human PBMC. This study was specifically designed to test possible off-target effects of CLN-049. As shown in the figure below, the administration of CLN-049 did not cause meaningful body weight loss in the treated mice, with the overall body weight profiles being comparable to those of the control group. In contrast, administration of a bivalent cross-linking anti-CD3 antibody, the parental CD3 antibody UCHT1 from which the scFv domains of CLN-049 were derived, led to significant body weight loss (left panel) and the release of the cytokine interferon in serum (right panel), as shown below.</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 of CLN-049 on Body Weight and Cytokine Release in Humanized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173990</wp:posOffset>
            </wp:positionV>
            <wp:extent cx="2922905" cy="11404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2290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This result further supports our hypothesis that,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 two CD3 binding domains in CLN-049 cannot cross-link CD3 and therefore does not activate T cells in the absence of human FLT3-expressing target cells.</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intend to initially evaluate CLN-049 as a monotherapy in adult patients with r/r AML in a multi-center, dose escalation and dose expansion trial. We have completed IND-enabling pharmacology, pharmacokinetic, and safety studies, and we expect to submit our IND for CLN-049 in the first quarter of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CLN-619</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 xml:space="preserve">One of our most advanced immuno-oncology therapeutic candidates, CLN-619, is a MICA/B-targeted, humanized IgG1 monoclonal antibody that we intend to initially develop for the treatment of solid tumors. CLN-619 was designed to promote an antitumor response through multiple mechanisms of action, including engagement of NK and T cells for enhanced lysis of cancer cells. The MICA/B receptor, NKG2D, is expressed in both innate and adaptive immune cell populations. Although several companies have disclosed preclinical MICA/B targeting programs, we are unaware of any clinical stage programs. In preclinical studies, CLN-619 demonstrated antitumor activity as a single agent in multiple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tumor models. We believe CLN-619 has the potential to become a novel backbone agent for immuno-oncology therapy given the broad expression of MICA/B across tumor types and the biological rationale for combining CLN-619 with other agents.</w:t>
      </w:r>
    </w:p>
    <w:p>
      <w:pPr>
        <w:spacing w:after="0" w:line="18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have completed IND-enabling pharmacology and toxicology studies and are completing good manufacturing practice, or GMP, process work to support an IND submission in the first half of 2021.</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 on NKG2D and MICA/B</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NKG2D is a key activating receptor on NK cells responsible for cytolysis upon binding to ligands expressed on target cells. NKG2D is also expressed on other types of immune cells, including CD8</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aß T cells, natural killer T, or NKT, cells, and gd T cells, and can prime such cells for activation and enhance their antitumor activity as a co-activating receptor. Healthy cells do not normally express ligands of NKG2D, but will do so in response to cellular stress, such as oxygen or nutrient deprivation, radiation, viral infection, or oncogenic transformation. As illustrated below, there are eight NKG2D ligands in humans: MICA and MICB; UL16 binding protein, or ULBP 1, 2, and 3; and Retinoic Acid Early Transcript, or RAET, 1E, 1G, and 1L (also known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00"/>
          </w:cols>
          <w:pgMar w:left="320" w:top="455" w:right="3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ULBP 4, 5, and 6). All NKG2D ligands comprise an a1a2 extracellular major histocompatibility complex, or MHC, Class I-like superdomain that functionally interacts with the homo-dimeric NKG2D receptor.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 of NKG2D Ligands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173990</wp:posOffset>
            </wp:positionV>
            <wp:extent cx="2854325" cy="1431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432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MICA/B proteins are broadly recognized by NK cells, gd T cells, and CD8+ aß T cells via the NKG2D receptor. The engagement between the NKG2D receptor and MICA/B proteins triggers the effector cytolytic responses of NK cells and gd T cells against tumor cells expressing MICA/B. In the case of CD8+ aß T cells, effector responses mediated by the T cell receptor are strongly enhanced by NKG2D-MICA/B interactions. NKG2D-mediated stimulation also results in the induction of cytokines, which further promotes the recruitment and the proliferation of immune cells and bolsters the immune response.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To evade potential cytotoxic destruction by NK cells and T cells, tumor cells expressing MICA/B have adopted shedding of MICA/B from their cell surface as a key evasion mechanism. The MICA/B a3 domain contains a stretch of amino acids that allows for protease cleavage of membrane-bound MICA/B and release from the cell surface, thereby reducing cell surface expression of MICA/B and decreasing NKG2D-mediated killing of tumor cells. This mechanism also concomitantly increases the amount of circulating serum MICA/B, or sMICA/B. Soluble NKG2D ligands have also been shown to contribute to an immunosuppressive microenvironment. The mechanisms underlying this biology are illustrated below. Panel A shows the normal mechanism by which tumor-associated ligands of NKG2D, such as MICA/B, can induce tumor cell killing. Panel B shows how tumor cells, through the proteolytic cleavage of MICA/B, can escape immune surveillance and immune cell-mediated killing.</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Role of NKG2D Ligands, MICA/B, in Immune Cell-Mediated Killing of Tumor Cells</w:t>
      </w:r>
    </w:p>
    <w:p>
      <w:pPr>
        <w:spacing w:after="0" w:line="252" w:lineRule="exact"/>
        <w:rPr>
          <w:sz w:val="20"/>
          <w:szCs w:val="20"/>
          <w:color w:val="auto"/>
        </w:rPr>
      </w:pPr>
    </w:p>
    <w:p>
      <w:pPr>
        <w:ind w:left="422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Panel A</w:t>
      </w:r>
      <w:r>
        <w:rPr>
          <w:sz w:val="20"/>
          <w:szCs w:val="20"/>
          <w:color w:val="auto"/>
        </w:rPr>
        <w:tab/>
      </w:r>
      <w:r>
        <w:rPr>
          <w:rFonts w:ascii="Times New Roman" w:cs="Times New Roman" w:eastAsia="Times New Roman" w:hAnsi="Times New Roman"/>
          <w:sz w:val="17"/>
          <w:szCs w:val="17"/>
          <w:b w:val="1"/>
          <w:bCs w:val="1"/>
          <w:color w:val="auto"/>
        </w:rPr>
        <w:t>Panel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173990</wp:posOffset>
            </wp:positionV>
            <wp:extent cx="4020185" cy="3326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2018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Given that proteolytic shedding of NKG2D ligands is an important immune escape mechanism, soluble levels of NKG2D ligands, such as sMICA, in a patient’s serum may serve as an important indicator of prognosis. Several studies have shown that cancer patients with high levels of sMICA have a significantly worse prognosis than those patients with low levels of sMICA. The prognostic role of sMICA has been observed across patients with multiple distinct tumor types, including melanoma, NSCLC, pancreatic cancer, colorectal cancer, hepatocellular carcinoma, and multiple myeloma. Across 19 studies that included more than 2,500 patients, a meta-analysis showed that high sMICA levels were associated with poor prognosis of patients with high statistical significance.</w:t>
      </w:r>
    </w:p>
    <w:p>
      <w:pPr>
        <w:spacing w:after="0" w:line="187"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Conversely, multiple studies have shown that the levels of sMICA in healthy individuals are low, usually less than 100 pg/mL, as compared to cancer patients who have high levels of sMICA that can exceed 1,000 pg/mL. However, in the majority of cancer patients, sMICA levels are usually between 100 to 1,000 pg/mL, as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20"/>
          </w:cols>
          <w:pgMar w:left="320" w:top="455"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shown in the figure below. This data suggests that levels of sMICA/B in a patient’s serum may have the potential to be used as a biomarker to evaluate the therapeutic effectiveness of antibodies designed to block proteolytic cleavage of MICA/B from the tumor cell surface.</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the figure below, Panel A compares the levels of sMICA in normal healthy individuals to those with benign disease and those with cancer. Panel B shows sMICA levels in patients with hepatocellular carcinoma, or HCC, induced by hepatitis B virus, or HBV, relative to healthy controls and Panel C shows sMICA levels in healthy controls, or HC, compared to patients with chronic hepatitis, or CH, liver cirrhosis, or LC, or HCC.</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Independent Studies Demonstrate Elevated Levels of sMICA in Cancer Patients</w:t>
      </w:r>
    </w:p>
    <w:p>
      <w:pPr>
        <w:spacing w:after="0" w:line="256" w:lineRule="exact"/>
        <w:rPr>
          <w:sz w:val="20"/>
          <w:szCs w:val="20"/>
          <w:color w:val="auto"/>
        </w:rPr>
      </w:pPr>
    </w:p>
    <w:p>
      <w:pPr>
        <w:ind w:left="1960"/>
        <w:spacing w:after="0"/>
        <w:tabs>
          <w:tab w:leader="none" w:pos="6020" w:val="left"/>
          <w:tab w:leader="none" w:pos="9260" w:val="left"/>
        </w:tabs>
        <w:rPr>
          <w:sz w:val="20"/>
          <w:szCs w:val="20"/>
          <w:color w:val="auto"/>
        </w:rPr>
      </w:pPr>
      <w:r>
        <w:rPr>
          <w:rFonts w:ascii="Times New Roman" w:cs="Times New Roman" w:eastAsia="Times New Roman" w:hAnsi="Times New Roman"/>
          <w:sz w:val="18"/>
          <w:szCs w:val="18"/>
          <w:color w:val="auto"/>
        </w:rPr>
        <w:t>Panel A</w:t>
      </w:r>
      <w:r>
        <w:rPr>
          <w:sz w:val="20"/>
          <w:szCs w:val="20"/>
          <w:color w:val="auto"/>
        </w:rPr>
        <w:tab/>
      </w:r>
      <w:r>
        <w:rPr>
          <w:rFonts w:ascii="Times New Roman" w:cs="Times New Roman" w:eastAsia="Times New Roman" w:hAnsi="Times New Roman"/>
          <w:sz w:val="18"/>
          <w:szCs w:val="18"/>
          <w:color w:val="auto"/>
        </w:rPr>
        <w:t>Panel B</w:t>
      </w:r>
      <w:r>
        <w:rPr>
          <w:sz w:val="20"/>
          <w:szCs w:val="20"/>
          <w:color w:val="auto"/>
        </w:rPr>
        <w:tab/>
      </w:r>
      <w:r>
        <w:rPr>
          <w:rFonts w:ascii="Times New Roman" w:cs="Times New Roman" w:eastAsia="Times New Roman" w:hAnsi="Times New Roman"/>
          <w:sz w:val="17"/>
          <w:szCs w:val="17"/>
          <w:color w:val="auto"/>
        </w:rPr>
        <w:t>Panel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154305</wp:posOffset>
            </wp:positionV>
            <wp:extent cx="1877060" cy="1054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77060" cy="105473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154305</wp:posOffset>
            </wp:positionV>
            <wp:extent cx="1097280" cy="13887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9728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 study of 60 patients with advanced hepatocellular carcinoma and different serum levels of MICA, patients in the high serum MICA level group (&gt;1 ng/ml) exhibited poorer survival than patients in the low serum MICA group (£1 ng/ml). The results suggest that higher serum MICA levels relate to poor prognosis in advanced hepatocellular carcinoma.</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Kaplan Meier Curve of Hepatocellular Carcinoma Patients with Different Serum Levels of MICA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173990</wp:posOffset>
            </wp:positionV>
            <wp:extent cx="2108835" cy="18256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0883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455" w:right="3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An analysis of the expression of the NKG2D ligands in The Cancer Genome Atlas, or TCGA, shows that MICA and MICB are the two ligands for NKG2D that are most frequently expressed across a wide range of tumor types. In the results of the TCGA analysis shown below, the red shading indicates high expression levels of NKG2D ligands and blue shading indicates low expression levels. We believe the positive expression profile of MICA/B in many tumor types provides attractive development opportunities across a wide range of indications.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Expression of NKG2D Ligands Across Multiple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173990</wp:posOffset>
            </wp:positionV>
            <wp:extent cx="5040630" cy="2802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4063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generated via analysis of TCGA database by Monoceros Biosystems.</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Solution: CLN-619</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CLN-619 is a MICA/B-targeted humanized IgG1 antibody with an antibody-dependent cell-mediated cytotoxicity-, or ADCC-, competent Fc gamma 1 region capable of mediating effector cell functions through binding to Fc gamma receptors on cytotoxic innate immune cells.</w:t>
      </w:r>
    </w:p>
    <w:p>
      <w:pPr>
        <w:spacing w:after="0" w:line="16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We believe CLN-619 may affect antitumor activity through a multi-pronged mechanism of action. First, we believe that CLN-619 may shield the proteolytic cleavage sites of MICA and MICB on cancer cells from proteases commonly found in the tumor microenvironment. This mechanism would enable the accumulation of MICA/B on the surface of cancer cells and the reduction of shed soluble MICA/B circulating in the serum, as illustrated in figure (A) below. In preclinical studies, treatment with parental CLN-619 clones resulted in increased cell surface expression and reduced serum levels of MICA/B in various tumor cell lines, while CLN-619 treatment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led to reduced serum levels of MICA/B. Elevated expression of MICA/B on the surface of cancer cells is expected to enhance killing of cancer cells by NK cells via binding of their NKG2D to MICA/B. MICA/B also interacts with NKG2D expressed on gd, CD8+ aß, and NKT cells, where NKG2D can play the role of a co-activating receptor, lowering the threshold for T cell-mediated cancer cell lysis. Second, CLN-619 has a human IgG1 backbone with a wild-type Fc gamma region, which allows it to engage NK cells by binding to their Fc gamma receptor III/CD16/A, leading to ADCC, as illustrated in figure (B) below. In preclinical studies, treatment with CLN-049 was shown to induce ADCC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Lastly, as illustrated in figure (C) below, our preliminary preclinical data suggests that CLN-619 may have the potential to enhance the binding affinity of</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00"/>
          </w:cols>
          <w:pgMar w:left="320" w:top="455" w:right="3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MICA/B to its NKG2D receptors on NK cells or other immune cells to provide for improved cancer cell lysis. We believe that all of these mechanisms may be acting in a coordinated and unique manner to engage NK cells, which could result in the cancer cell lysis observed in the preclinical studies described below.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Modes of Action of CLN-619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173990</wp:posOffset>
            </wp:positionV>
            <wp:extent cx="3180080" cy="2306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8008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key mechanistic underpinning of CLN-619’s antitumor activity is its ability to stabilize and prevent the shedding of MICA/B expressed on the surface of cancer cells. In preclinical studies, CLN-619 prevented shedding across a variety of cancer cell lines. In a representative hepatoma PLC/PRF/5 cell line, soluble MICA in the supernatant decreased, and correspondingly, surface MICA levels increased, in a dose-dependent manner, following treatment with CLN-619. CLN-619 was more potent than other antibody candidates (Ab1 and Ab2) in preventing MICA shedding as shown in the figure below.</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Parental Clone of CLN-619 Reduced Serum MICA and Increased Surface MICA Levels in Hepatoma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PLC/PRF/5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160020</wp:posOffset>
            </wp:positionV>
            <wp:extent cx="3737610" cy="14744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3761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480" w:firstLine="449"/>
        <w:spacing w:after="0" w:line="267" w:lineRule="auto"/>
        <w:rPr>
          <w:sz w:val="20"/>
          <w:szCs w:val="20"/>
          <w:color w:val="auto"/>
        </w:rPr>
      </w:pPr>
      <w:r>
        <w:rPr>
          <w:rFonts w:ascii="Times New Roman" w:cs="Times New Roman" w:eastAsia="Times New Roman" w:hAnsi="Times New Roman"/>
          <w:sz w:val="18"/>
          <w:szCs w:val="18"/>
          <w:color w:val="auto"/>
        </w:rPr>
        <w:t xml:space="preserve">CLN-619 also demonstrated the ability to enhance NK cell-mediated killing of MICA/B expressing cancer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In an ADCC reporter bioassay, the parental clone of CLN-619, which has antibody variable region sequences from a mouse hybridoma from which CLN-619 was derived, induced ADCC in a dose-dependent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MICA/B binding-dependent manner, as shown in the figure below, where killing activity was measured by the relative luminescence units, or RLU. Such ADCC activity was abrogated when mutations in the Fc region were introduced into h3F9-DANA, which eliminated the binding to FcgRIIIa on NK cells that is key to mediating ADCC. An isotype control also failed to trigger ADCC, demonstrating the requirement of MICA/B target engagement.</w:t>
      </w: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Parental Clone of CLN-619 Induced ADCC </w:t>
      </w:r>
      <w:r>
        <w:rPr>
          <w:rFonts w:ascii="Times New Roman" w:cs="Times New Roman" w:eastAsia="Times New Roman" w:hAnsi="Times New Roman"/>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173990</wp:posOffset>
            </wp:positionV>
            <wp:extent cx="2219960" cy="1560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1996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 using human NK-92 cells and PLC/PRF/5 cancer cells, the parental clone of CLN-619 enhanced the killing of MICA/B-specific cancer cells by NK cells. As shown in the figure below, the parental clone of CLN-619, at both low and high effector to target, or E:T, ratios, significantly enhanced the extent of target cell killing compared to a control antibody.</w:t>
      </w: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 Vitro </w:t>
      </w:r>
      <w:r>
        <w:rPr>
          <w:rFonts w:ascii="Times New Roman" w:cs="Times New Roman" w:eastAsia="Times New Roman" w:hAnsi="Times New Roman"/>
          <w:sz w:val="18"/>
          <w:szCs w:val="18"/>
          <w:b w:val="1"/>
          <w:bCs w:val="1"/>
          <w:color w:val="auto"/>
        </w:rPr>
        <w:t>Assay Using Human NK-92 Cells and PLC/PRF/5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173990</wp:posOffset>
            </wp:positionV>
            <wp:extent cx="2588895" cy="1200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8889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5" w:right="49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antitumor activity of CLN-619 was further evaluated in multiple mouse tumor models. In a representative PLC/PRF/5 liver cancer xenograft model, CLN-619 treatment as a single agent resulted in tumor regression at all doses tested, as shown in the left panel of the figure below. In addition, the body weight profiles of treatment groups were comparable to the control group. Importantly, near complete suppression of MICA shedding as measured by soluble MICA levels in the serum was observed, as shown in the right panel of the figure below.</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CLN-619 Demonstrated Tumor Regression and Reduced Serum MICA Levels in a PLC/PRF/5 Liver Cancer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173990</wp:posOffset>
            </wp:positionV>
            <wp:extent cx="4046220" cy="13887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4622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Similarly, in a representative lung cancer xenograft model, CLN-619 treatment as a single agent resulted in tumor growth inhibition at all doses tested, as shown in the left panel of the figure below. We also observed near complete suppression of MICA shedding at all doses tested as measure by soluble MICA serum levels, as shown in the right panel of the figure below.</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CLN-619 Demonstrated Tumor Growth Inhibition and Reduced Serum MICA Levels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a HCC1534 Lung Cancer Xenograft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intend to evaluate CLN-619 as a monotherapy and in combination with pembrolizumab in a multi-center, dose escalation and dose expansion trial. We expect to submit our IND for CLN-619 in the first half of 2021. We are designing our trial to initially evaluate CLN-619 as a monotherapy in patients with advanced solid tumors in dose escalation cohorts. Upon establishing a RP2D, we intend to initiate several expansion cohorts to evaluate the preliminary efficacy of CLN-619 as a monotherapy in patients with selected advanced solid tumors. We also plan to investigate the safety and preliminary efficacy of CLN-619 in combination with pembrolizumab in advanced solid tumors. In addition, candidate biomarkers, including sMICA, will be evaluated in this first-in-human trial to identify patients who may be more likely to respond to CLN-619 and as a means to detect pharmacodynamic activity of CLN-619.</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455"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CLN-617</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CLN-617 is a fusion protein uniquely combining, in a single agent, two potent antitumor cytokines, IL-2 and IL-12, with a collagen-binding domain for the treatment of solid tumors. For nearly five decades, clinical researchers have studied the powerful role cytokines play in stimulating an immune response to cancer. Despite numerous advancements in protein engineering, delivery and targeting mechanisms, there are currently only two FDA-approved cytokine-based cancer therapies, with the most recent approval occurring over twenty years ago. Severe toxicities associated with systemic cytokine administration and a short serum half-life have hindered their clinical development and broader commercial uptake.</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structure of CLN-617 contains a collagen-binding domain that is designed to enable the retention of fused cytokines in the local tumor microenvironment following intratumoral administration. Collagen binding may help minimize the systemic dissemination and associated toxicities of IL-2 and IL-12 and prolong their immunostimulatory antitumor activity. In preclinical studies, murine surrogates of CLN-617 demonstrated robust single agent antitumor activity in both injected and non-injected contralateral tumors without inducing systemic toxicity, as measured by reduction in body weight. Given the broad expression of collagen across multiple tumor types and the well-validated antitumor activity of cytokine-based therapies, we believe CLN-617 may have utility across many different types of solid tumors. Based on publicly available information, we believe that we are the only company that (i) is developing an anti-cancer therapeutic candidate that combines IL-2 and IL-12 within a single therapeutic and (ii) has developed a technology for local retention of cytokines. We expect to submit an IND for CLN-617 in 2022.</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collagen-binding retention technology used in CLN-617 is based on technology that originated in the laboratory of Professor Dane Wittrup at the Massachusetts Institute of Technology, or MIT. We have further developed and refined this technology to create our AMBER platform, which we believe represents a novel platform with the potential to broaden the therapeutic window of cytokines and other immunostimulatory agents, with substantially reduced systemic toxicity.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 on Cytokines as Immunotherapies</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Cytokines are small proteins that regulate innate and adaptive immunity by mediating cell-to-cell communication. In response to inflammatory conditions, cytokines such as IL-2 and IL-12 are locally synthesized and act in a paracrine fashion at the site of their synthesis. IL-2 and IL-12 are two cytokines that amplify and coordinate immune cell responses for tumor control by inducing the stimulation and proliferation of NK and T cells to mediate antitumor immunity. Furthermore, the two cytokines act synergistically to engage complementary NK and T cell signaling pathways and augment the upregulation of each cytokine’s cell surface receptor.</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Given their natural occurrence as potent antitumor proteins, clinical researchers have been studying cytokines as immunotherapies for decades. In 1992, the FDA approved aldesleukin, a high-dose IL-2 infusion regimen that demonstrated 15-16% overall response rates in clinical trials, for the treatment of metastatic renal cell carcinoma and metastatic melanoma. Clinical and commercial adoption of aldesleukin has been hindered given its association with frequent grade 3 and 4 severe adverse events, including capillary leak syndrome, sepsis risk associated with impaired neutrophil function, pulmonary edema, hypotension, and acute renal insufficiency.</w:t>
      </w:r>
    </w:p>
    <w:p>
      <w:pPr>
        <w:spacing w:after="0" w:line="18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Clinical researchers have attempted to address the shortcomings of cytokine-based therapies through various engineering strategies in order to enhance their pharmacokinetic, or PK, or specificity profiles. For instance, PEGylation of cytokines is being explored to extend the half-life and enable lower or less frequent dosing, both for purposes of patient convenience and reducing toxicities associated with high serum concentrations of cytokines. Other engineering approaches attempt to reduce the affinity of IL-2 for CD25, the high affinity IL-2 receptor alpha subunit expressed on pro-tumor T regulatory cells, or T</w:t>
      </w:r>
      <w:r>
        <w:rPr>
          <w:rFonts w:ascii="Times New Roman" w:cs="Times New Roman" w:eastAsia="Times New Roman" w:hAnsi="Times New Roman"/>
          <w:sz w:val="15"/>
          <w:szCs w:val="15"/>
          <w:color w:val="auto"/>
        </w:rPr>
        <w:t>regs</w:t>
      </w:r>
      <w:r>
        <w:rPr>
          <w:rFonts w:ascii="Times New Roman" w:cs="Times New Roman" w:eastAsia="Times New Roman" w:hAnsi="Times New Roman"/>
          <w:sz w:val="18"/>
          <w:szCs w:val="18"/>
          <w:color w:val="auto"/>
        </w:rPr>
        <w:t>, and also on activated effector CD8+T cells. However, such modified versions of IL-2 may no longer effectively stimulate effector T cells at low IL-2 doses and will retain the poor PK properties of the cytokine after systemic administration.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20"/>
          </w:cols>
          <w:pgMar w:left="320" w:top="455" w:right="3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Alternatively, some cytokine-based therapeutic approaches attempt to target the delivery of cytokines to the tumor microenvironment. For example, cytokines have been fused to tumor-targeting antibodies, a format called immunocytokines. These antibodies direct the cytokine to the tumor by targeting cell surface antigens following systemic or local administration. However, this strategy is applicable only to patients that express the specific tumor antigen targeted by the immunocytokine. Furthermore, reduced bioavailability of the cytokine due to antibody internalization and loss of target antigen can limit the efficacy of immunocytokine therapies. Additionally, tumor targeting can be hindered by broad biodistribution due to cytokine affinity for its cognate receptors in blood, limiting bioavailability in the tumor. Another approach being explored to localize cytokine bioactivity to the tumor microenvironment is to obscure the cytokine active site with a tethered blocking domain that is cleaved off by the proteases present in the tumor microenvironment. This approach is still in early preclinical development.</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 xml:space="preserve">Additionally, delivery of DNA constructs encoding cytokines is another approach to cytokine therapy. Intratumoral administration of plasmid DNA or adenoviruses that induce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expression of cytokines have also been explored in clinical trials. Likewise, oncolytic viruses, which preferentially replicate in cancer cells and can be administered either intratumorally or systemically, have been designed with genes encoding IL-2 or IL-12. While these approaches ensure that bioactive cytokines are produced in the tumor, they do not prevent systemic leakage of locally produced cytokines from the tumor site. Additionally,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expression strategies result in the limited ability to control the amount of cytokine expression, which makes pharmacologic dosing challenging.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45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AMBER Platform</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With these challenges in mind, Professor Dane Wittrup’s team pioneered the research that formed the basis for our AMBER platform. Results from this research, which were published in Science Translational Medicine in 2019, showed that intratumorally anchoring the injected IL-2, IL-12, or the combination of both IL-2 and IL-12 to collagen potentiated a systemic antitumor response while retaining the cytokine payload in the tumor microenvironment, thereby avoiding systemic exposure and toxicities. In the figures below, the ability of lumican, a collagen-binding protein, to mediate tumor retention and prevent systemic distribution was measured following administration of fluorescently labeled lumican fused to mouse serum albumin, or MSA, as compared to MSA alone without a collagen-binding domain. Both the images and quantification shown below demonstrate markedly improved retention of the MSA when fused to collagen-binding lumican. Specifically, the figure on the left demonstrates that MSA, when attached to lumican, is retained in the tumor for a longer period of time upon an intratumoral injection as compared to MSA alone without a collagen-binding domain. The figure on the top right illustrates the absolute quantity of lumican-MSA or MSA retained in a tumor over a period of eight days, while the figure on the bottom right demonstrates serum levels of lumican-MSA or MSA leaked out of the tumor, as a percentage of injected dose over time.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Fusion of a Collagen-Binding Protein (Lumican) Improved Tumor Retention of Albumin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Following Intratumoral Injection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 further study explored the efficacy of lumican-MSA-IL2 and IL12-MSA-lumican fusion proteins each as a monotherapy or in combination in the B16F10 melanoma mouse model. B16F10 melanoma cells grow at highly aggressive rates. They further evade T cell responses via low expression of MHC Class I, making B16F10 tumors one of the most challenging syngeneic models for preclinical immunotherapy studies.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455" w:right="3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56" w:lineRule="auto"/>
        <w:rPr>
          <w:sz w:val="20"/>
          <w:szCs w:val="20"/>
          <w:color w:val="auto"/>
        </w:rPr>
      </w:pPr>
      <w:r>
        <w:rPr>
          <w:rFonts w:ascii="Times New Roman" w:cs="Times New Roman" w:eastAsia="Times New Roman" w:hAnsi="Times New Roman"/>
          <w:sz w:val="18"/>
          <w:szCs w:val="18"/>
          <w:color w:val="auto"/>
        </w:rPr>
        <w:t>The combination of lumican-MSA-IL2 and IL12-MSA-lumican showed survival improvement in all tested tumor models, including melanoma (B16F10), breast cancer (EMT6), and colon cancer (MC38), as shown below. Furthermore, the addition of a PD-1 checkpoint inhibitor demonstrated synergistic antitumor activity, with the triplet combination of lumican-MSA-IL2, IL12-MSA-lumican, and a PD-1 checkpoint inhibitor demonstrating improved tumor regression and survival. Neither monotherapy resulted in increased rates of complete responders. Of note, the combination of IL-2 and IL-12 lumican fusion proteins demonstrated significantly improved survival rates without systemic toxicity, as measured by body weight changes. In contrast, injection of cytokines fused to albumin without a collagen-binding domain were not efficacious and caused significant body weight loss.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Lumican-MSA-IL2 and IL12-MSA-Lumican and Their Combination on Tumor Size,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Survival Rates and Body 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160020</wp:posOffset>
            </wp:positionV>
            <wp:extent cx="5186045" cy="4080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8604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Solution: CLN-617</w:t>
      </w:r>
    </w:p>
    <w:p>
      <w:pPr>
        <w:spacing w:after="0" w:line="121"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 xml:space="preserve">CLN-617 is a multi-functional cytokine therapeutic candidate designed to exploit the synergistic activities of IL-2 and IL-12 in a single therapeutic agent. We have validated the bioactivity of several murine surrogate designs and demonstrated antitumor activity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We intend to submit an IND for CLN-617 in 2022.</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have generated a variety of multifunctional AMBER-based constructs containing both IL-2 and IL-12 fused to various collagen-binding domains, and we refer to the murine surrogates of these constructs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AMBER-m1 and AMBER-m2. While Professor Wittrup’s foundational study focused on lumican, we evaluated collagen-binding domains with different affinities including other proteins that bind to collagen in the tumor microenvironment to enhance retention of the cytokines.</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murine surrogate AMBER constructs have been assessed for productivity, product quality, and bioactivity. We tested the bioactivity of both IL-2 and IL-12 cytokines by measuring proliferation of respective cell lines in response to IL-2 and IL-12. We compared our constructs with collagen-binding domains to native cytokines in the presence and absence of collagen. As shown below, cytokine activity, measured by optical density, or OD, is maintained in the multifunctional AMBER-m1 and AMBER-m2 constructs and activity is comparable in both the absence and presence of collagen.</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AMBER Constructs, Cytokine Activity Was Fully Retained after Fusion to Collagen-Binding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251460</wp:posOffset>
            </wp:positionV>
            <wp:extent cx="4080510" cy="3471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8051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80"/>
          </w:cols>
          <w:pgMar w:left="320" w:top="455" w:right="39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firstLine="449"/>
        <w:spacing w:after="0" w:line="275" w:lineRule="auto"/>
        <w:rPr>
          <w:sz w:val="20"/>
          <w:szCs w:val="20"/>
          <w:color w:val="auto"/>
        </w:rPr>
      </w:pPr>
      <w:r>
        <w:rPr>
          <w:rFonts w:ascii="Times New Roman" w:cs="Times New Roman" w:eastAsia="Times New Roman" w:hAnsi="Times New Roman"/>
          <w:sz w:val="17"/>
          <w:szCs w:val="17"/>
          <w:color w:val="auto"/>
        </w:rPr>
        <w:t xml:space="preserve">Based on these results, we further assessed the antitumor activity and tolerability of AMBER-m2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C57BL/6 mice bearing B16F10 tumors. We compared intratumoral administration of AMBER-m2 to a combination of MSA-IL2 and IL12-MSA, which lack collagen-binding domains. As expected, treatment with MSA-IL2 and IL12-MSA led to systemic toxicity, as measured by reduction in body weight (left panel of figure below). In contrast, AMBER-m2 exhibited single-agent antitumor activity without inducing systemic toxicity, as measured by survival (right panel of figure below). Based on these results, we believe that AMBER-m2, which is presumably retained in the tumor microenvironment, may have the potential to mitigate the systemic toxicity associated with IL-2 and IL-12 therapy, thus potentially improving the therapeutic index while delivering antitumor activity.</w:t>
      </w: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Antitumor Activity and Tolerability of MSA-IL2 + IL12-MSA or AMBER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306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8604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In the experiments above, body weight changes are no longer recorded following animal death, accounting for the difference in days duration between the left and right figures for the MSA-IL2 + IL12-MSA treated animals.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5" w:right="51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hypothesized that in addition to mediating local antitumor activity, AMBER-m2 may be capable of generating responses against non-injected contralateral tumors due to the induction of systemic immunity, also known as an abscopal effect. To test our hypothesis, we utilized C57BL/6 mice bearing two B16F10 tumors: an ipsilateral tumor that was directly injected with AMBER-m2 and a contralateral tumor that was implanted 10 days later and never treated with AMBER-m2. Tumor control was observed in both the treated and untreated distal tumors, thus demonstrating an abscopal effect.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AMBER-m2 Inhibits Tumor Growth in Both Injected (Ipsilateral) and Uninjected (Contralateral)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B16F10 Tumors, Providing Evidence for an Abscopal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160020</wp:posOffset>
            </wp:positionV>
            <wp:extent cx="5212080" cy="18262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We have also evaluated the dose responsiveness of AMBER-m2 in the B16F10 model. Increasing doses of AMBER-m2 led to increased tumor growth control (left panel of figure below) and all doses did so without inducing significant body weight loss (right panel of figure below). Notably, the highest tested dose of 1,000 pmol is an equivalent dose of 6.4 mpk of body weight, which translates to 0.7 mpk of IL-2 and 2.3 mpk of IL-12. In comparison, only 100 pmol of MSA-IL2 and IL12-MSA led to lethal body weight loss.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AMBER-m2 on Tumor Growth and Body Weight in the B16F10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637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8604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Based on the results of our preclinical studies, we believe that the inclusion of a collagen-binding domain by our AMBER platform has the potential to allow for the safe retention of high levels of cytokines in the tumor microenvironment. While remarkable progress has been made in the treatment of cancer with the adoption of checkpoint inhibitors, including pembrolizumab, ipilimumab, and nivolumab, only a fraction of patients with solid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455" w:right="3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tumors respond to these therapies. We believe a well-tolerated agent that can deliver the functional synergies of IL-2 and IL-12 has the potential to treat a broad range of solid tumors, including those that are not responsive to checkpoint inhibitors. In addition, preclinical results show the synergistic effect of adding a checkpoint inhibitor to a IL-2 and IL-12 combination treatment, which we believe may produce deeper responses in patients who respond to checkpoint inhibitors.</w:t>
      </w:r>
    </w:p>
    <w:p>
      <w:pPr>
        <w:spacing w:after="0" w:line="178"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 xml:space="preserve">We have reviewed the publicly available results of preclinical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experiments with other IL-2 and IL-12 based therapeutic candidates. We did not conduct head-to-head comparative studies of the IL-2 and IL-12 based therapeutic candidates described below, and preclinical data may not be similar to clinical results. As a result, comparative conclusions cannot be drawn between these preclinical study data and the preclinical study data we have observed for CLN-617 and AMBER, including due to differences in methodologies, such as dosing and method of administration, and the disease state of the mice.</w:t>
      </w:r>
    </w:p>
    <w:p>
      <w:pPr>
        <w:spacing w:after="0" w:line="166"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In a study conducted by Synthorx Inc., treatment of syngeneic CT26 tumors with THOR-707, a pegylated IL-2 engineered to have decreased binding to the a chain of the IL-2 receptor subunit, resulted in tumor growth inhibition as shown in the left panel of the figure below. However, no mouse in the THOR-707 mono-therapy treatment group achieved long-term survival as shown in the right panel of the figure below.</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Engineered IL-2, Administered as a Monotherapy, Did Not Induce Any Complete Responses in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CT26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160020</wp:posOffset>
            </wp:positionV>
            <wp:extent cx="3745865" cy="13798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4586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 study conducted by Dragonfly Therapeutics, treatment of syngeneic B16F10 tumors with a murine IL-12 fused to an Fc domain via intravenous administration resulted in tumor growth inhibition as shown in left panel of the figure below; however, there was no complete tumor eradication in any of the treated animals. Even with treatment in combination with anti-PD-1 checkpoint inhibitor, no long-term survival was achieved in any of the animals as shown in right panel of the figure below.</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IL-12 Fused to Fc, Administered as a Monotherapy, Did Not Induce Any Complete Responses in B16F10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173990</wp:posOffset>
            </wp:positionV>
            <wp:extent cx="3943350" cy="14573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4335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455" w:right="3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CLN-978</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CLN-978 is a half-life extended, humanized, single-chain bispecific antibody designed to simultaneously engage CD19 on cancer cells and CD3 on T cells, triggering redirected T cells to lyse the target cancer cells. In addition, CLN-978 has a human serum albumin, or HSA, binding domain designed to prolong its serum half-life. CLN-978, referred to as NexGem in the figures below, mediated CD19-dependent target cell lysis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on target cell lines with a range of CD19 target expression levels. 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treatment with NexGem, at extremely low and infrequent doses, led to inhibition of tumor growth and tumor regression in a human CD3e transgenic syngeneic lymphoma mouse model. We intend to initially evaluate CLN-978 as a novel treatment for B-cell acute lymphoblastic leukemia, or ALL, and are currently planning IND-enabling pharmacology, pharmacokinetic, and safety studies.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 on ALL and CD-19</w:t>
      </w:r>
    </w:p>
    <w:p>
      <w:pPr>
        <w:spacing w:after="0" w:line="121"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ALL is characterized by the proliferation of immature lymphocytes in the bone marrow. According to the U.S. SEER database, there is estimated to be approximately 6,150 new cases of ALL and 1,520 deaths from ALL in the U.S. in 2020. Overall, approximately 40% of cases of ALL are in adults, and adult patients have a high mortality rate, accounting for approximately 80% of deaths from ALL.</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the pediatric population, ALL is highly curable with the long-term survival rate exceeding 90%. The treatment of children with ALL has benefited from a deeper understanding of the molecular genetics and pathogenesis of the disease as well as and advances in the treatment paradigm, including combination chemotherapy. High rates of clinical trial participation in cooperative group studies in children and the development of risk-stratified treatment paradigms has enabled dose improvements in the standard-of-care for children. In contrast, similar treatment strategies have yielded far less favorable outcomes in the adult population, in part due to the higher prevalence of comorbidities and other high-risk features at diagnosis predisposing them to chemotherapy intolerance and resistance.</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Approximately 80% of all ALL cases involve lineage lymphocytes in the bone marrow. CD19 is a cell surface antigen expressed on B cells, including cells that have undergone malignant transformation. The persistence of CD19 in cancerous B-cells has made it an attractive target for CD19-directed therapies, including blinatumomab. Blinatumomab belongs to a class of a bispecific T cell engaging antibody construct called BiTE, and is it currently the only CD19-targeting antibody approved for the treatment of r/r B cell ALL as well as for patients with first or second complete remission with minimal residual disease, or MRD.</w:t>
      </w:r>
    </w:p>
    <w:p>
      <w:pPr>
        <w:spacing w:after="0" w:line="183"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believe an opportunity exists to improve on several aspects of blinatumomab, which is made from two tandemly arranged scFv domains binding to CD19 and CD3, respectively. First, blinatumomab’s short half-life of</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a study conducted by Dragonfly Therapeutics, treatment of syngeneic B16F10 tumors with a murine IL-12 fused to an Fc domain via intravenous administration resulted in tumor growth inhibition as shown in left 2.1 hours necessitates continuous intravenous infusion to achieve desirable clinical efficacy. Such continuous administration increases the risk of serious catheter-related infections, which occurred in 9.5% of patients in clinical trials and which can be life-threatening or fatal. The dosing regimen and administration requirements, which include extended hospitalization and inpatient care, also present challenges regarding clinical management and monitoring, and may limit patient access to blinatumomab.</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Second, we believe the binding properties of both the CD19 and the CD3 binding domains of blinatumomab may not be optimized to maximize the therapeutic potential of the bispecific T cell engager modality. Specifically, we believe the affinity of each domain to its respective target, on its own and in combination, is a critical determinant for both the efficacy and safety profile of a T cell engager. With regard to safety, main adverse reactions of concern include cytokine release syndrome and neurological toxicities. On the efficacy front, the majority of patients who are refractory to or relapse on blinatumomab treatment still express CD19 on their cancer cells, suggesting a potential benefit from using CD19-specific domains of much higher binding affinity.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A CD19-targeted chimeric antigen receptor T cell, or CAR, therapy, tisagenlecleucel, has also been approved for the treatment of B-cell ALL. Despite its promising clinical antitumor activity, autologous CAR-T cells have significant logistic and clinical limitations. CAR-T cells are produced on an individual-patient basis, which makes their production complex and expensive. In a number of patients in tisagenlecleucel clinical trials, treatment with CAR-T cells was associated with substantial toxicities, including cytokine release syndrome and neurotoxicity, which necessitated treatment in intensive care units. Furthermore, patients need to be at least 3 months post HSCT, and the entire process of autologous CAR-T cell manufacturing generally takes 22 days on average, which may limit the use of these therapies in patients with highly aggressive leukemia and/or active graft versus host disease. We believe a modality with an antibody-like modality such as CLN-978 has the potential to offer unique advantages over CAR-T therapies, particularly with respect to broader and more immediate access for patients as an off-the-shelf therapy.</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Solution: CLN-978</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designed CLN-978 based on a BiTE-like format using tandemly arranged scFvs for CD19 and CD3, similar to blinatumomab. In addition, we incorporated a third domain in the form of a single-domain antibody, or VHH, for binding to HSA. We believe that binding of CLN-978 to albumin has the potential to extend its serum half-life, potentially addressing limitations related to its blinatumomab’s dosing regimen. An illustration of the CLN-978 structure is shown in the following figure.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 of CLN-978, a CD19/CD3-bispecific T Cell Engager with Extended Serum Half-life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173990</wp:posOffset>
            </wp:positionV>
            <wp:extent cx="2717165" cy="908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71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 xml:space="preserve">We have collaborated with Adimab LLC to generate antibody-derived binding domains specific for CD19, CD3, and HSA with optimized biophysical and biochemical properties, tailored binding affinities as well as other parameters that are key to developability, manufacturability and preclinical testing of drug candidates. In multiple head-to-head preclinical comparison studies, NexGem has demonstrated improved activity compared to blinatumomab both in terms of redirecting of T cells to lyse CD19-expressing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enhanced tumor growth inhibition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Although comparative data from preclinical studies must be interpreted with caution and we may not observe the same differential effect in clinical trials, we believe these preclinical results support further evaluation of CLN-978 for its potential to improve upon the clinical efficacy observed with blinatumomab and for its potential to offer a more convenient dosing profile. In addition to convenience, we believe the ability to target cells with low CD19 expression would potentially enable us to address indications that are not yet addressed by blinatumomab, such as non-Hodgkin’s lymphoma.</w:t>
      </w:r>
    </w:p>
    <w:p>
      <w:pPr>
        <w:spacing w:after="0" w:line="19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We expect the properties of CLN-978 may facilitate our efforts on manufacturing processes and IND-enabling studies, as we believe they will enable us to leverage standard cell line development and purification technologies for GMP manufacturing and conventional non-human primate models for GLP toxicology assessment.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Our NexGem candidates incorporate a CD19 binding domain that was engineered to achieve 100x enhanced binding affinity to CD19 compared to blinatumomab as measured using plasmon resonance, which we believe may contribute to improved cytolytic potency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As shown in the figure below, NexGem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455" w:right="3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outperformed blinatumomab in the cell lines evaluated as measured by both the EC50 value of redirected cell lysis and the maximum percentage of lysis. Notably, the relative improvement in cytolytic potency of CLN-978 as compared to blinatumomab was the highest in target cells expressing relatively low levels of CD19. We believe this observation supports our hypothesis that CLN-978 may have the potential to more adequately address the patient population with lower levels of CD19 expression and/or patients in which CD19 expression is downregulated as a resistance mechanism to CD19-targeted therapies. It was also shown that the robust lysis of target cells was dependent on CD19 expression, as the EMT6 parental cell line, which lacks CD19 expression, was not susceptible to lysis at any of the drug concentrations tested.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Comparison of NexGem Versus Blinatumomab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Cytotoxicity 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29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60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NexGem has also demonstrated antitumor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compared to blinatumomab in a human CD3e transgenic model, where the mice were implanted with a syngeneic tumor engineered to express human CD19. As shown in the figure below, NexGem outperformed blinatumomab in tumor growth inhibition at every dose level tested. Furthermore, at the 0.1 mg/kg dose level, NexGem treatment resulted in a complete response in 40% of mice compared to only 10% of mice treated with blinatumomab.</w:t>
      </w:r>
    </w:p>
    <w:p>
      <w:pPr>
        <w:spacing w:after="0" w:line="286"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Antitumor Activity of NexGem Versus Blinatumomab In a Human CD3 Transgenic Mouse Model Bearing Human CD19 Expressing Syngeneic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129540</wp:posOffset>
            </wp:positionV>
            <wp:extent cx="2931795" cy="1054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3179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 xml:space="preserve">Given the potential contribution of the CD3 binding domain to the cytokine release profile of a T cell engager, we explored multiple variants of the CD3 binding domain of CLN-978. We plan to nominate our final therapeutic candidate based on the totality of evidence,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cell killing,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cytokine release, 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antitumor activity, to optimize the overall risk-benefit profile of the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Earlier-Stage Programs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addition to the programs described above, we are evaluating two discovery-stage immuno-oncology programs, Opal and Jade, both of which are in the lead optimization stage.</w:t>
      </w:r>
    </w:p>
    <w:p>
      <w:pPr>
        <w:spacing w:after="0" w:line="162"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For our Opal program, we are exploring a construct that combines checkpoint inhibition and immune co-stimulatory receptor activation in a single protein. We are evaluating various single-chain fusion protein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455" w:right="3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formats using an affinity optimized PD-1 extracellular domain and a single-chain 4-1BBL designed to selectively activate the 4-IBB/CD137 pathway on T cells inside tumors. We believe that the combination of these natural binding elements could potentially drive synergistic antitumor immune mobilization while reducing the systemic toxicity often associated with past co-stimulatory immune agonists. We are designing our lead construct such that the activation of the co-stimulatory receptor is dependent on the binding to immune checkpoint ligands, which have generally higher expression levels in tumor tissues compared to normal tissues. We also believe that our approach has the potential to demonstrate advantages over antibody-based bispecific constructs that typically require selection of format specific epitopes and appropriate affinities for target binding.</w:t>
      </w:r>
    </w:p>
    <w:p>
      <w:pPr>
        <w:spacing w:after="0" w:line="187"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are developing our Jade program as part of an ongoing collaboration with the Fred Hutchinson Cancer Research Center, a world leader in finding self-reactive, human T cells of high affinity. Our goal is to develop a TCR-T cell therapy targeting a novel senescence and cancer-related protein. We are collaborating with Fred Hutchinson Cancer Research Center to search for naturally occurring TCRs against this target.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differentiated business model, approach, scientific capabilities, know-how and experience provide us with competitive advantages. However, we face, and will continue to face, competition from companies focused on more traditional therapeutic modalities, such as small molecule inhibitors.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19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therapeutic candidates, if any are approved, may compete with these existing drugs and other therapies, to the extent they are ultimately used in combination with or as an adjunct to these therapies, our therapeutic candidates may not be competitive with them. Some of these drugs are branded and subject to patent protection, and others are available on a generic basis. Insurers and other third-party payors may also encourage the use of generic products or specific branded products. As a result, we may face challenges in obtaining market acceptance of, and gaining significant share of the market for, any of our therapeutic candidates that we successfully introduce to the market. In addition, many companies are developing new oncology therapeutics, and we cannot predict what the standard of care will be as our therapeutic candidates progress through clinical development.</w:t>
      </w:r>
    </w:p>
    <w:p>
      <w:pPr>
        <w:spacing w:after="0" w:line="194"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With respect to our lead therapeutic candidate, CLN-081, we are aware of other EGFR inhibitors that are in clinical development for the treatment of NSCLC with EGFRex20ins mutations. We believe that the two most advanced are poziotinib from Spectrum Pharmaceuticals and mobocertinib (TAK-788) from Takeda Pharmaceuticals. Additional EGFR inhibitors in development include Black Diamond’s BDTX-189 and Dizal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455"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Pharmaceutical’s DZD9008. Additionally, Johnson &amp; Johnson is developing amivantamab, an EGFRxcMET bispecific antibody, for the treatment of NSCLC with EGFRex20ins mutations.</w:t>
      </w:r>
    </w:p>
    <w:p>
      <w:pPr>
        <w:spacing w:after="0" w:line="162"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With respect to CLN-619, we are aware of several companies that are developing cancer therapies targeting MICA/B as a monotherapy and/or in combination with other agents, including: Innate Pharma, Inc. (in collaboration with AstraZeneca Inc.), CanCure LLC, Genentech Inc., Novartis International AG, and Bristol-Myers Squibb Company. To our knowledge, none of them has entered clinical development.</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With respect to CLN-049, we are aware of several companies that are developing bi-specifics for the treatment of AML, including those targeting CD3 and CD33 (Amgen, Amphivena), CD123 (Macrogenics, Xencor), and CCL1/CLEC12A (Merus, Genentech). These agents are limited to a subset of AML blasts that express CD33, CD123, and CCL1, whereas multiple published studies have demonstrated that FLT3 is expressed in at least 70% of AML blasts. Amgen is developing a bispecific T cell engager targeting FLT3 for AML. There are also several targeted small molecule therapies approved for the treatment of r/r or first-line AML, including for AML with FLT3 mutations, such as Astellas’ XOSPATA (gilteritinib) and Novartis’ RYDAPT (midostaurin). We are also aware of other small molecules that are approved or in development for AML patients with FLT3 mutations, including IDH inhibitors, such as TIBSOVO (ivosidenib) and IDHIFA (enasidenib), BCL2 inhibitors, such as VENCLEXTA (ventoclax), and hedgehog pathway inhibitors, such as DAURISMO (glasdegib).</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With respect to CLN-617, we are not aware of any other drug candidates currently under development that integrate both IL-2 and IL-12 into a single multi-functional construct and stimulate the immune system in a tumor-specific manner. We are aware of several companies actively developing clinical-stage programs as either individual IL-2 or IL-12 therapies, including: Nektar Therapeutics, Inc., Alkermes plc, Sanofi, Philogen S.p.A., Roche AG, Apeiron Biologics, and Dragonfly Therapeutics Inc.</w:t>
      </w:r>
    </w:p>
    <w:p>
      <w:pPr>
        <w:spacing w:after="0" w:line="180"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With respect to our CLN-978 program, we are aware of a number of companies developing product candidates that target CD19 or other tumor antigens relevant to B-cell ALL using immune cells or other cytotoxic modalities. These mainly include immune cell redirecting therapeutics (e.g., T cell engagers), adoptive cellular therapies (e.g., CAR-Ts), and antibody drug conjugates. Companies developing cell therapies or antibodies targeting CD19 include Morphosys AG, Novartis International AG, Gilead Sciences Inc., Bristol-Myers Squibb Company, Allogene Therapeutics Inc., Nkarta Inc., and Amgen Inc.</w:t>
      </w:r>
    </w:p>
    <w:p>
      <w:pPr>
        <w:spacing w:after="0" w:line="183"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If our competitors develop and commercialize drugs that are safer, more effective, have fewer or less severe side effects, are more convenient to administer, are less expensive or with a more favorable label than our therapeutic candidates, we could see a reduction or elimination in our commercial opportunity.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therapeutic candidates, if approved, are likely to be their efficacy, safety, convenience, price, the level of generic competition and the availability of reimbursement from government and other third-party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Taiho License Agreement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2019, our partially-owned subsidiary Cullinan Pearl Corp., or Cullinan Pearl, entered into a License and Collaboration Agreement, or the Taiho License Agreement, with Taiho Pharma. Pursuant to the Taiho License Agreement, Cullinan Pearl obtained an exclusive, royalty-bearing worldwide license (excluding Japan) to develop, manufacture, commercialize and, subject to certain limitations, sublicense CLN-081 (formerly known as TAS6417) and products containing CLN-081, for use worldwide outside Japan, under the licensed patent rights and know-how.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455" w:right="3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Under the Taiho License Agreement, Cullinan Pearl agreed to conduct all development activities in accordance with a target product profile and a development plan intended to generate data to seek regulatory approval of CLN-081 from the FDA and EMA and make such data available to Taiho Pharma for use to seek regulatory approval in Japan. Certain of these development activities require using commercially reasonable efforts. Cullinan Pearl must disclose experimental data, results or similar know-how to Taiho Pharma and grant a non-exclusive, royalty free, worldwide license, with the right to sublicense, to Taiho Pharma to develop, manufacture and commercialize CLN-081 and its products in Japan. Cullinan Pearl, and in certain cases Taiho Pharma, are obligated to provide progress reports to each other on development efforts before and, for so long as such party is developing a licensed product, after the first commercial sale of CLN-081. Taiho Pharma also has right of negotiation with Cullinan Pearl in the event Cullinan Pearl decides to commence negotiations with or if Cullinan Pearl receives a bona fide term sheet from a third party regarding the license, sale, assignment, transfer or material disposition of rights with respect to the licensed product.</w:t>
      </w:r>
    </w:p>
    <w:p>
      <w:pPr>
        <w:spacing w:after="0" w:line="188"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As partial consideration for the license, Cullinan Pearl paid an initial, non-refundable, non-creditable license fee of $2,500,000 and issued Taiho Pharma 1,860,000 shares of Cullinan Pearl common stock. In addition, Cullinan Pearl is obligated to pay non-refundable, non-creditable research and development, regulatory and sales milestone payments upon the occurrence of certain milestone events in an aggregate amount of up to $154.5 million for development, regulatory and sales milestones. Each milestone is payable only once. No milestones have been achieved to date under the Taiho License Agreement.</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Furthermore, on a country-by-country and product-by-product basis, Cullinan Pearl is required to pay running mid single digit to low tens digits royalty percentages of annual aggregate net sales worldwide outside Japan, during the royalty term (such royalty term determined on a product-by-product and country-by-country basis), subject to certain offsets, deductions or reductions related to loss or impairment of exclusivity in the territory. Such royalty obligations will expire on a country-by-country and product-by-product basis upon the latest of (a) the expiration of the last patent which covers a product in such country, (b) the expiration of the applicable exclusivity granted by a regulatory authority and (c) ten years following the first commercial sale of the product in such country.</w:t>
      </w:r>
    </w:p>
    <w:p>
      <w:pPr>
        <w:spacing w:after="0" w:line="187" w:lineRule="exact"/>
        <w:rPr>
          <w:sz w:val="20"/>
          <w:szCs w:val="20"/>
          <w:color w:val="auto"/>
        </w:rPr>
      </w:pPr>
    </w:p>
    <w:p>
      <w:pPr>
        <w:ind w:right="140" w:firstLine="449"/>
        <w:spacing w:after="0" w:line="276" w:lineRule="auto"/>
        <w:rPr>
          <w:sz w:val="20"/>
          <w:szCs w:val="20"/>
          <w:color w:val="auto"/>
        </w:rPr>
      </w:pPr>
      <w:r>
        <w:rPr>
          <w:rFonts w:ascii="Times New Roman" w:cs="Times New Roman" w:eastAsia="Times New Roman" w:hAnsi="Times New Roman"/>
          <w:sz w:val="17"/>
          <w:szCs w:val="17"/>
          <w:color w:val="auto"/>
        </w:rPr>
        <w:t>In the event (i) Taiho Pharma does not exercise its right of negotiation with respect to a licensed product or (ii) Taiho Pharma does exercise its right of negotiation, but the parties do not consummate a transaction, then at the time Cullinan Pearl enters into a subsequent transaction with a third party for</w:t>
      </w:r>
    </w:p>
    <w:p>
      <w:pPr>
        <w:spacing w:after="0" w:line="1" w:lineRule="exact"/>
        <w:rPr>
          <w:sz w:val="20"/>
          <w:szCs w:val="20"/>
          <w:color w:val="auto"/>
        </w:rPr>
      </w:pPr>
    </w:p>
    <w:p>
      <w:pPr>
        <w:ind w:right="40" w:firstLine="8"/>
        <w:spacing w:after="0" w:line="253" w:lineRule="auto"/>
        <w:tabs>
          <w:tab w:leader="none" w:pos="2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all or less than substantially all of Cullinan Pearl’s rights in a licensed product, Cullinan Pearl is obligated to pay Taiho Pharma a mid single digit to mid teens percentage of revenue from such transactions or (b) all or substantially all of Cullinan Pearl’s rights in a licensed product, Cullinan Pearl is obligated to pay Taiho Pharma a low single digit to mid single digit percentage of revenue from such transactions, provided, however, that such payment under (b) shall not be required following the consummation of an initial public offering of Cullinan Pearl meeting certain requirements.</w:t>
      </w:r>
    </w:p>
    <w:p>
      <w:pPr>
        <w:spacing w:after="0" w:line="189"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Either party may terminate the agreement upon a material breach by the other party or bankruptcy of the other party. Cullinan Pearl may terminate the Taiho License Agreement at any time and for any commercially reasonable justification. Unless earlier terminated, the Taiho License Agreement continues in effect on a product-by-product basis until it expires upon the expiration of all applicable royalty terms with respect to all products in all countries worldwide.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DKFZ/Tübingen License Agreement</w:t>
      </w:r>
    </w:p>
    <w:p>
      <w:pPr>
        <w:spacing w:after="0" w:line="12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August 2020, our partially-owned subsidiary Cullinan Florentine Corp., or Cullinan Florentine, entered into an Exclusive License Agreement, or the DKFZ/Tübingen License Agreement, with Deutsches Krebsforschungszentrum, or DKFZ, Eberhard Karls University of Tübingen, Faculty of Medicine, or University of Tübingen, and Universitätsmedizin Gesellschaft für Forschung und Entwicklung mbH, Tübingen, or UFE. Pursuant to the DKFZ/Tübingen License Agreement, DKFZ and University of Tübingen, collectively referred 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00"/>
          </w:cols>
          <w:pgMar w:left="320" w:top="455" w:right="3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the Licensor, granted to Cullinan Florentine an exclusive (even as to Licensor, UFE and its and their affiliates), worldwide, milestone- and royalty-bearing, license under certain licensed patent rights, applications, technical information and know-how, with the right to grant sublicenses through multiple tiers to research, develop, commercialize or otherwise exploit licensed products, itself and through its affiliates and third parties, within the field. Cullinan Florentine has the sole right, but not the obligation, to prosecute and maintain all licensed patent rights worldwide, provided that Licensor may take over or continue such prosecution and maintenance if Cullinan Florentine elects to cease the prosecution or maintenance of a licensed patent right.</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Under the DKFZ/Tübingen License Agreement, Cullinan Florentine is obligated to achieve certain regulatory and research and development performance benchmarks, or collectively, the Performance Benchmarks, by certain specified dates, or collectively, the Performance Dates. If a Performance Benchmark is not achievable by the applicable Performance Date, Cullinan Florentine may extend the Performance Date for any single Performance Benchmark by a mid single digit amount of months by providing written notice to Licensor and paying a non-refundable, non-creditable extension fee per each such extension. Cullinan Florentine may extend the Performance Date for any single Performance Benchmark up to a low single digit amount of times, provided that Cullinan Florentine may only request an extension a mid single digit amount of times. If Cullinan Florentine is unable to seek a further extension per the preceding sentence, then Cullinan Florentine may seek a further extension by providing written notice to Licensor and any such extension shall be subject to the prior written approval of the Licensor, such approval not to be unreasonably withheld or delayed. As of November 30, 2020, Cullinan Florentine has met the first performance benchmark to create a master cell bank.</w:t>
      </w:r>
    </w:p>
    <w:p>
      <w:pPr>
        <w:spacing w:after="0" w:line="188"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Cullinan Florentine paid to Licensor an upfront non-refundable, non-creditable option exercise fee of $600,000 and, as partial consideration for the licenses, has issued 758,246 and 348,682 shares of Common Stock to DKFZ and University of Tübingen, respectively, who together own eight percent (8%) of Cullinan Florentine’s fully diluted shares outstanding as of December 18, 2020. DKFZ and UFE were also granted the right to appoint one representative to the board of directors of Cullinan Florentine for so long as DFKZ and UFE in aggregate hold a mid-double digit percentage of shares of Cullinan Florentine common stock issued pursuant to the DFKZ/Tubingen License Agreement or until a financing threshold representing the aggregate investment in Cullinan Florentine is reached.</w:t>
      </w:r>
    </w:p>
    <w:p>
      <w:pPr>
        <w:spacing w:after="0" w:line="18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Additionally, Cullinan Florentine shall pay certain non-refundable, non-creditable milestone payments to Licensor upon the occurrence of certain clinical and regulatory events by a licensed product, whether triggered by Cullinan Florentine, its affiliates or sublicensees. Each milestone payment is paid one time only up to an aggregate of $28 million. No milestones have been achieved to date under the DKFZ/Tübingen License Agreement.</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Furthermore, Cullinan Florentine is required to pay running low to mid single-digit royalty percentage on net sales of each licensed product on a country-by-country and product-by-product basis during the royalty term, subject to certain offsets or reductions. The aggregate, worldwide royalties due to Licensor for net sales of any licensed product in a calendar year shall not be reduced to an amount less than low to mid single-digit percentages. Such royalty obligations will expire on a country-by-country and product-by-product basis upon the later of (a) the expiration of the last valid claim of a patent which covers a product in such country and (b) a low double-digit anniversary following the first commercial sale of a product in such country. Under certain conditions upon a first change in control, Cullinan Florentine shall pay a non-refundable, non-creditable mid single-digit percent of sale proceeds, provided, however, that such payment shall not be required following consummation of an initial public offering of Cullinan Florentine.</w:t>
      </w:r>
    </w:p>
    <w:p>
      <w:pPr>
        <w:spacing w:after="0" w:line="18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Either party may terminate the agreement upon a material breach by the other party or insolvency of the other party. Cullinan Florentine may terminate the DKFZ/Tübingen License Agreement for any or no reason after the first filing of an investigational new drug application or CTA by providing prior written notice. Licensor may terminate the agreement by providing prior written notice, if Cullinan Florentine or any of its affiliates challenges the validity of certain patent rights. Unless earlier terminated, the DKFZ/Tübingen License Agreement continues on a perpetual basis.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MIT Exclusive Patent License Agreement</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December 2019, our partially-owned subsidiary Cullinan Amber Corp., or Cullinan Amber, entered into an Exclusive Patent License Agreement, or the MIT License Agreement, with the Massachusetts Institute of Technology, or MIT. Pursuant to the MIT License Agreement, MIT granted to Cullinan Amber an exclusive, worldwide, milestone-, equity- and royalty-bearing license under certain licensed patent rights and applications, with the right to grant sublicenses through three tiers (so long as Cullinan Amber remains an exclusive licensee of the patent rights in the field worldwide) to develop, make, have made, use, sell, have sold, offer to sell, lease, and import licensed products containing specific fusion proteins in the field of diagnosis, prognosis, prophylaxis or treatment of cancer in humans or other animals. MIT shall prepare, file, prosecute and maintain all of the patent rights, and Cullinan Amber shall cooperate with the prosecution, provide comments on patent prosecution documents, and pay all fees and costs relating to such prosecution and maintenance.</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Cullinan Amber paid MIT an upfront license issue fee of $50,000 and shall reimburse MIT for certain documented, out-of-pocket expenses incurred by MIT in connection with the preparation, filing, prosecution, maintenance and defense of the patent rights. As of November 30, 2020 Cullinan Amber has reimbursed MIT for $48,567 in connection with out-of-pocket expenses incurred by MIT in connection with the preparation, filing, prosecution, maintenance and defense of patent rights. In addition, as partial consideration, Cullinan Amber has issued 200,066 shares of common stock of Cullinan Amber to MIT, which owns five percent (5%) of Cullinan Amber’s fully diluted shares outstanding as of November 30, 2020. The MIT License Agreement also provides for anti-dilution adjustments, requiring Cullinan Amber to issue MIT additional shares to ensure the shares issued to MIT do not equal less than the mid single-digit percentage amount until a financing threshold representing the aggregate investment in Cullinan Amber is reached. MIT was also granted participation rights, up to a low double-digit percentage of the securities issued, in any proposed financings of Cullinan Amber. Cullinan Amber is also responsible for paying non-refundable, creditable annual license maintenance fees in an increasing amount over a certain number of years of the license and a fixed amount subsequent to this period of time. In addition, MIT granted to Cullinan Amber an exclusive option to amend the definition of field to include expansion fields, and each such amendment would trigger the payment to MIT of an amendment fee and cause an amendment, to be negotiated upon exercise of the option, to Cullinan Amber’s financial obligations with respect to the licensed products to reflect the additional rights and value being added.</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Additionally, Cullinan Amber shall pay certain non-refundable, non-creditable milestone payments to MIT upon the achievement by itself or its sublicensees of certain clinical and regulatory milestones in an aggregate amount up to $7 million for each distinct licensed product. Each milestone payment is paid one time only up to a certain payment amount, except there are separate milestone payments payable for a second and third indication of a licensed product in an aggregate amount up to $5.5 million per product. Cullinan Amber shall also pay to MIT certain one-time milestone payments for the achievement of certain commercial milestones based on the calculation of net sales across all licensed products in all indications in an aggregate amount up to $12.5 million. No milestones have been achieved to date under the MIT License Agreement.</w:t>
      </w:r>
    </w:p>
    <w:p>
      <w:pPr>
        <w:spacing w:after="0" w:line="187"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Under certain conditions upon a change in control, Cullinan Amber is required to pay a specified change in control fee and Cullinan Amber’s clinical and regulatory milestone payments shall be increased by a certain low three-digit percentage amount.</w:t>
      </w:r>
    </w:p>
    <w:p>
      <w:pPr>
        <w:spacing w:after="0" w:line="16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Furthermore, Cullinan Amber is required to pay a running mid single-digit royalty percentage on net sales of all licensed products for each reporting period, subject to certain offsets or reductions. The royalties due to MIT for net sales of all licensed products shall not be reduced by more than fifty percent (50%). Cullinan Amber is also required to share any income from sublicensing the licensed products, with the percentage to be determined by the clinical phase of the licensed product, no greater than low-to-mid double digit percentages. Such royalty obligations will expire on a country-by-country and product-by-product basis upon the expiration or abandonment of all issued patents and filed patent applications within the patent rights.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20"/>
          </w:cols>
          <w:pgMar w:left="320" w:top="455" w:right="3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Under the MIT License Agreement, MIT must notify Cullinan Amber of certain patentable inventions conceived and reduced to practice during a certain period of time, or Improvements, and Cullinan Amber has the option to acquire rights to those improvements upon MIT’s approval of a business and development plan, not to be unreasonably withheld, for a specified fee. In addition to this specified fee, Cullinan Amber’s financial obligations with respect to the Improvements may be amended to reflect the value being added, such as by adding an upfront fee, maintenance fees, and milestone payments.</w:t>
      </w:r>
    </w:p>
    <w:p>
      <w:pPr>
        <w:spacing w:after="0" w:line="183"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Cullinan Amber may voluntarily terminate the MIT License Agreement for any reason after providing written notice within a specified period of time in advance, provided that all amounts due to MIT have been paid. MIT has the right to terminate the MIT License Agreement upon written notice to Cullinan Amber if Cullinan Amber ceases to carry out its business related to the MIT License Agreement. Either party may terminate the MIT License Agreement upon a material breach by the other party. Unless earlier terminated, the MIT License Agreement shall remain in effect until the expiration or abandonment of all issued patents and the filed patent application within the patent rights.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November 2018, our wholly-owned subsidiary Cullinan Management entered into a Collaboration Agreement, or the Adimab Collaboration Agreement, with Adimab, LLC, or Adimab. Pursuant to the Adimab Collaboration Agreement, Cullinan Management selected a single-digit number of biological targets against which Adimab used its proprietary platform technology to discover and/or optimize antibodies based upon mutually agreed upon research plans. Under the Adimab Collaboration Agreement, Cullinan Management has the ability to select a specified low single-digit number of additional biological targets against which Adimab will provide additional antibody discovery and optimization services.</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During the research term and evaluation term for a given research program with Adimab, Cullinan Management has a non-exclusive worldwide license under Adimab’s technology to perform certain research activities and to evaluate the program antibodies to determine whether Cullinan Management wants to exercise its option to obtain a royalty-free, fully paid, non-exclusive license under Adimab’s background patent rights to exploit such antibodies sublicensable through multiple tiers. In the event Cullinan Management exercises its option, it will pay an option fee for each target subject to certain adjustments.</w:t>
      </w:r>
    </w:p>
    <w:p>
      <w:pPr>
        <w:spacing w:after="0" w:line="18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Under the Adimab Collaboration Agreement, Cullinan Management paid a one-time, non-creditable, non-refundable technology access fee. Cullinan Management is also required to pay an annual access fee. Cullinan Management is also required to pay research funding fees in connection with Adimab’s full-time employees’ compensation for performance of Adimab’s obligations under the Adimab Collaboration Agreement. Cullinan Management is also obligated to make certain research delivery, clinical and sales milestone payments to Adimab in an aggregate amount of up to $15.8 million for each product, on a product-by-product basis, subject to certain reductions and discounts.</w:t>
      </w:r>
    </w:p>
    <w:p>
      <w:pPr>
        <w:spacing w:after="0" w:line="183" w:lineRule="exact"/>
        <w:rPr>
          <w:sz w:val="20"/>
          <w:szCs w:val="20"/>
          <w:color w:val="auto"/>
        </w:rPr>
      </w:pPr>
    </w:p>
    <w:p>
      <w:pPr>
        <w:jc w:val="both"/>
        <w:ind w:right="280" w:firstLine="449"/>
        <w:spacing w:after="0" w:line="261" w:lineRule="auto"/>
        <w:rPr>
          <w:sz w:val="20"/>
          <w:szCs w:val="20"/>
          <w:color w:val="auto"/>
        </w:rPr>
      </w:pPr>
      <w:r>
        <w:rPr>
          <w:rFonts w:ascii="Times New Roman" w:cs="Times New Roman" w:eastAsia="Times New Roman" w:hAnsi="Times New Roman"/>
          <w:sz w:val="18"/>
          <w:szCs w:val="18"/>
          <w:color w:val="auto"/>
        </w:rPr>
        <w:t>Furthermore, Cullinan Management is obligated to pay certain royalty payments on a product-by-product basis at a low single-digit percentage of annual aggregate worldwide net sales. Such royalty obligations will expire on a country-by-country and product-by-product basis upon the later of (a) a certain low double-digit number of years after the first commercial sale of such product in such country and (b) the expiration of the last issued and not expired, permanently revoked, or invalid claim within a program patent covering such product as defined in the agreement.</w:t>
      </w:r>
    </w:p>
    <w:p>
      <w:pPr>
        <w:spacing w:after="0" w:line="180"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Cullinan Management may terminate the Adimab Collaboration Agreement at any time, for any reason, upon a specified period advance written notice. The term of the Adimab Collaboration Agreement expires upon the last research program’s evaluation term in the event no Adimab Option is exercised or, in the event an Adimab Option is exercised, after the royalty term thereof expires.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20"/>
          </w:cols>
          <w:pgMar w:left="320" w:top="455" w:right="3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intellectual property is critical to our business and we strive to protect it, including by obtaining, maintaining, defending, and enforcing patents and other intellectual property, in the United States and internationally, for our proprietary therapeutic molecules, technology, improvements, platforms, product candidates and components thereof, novel biological discoveries, new therapeutic approaches and potential indications, and other inventions that are important to our business. For our product candidates, generally we initially pursue patent protection covering compositions of matter, methods of use, and methods of production. Throughout the development of our product candidates, we will seek to identify additional means of obtaining patent protection that would potentially enhance commercial success, including improvement to pharmaceutical formulations, methods of use and production.</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of September 30, 2020, our patent portfolio includes ten patent families, including both patent applications we own, and issued patents and patent applications exclusively in-licensed from external technology originators in a respective field. Specifically, we have exclusively in-licensed at least 2 issued US patents, 29 patents issued in foreign jurisdictions, and 44 patent applications pending worldwide. Our earliest issued patents are expected to expire in 2034. Later patents, that may issue from our pending patent applications, are expected to expire between 2037 and 2041, excluding any patent term adjustments or extensions, if applicable, that may be available. As to the patent term extension to restore patent term effectively lost following patent grant but during the FDA regulatory review process, the restoration period cannot be longer than five years and the total patent term including the restoration period must not exceed 14 years following FDA approval.</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Our portfolio related to our CLN-081 product candidate includes five patent families directed to compositions, and methods of using such compositions therapeutically. The first family, which is in-licensed from Taiho Pharmaceuticals, covers compositions with claims directed to our CLN-081 product candidate. This patent family includes issued patents in the U.S., major European countries and China, and such patents are expected to expire in 2034, excluding any patent term adjustments or extensions, if applicable. Within this family, patent application were filed in Australia, Brazil, Canada, China, Hong Kong, Macau, European Patent Office, Austria, Belgium, Switzerland, Czech Republic, Germany, Denmark, Spain, Finland, France, United Kingdom, Greece, Hungry, Ireland, Italy, Netherlands, Norway, Poland, Portugal, Romania, Sweden, Turkey, Indonesia, India, Japan, Korea, Mexico, Malaysia, Philippines, Russian Federation, Singapore, Thailand, Taiwan, United States of America, and Vietnam. Three families, also in-licensed from Taiho Pharmaceuticals, include both issued patents and pending patent applications with claims directed to methods of using the CLN-081 product candidate in treating additional diseases where we believe CLN-081 has potential to be active. The first of these three families, titled “Selective Inhibitor of Exon20 Insertion Mutant EGFR”, is expected to expire in 2037, excluding any patent term adjustments or extensions, if applicable, that may be available. Within this family, patent applications have so far been filed in Australia, Brazil, Canada, China, European Patent Office, Indonesia, Israel, Japan, Jordan, Korea, Malaysia, Mexico, New Zealand, Philippines, Russian Federation, Singapore, Thailand, United States of America, Vietnam, South Africa, and Taiwan. The second of these three families, titled “Selective Inhibitor of Exon 18 and Exon 21 Mutant EGFR”, is expected to expire in 2038, excluding any patent term adjustments or extensions, if applicable, that may be available. Within this family, patent applications have so far been filed in Australia, Canada, China, European Patent Office, Israel, Korea, Taiwan, Singapore, and United States of America. The third of these three families, titled “L718 and/or L792 mutant type treating resistance EGFR inhibitor”, is expected to expire in 2039, excluding any patent term adjustments or extensions, if applicable, that may be available. An international application has been filed under this family. We own a fifth application, which is directed to certain methods of use and dosing protocols. This family is expected to expire in 2041, excluding any patent term adjustments or extensions, if applicable, that may be available. US provisional applications have been filed under this family.</w:t>
      </w:r>
    </w:p>
    <w:p>
      <w:pPr>
        <w:spacing w:after="0" w:line="19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through Cullinan MICA, own three patent families related to our CLN-619 product candidate, including patent families directed to compositions, and methods of using such compositions therapeutically. The family of patent applications with claims directed to CLN-619 compositions, if issued, are expected to expire in 2039, excluding any patent term adjustments or extensions, if applicable. An international application has been filed under this family and country-specific applications have been filed so far in Australia and Canada. We plan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20"/>
          </w:cols>
          <w:pgMar w:left="320" w:top="455" w:right="3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enter into additional jurisdictions prior to the applicable deadlines. The family of patent applications with claims directed to additional anti-MICA antibody compositions, if issued, are expected to expire in 2039, excluding any patent term adjustments or extensions, if applicable. An international application has been filed under this family and country-specific applications have been filed so far in Australia and Canada. We plan to enter into additional jurisdictions prior to the applicable deadlines. The family of patent applications with claims directed to additional anti-MICA antibody compositions and methods of use, if issued, are expected to expire in 2041, excluding any patent term adjustments or extensions, if applicable. A US provisional application has been filed under this family.</w:t>
      </w:r>
    </w:p>
    <w:p>
      <w:pPr>
        <w:spacing w:after="0" w:line="187" w:lineRule="exact"/>
        <w:rPr>
          <w:sz w:val="20"/>
          <w:szCs w:val="20"/>
          <w:color w:val="auto"/>
        </w:rPr>
      </w:pPr>
    </w:p>
    <w:p>
      <w:pPr>
        <w:ind w:right="660" w:firstLine="449"/>
        <w:spacing w:after="0" w:line="261" w:lineRule="auto"/>
        <w:rPr>
          <w:sz w:val="20"/>
          <w:szCs w:val="20"/>
          <w:color w:val="auto"/>
        </w:rPr>
      </w:pPr>
      <w:r>
        <w:rPr>
          <w:rFonts w:ascii="Times New Roman" w:cs="Times New Roman" w:eastAsia="Times New Roman" w:hAnsi="Times New Roman"/>
          <w:sz w:val="18"/>
          <w:szCs w:val="18"/>
          <w:color w:val="auto"/>
        </w:rPr>
        <w:t>Our portfolio related to our CLN-049 product candidate includes one patent family, in-licensed from the University of Tubingen, directed to compositions, and methods of using such compositions therapeutically. This family of patent applications contain claims directed to CLN-049 compositions, which, if issued, are expected to expire in 2039, excluding any patent term adjustments or extensions, if applicable. An international application has been filed under this family.</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Our portfolio related to our CLN-617 product candidate and Cullinan Amber program includes one patent family, in-licensed from the Massachusetts Institute of Technology, directed to compositions, and methods of using such compositions therapeutically. This family of patent applications contain claims covering Cullinan Amber related compositions, which, if issued, are expected to expire in 2039, excluding any patent term adjustments or extensions, if applicable. An international application has been filed under this family.</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review period in issuing the patent as well as a portion of the term effectively lost as a result of the FDA regulatory review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GMP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and, if marketing approval is obtained, our commercial products. We believe this strategy allows us to maintain a more efficient infrastructure by eliminating the need for us to invest in our own manufacturing facilities, equipment and personnel while also enabling us to focus our expertise and resources on the development of new product candidates.</w:t>
      </w:r>
    </w:p>
    <w:p>
      <w:pPr>
        <w:spacing w:after="0" w:line="187"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We receive material from our contract manufacturing organizations, or CMOs, for preclinical testing. We receive clinical supply material manufactured in compliance with current Good Manufacturing Practice requirements, or cGMPs, and we conduct audits before and during the trial, in cooperation with a CMO, to ensure compliance with the mutually agreed process descriptions and cGMP regulations.</w:t>
      </w:r>
    </w:p>
    <w:p>
      <w:pPr>
        <w:spacing w:after="0" w:line="176"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of companion diagnostics for our products, which are assays or tests that identify an appropriate patient population. Depending on the technology solutions we choose, we may rely on multiple third parties to manufacture and sell a single test.</w:t>
      </w:r>
    </w:p>
    <w:p>
      <w:pPr>
        <w:spacing w:after="0" w:line="176"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To date, we have obtained drug substance (DS) for CLN-049 and CLN-619, our most advanced biologic candidates, from single-source third-party contract manufacturers, Abzena and WuXi, respectively. While any reduction or halt in supply of DS from these contract manufacturers could limit our ability to develop our product candidates until we find a qualified replacement contract manufacturer, we have procured sufficient DS to support our planned clinical studies for both CLN-049 and CLN-619. WuXi has also supplied CLN-049 drug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product (DP), and we have procured sufficient CLN-049 DP for our planned clinical studies. We have engaged a separate contract manufacturer to produce CLN-619 DP, which is intended to be sufficient for our planned clinical studies. We intend to put in place agreements under which our third-party contract manufacturers will generally provide us with necessary quantities of DS and DP on a project-by-project basis, based on our projected development and commercial supply needs.</w:t>
      </w:r>
    </w:p>
    <w:p>
      <w:pPr>
        <w:spacing w:after="0" w:line="180"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Our CLN-049 and CLN-619 product candidates are manufactured from a vial of a master cell bank, or MCB, from the respective production cell lines. We have one MCB for each program that was produced and tested in accordance with cGMPs and applicable regulations. For CLN-049, the MCB is stored in one location, and we are making plans to store at a second location. The research cell bank (RCB) for CLN-049 is stored at a different location from the MCB. For CLN-619, the MCB is stored at two independent sites, and the RCB is stored at a separate location from the RCB locations. We intend to produce working cell banks for each product candidate later in product development. It is possible that we could lose multiple cell banks from multiple locations and have our manufacturing severely impacted by the need to replace the cell banks. However, we believe we have adequate backup should any particular cell bank be lost in a catastrophic event.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Food and Drug Administration Regulation</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United States Food and Drug Administration, or FDA, and other U.S. regulatory authorities at federal, state and local levels, as well as in foreign countries, extensively regulate, among other things, the research, development, testing, manufacture, quality control, import, export, labeling, packaging, storage, distribution, record keeping, approval, advertising, promotion, marketing, post-approval monitoring and post-approval reporting of drugs and biologics such as those we are developing. We, along with our vendors, collaboration partners, clinical research organizations, or CROs, clinical trial investigators, and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United States federal, state, local and foreign statutes and regulations requires the expenditure of substantial time and financial resources. Failure to comply with the applicable regulatory requirements at any time during the product development process or post-approval may subject an applicant to delays in development or approval, as well as administrative and judicial sanctions.</w:t>
      </w:r>
    </w:p>
    <w:p>
      <w:pPr>
        <w:spacing w:after="0" w:line="194"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drugs under the FDCA, and biologics under the FDCA and the Public Health Service Act, or PHSA, and their implementing regulations. Both drugs and biologics are also subject to other federal, state and local statutes and regulations. Our product candidates are early-stage and have not been approved by the FDA for marketing in the United States.</w:t>
      </w:r>
    </w:p>
    <w:p>
      <w:pPr>
        <w:spacing w:after="0" w:line="176"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our drug product candidates regulated under the FDCA, such as CLN-081, FDA must approve a NDA. For our biologic product candidates regulated under the FDCA and PHSA, such as CLN-049 and CLN-619, FDA must approve a BLA. The process is similar and generally involves the following:</w:t>
      </w:r>
    </w:p>
    <w:p>
      <w:pPr>
        <w:spacing w:after="0" w:line="81" w:lineRule="exact"/>
        <w:rPr>
          <w:sz w:val="20"/>
          <w:szCs w:val="20"/>
          <w:color w:val="auto"/>
        </w:rPr>
      </w:pPr>
    </w:p>
    <w:p>
      <w:pPr>
        <w:ind w:left="1000" w:right="180" w:hanging="54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 and must be updated annually and when certain changes are made;</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67" w:lineRule="exact"/>
        <w:rPr>
          <w:rFonts w:ascii="Times New Roman" w:cs="Times New Roman" w:eastAsia="Times New Roman" w:hAnsi="Times New Roman"/>
          <w:sz w:val="18"/>
          <w:szCs w:val="18"/>
          <w:color w:val="auto"/>
        </w:rPr>
      </w:pPr>
    </w:p>
    <w:p>
      <w:pPr>
        <w:ind w:left="1000" w:right="560" w:hanging="54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and efficacy of the investigational product for each proposed indication;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or BLA;</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the application for review;</w:t>
      </w:r>
    </w:p>
    <w:p>
      <w:pPr>
        <w:spacing w:after="0" w:line="130" w:lineRule="exact"/>
        <w:rPr>
          <w:rFonts w:ascii="Times New Roman" w:cs="Times New Roman" w:eastAsia="Times New Roman" w:hAnsi="Times New Roman"/>
          <w:sz w:val="18"/>
          <w:szCs w:val="18"/>
          <w:color w:val="auto"/>
        </w:rPr>
      </w:pPr>
    </w:p>
    <w:p>
      <w:pPr>
        <w:ind w:left="1000" w:right="80" w:hanging="547"/>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cGMPs to assure that the facilities, methods and controls are adequate to ensure and preserve the drug or biological product’s identity, strength, quality and purity;</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clinical trial sites that generated the data in support of the NDA or BLA; and</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where applicable, consideration of the views of any FDA advisory committee, prior to any commercial marketing or sale of the drug or biologic 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In the United States, the results of the preclinical studies, together with manufacturing information and analytical data must be submitted to the FDA as part of an IND.</w:t>
      </w:r>
    </w:p>
    <w:p>
      <w:pPr>
        <w:spacing w:after="0" w:line="183"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In the United States,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w:t>
      </w:r>
    </w:p>
    <w:p>
      <w:pPr>
        <w:spacing w:after="0" w:line="18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either centrally or at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w:t>
      </w:r>
    </w:p>
    <w:p>
      <w:pPr>
        <w:spacing w:after="0" w:line="188"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The FDA may, at any time during the initial 30-day IND review period or while clinical trials are ongoing under the IND, impose a partial or complete clinical hold based on concerns for patient safety and/or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noncompliance with regulatory requirements. This order issued by the FDA would delay a proposed clinical study or cause suspension of an ongoing study until all outstanding concerns have been adequately addressed, and the FDA has notified the company that investigations may proceed. Imposition of a clinical hold could cause significant delays or difficulties in completing planned clinical studies in a timely manner. In addition,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 the United States, information about applicable clinical trials, including clinical trials results, must be submitted within specific timeframes for publication on the www.clinicaltrials.gov website.</w:t>
      </w:r>
    </w:p>
    <w:p>
      <w:pPr>
        <w:spacing w:after="0" w:line="194"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76"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and BLAs for marketing approval are typically conducted in three sequential phases, which may overlap.</w:t>
      </w:r>
    </w:p>
    <w:p>
      <w:pPr>
        <w:spacing w:after="0" w:line="67" w:lineRule="exact"/>
        <w:rPr>
          <w:sz w:val="20"/>
          <w:szCs w:val="20"/>
          <w:color w:val="auto"/>
        </w:rPr>
      </w:pPr>
    </w:p>
    <w:p>
      <w:pPr>
        <w:ind w:left="1000" w:right="60" w:hanging="547"/>
        <w:spacing w:after="0" w:line="261"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85" w:lineRule="exact"/>
        <w:rPr>
          <w:rFonts w:ascii="Times New Roman" w:cs="Times New Roman" w:eastAsia="Times New Roman" w:hAnsi="Times New Roman"/>
          <w:sz w:val="18"/>
          <w:szCs w:val="18"/>
          <w:color w:val="auto"/>
        </w:rPr>
      </w:pPr>
    </w:p>
    <w:p>
      <w:pPr>
        <w:ind w:left="1000" w:hanging="547"/>
        <w:spacing w:after="0" w:line="261"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5" w:lineRule="exact"/>
        <w:rPr>
          <w:rFonts w:ascii="Times New Roman" w:cs="Times New Roman" w:eastAsia="Times New Roman" w:hAnsi="Times New Roman"/>
          <w:sz w:val="18"/>
          <w:szCs w:val="18"/>
          <w:color w:val="auto"/>
        </w:rPr>
      </w:pPr>
    </w:p>
    <w:p>
      <w:pPr>
        <w:ind w:left="1000" w:right="200" w:hanging="547"/>
        <w:spacing w:after="0" w:line="258"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clinical trials typically involve administration of the investigational product to an expanded patient population to further evaluate dosage, to provide substantial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an NDA or BLA.</w:t>
      </w:r>
    </w:p>
    <w:p>
      <w:pPr>
        <w:spacing w:after="0" w:line="183"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Failure to exhibit due diligence with regard to conducting required Phase 4 clinical trials could result in withdrawal of approval for products.</w:t>
      </w:r>
    </w:p>
    <w:p>
      <w:pPr>
        <w:spacing w:after="0" w:line="18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drug or biologic and any clinically important increase in the rate of a serious suspected adverse reaction over that listed in the protocol or investigator brochure. The sponsor must also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notify the FDA of any unexpected fatal or life-threatening suspected adverse reaction as soon as possible but in no case later than seven calendar days after the sponsor’s initial receipt of the information.</w:t>
      </w:r>
    </w:p>
    <w:p>
      <w:pPr>
        <w:spacing w:after="0" w:line="162"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drug or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Expanded Access</w:t>
      </w:r>
    </w:p>
    <w:p>
      <w:pPr>
        <w:spacing w:after="0" w:line="121"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the following groups: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There is no requirement for a company to provide expanded access to its investigational product. However, if a company decides to make its investigational product available for expanded access, FDA reviews each request for expanded access and determines if treatment may proceed. Expanded access may be appropriate when all of the following criteria apply: the patient has a serious or immediately life-threatening disease or condition, and there is no comparable or satisfactory alternative therapy to diagnose, monitor, or treat the disease or condition; the potential benefit justifies the potential risks of the treatment and the potential risks are not unreasonable in the context of the disease or condition to be treated; and providing the investigational product for the requested use will not interfere with the initiation, conduct, or completion of clinical investigations that could support marketing approval of the expanded access use or otherwise compromise the potential development of the expanded access use.</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Right to Try does not require FDA to review or approve requests for use of the investigational product. There is no obligation for a company to make its investigational products available to eligible patients under the Right to Try Act.</w:t>
      </w:r>
    </w:p>
    <w:p>
      <w:pPr>
        <w:spacing w:after="0" w:line="183"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Under the FDCA, sponsors of one or more investigational products for the treatment of a serious disease or condition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 There is no obligation for a sponsor to make its investigational products available to eligible patients as a result of the Right to Try Act, but the sponsor must develop an internal policy and respond to patient requests according to that policy.</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FDA Marketing Application Review Process</w:t>
      </w:r>
    </w:p>
    <w:p>
      <w:pPr>
        <w:spacing w:after="0" w:line="121"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proposed labeling, among other things, are submitted to the United States FDA as part of an NDA or BLA requesting approval to market the product for one or more indications. An NDA is a request for approval to market a new drug for one or more specified indications, and a BLA is a request for approval to market a new biologic for one or more specified indications. The NDA or BLA must include all relevant data available from pertinent pre-clinical studies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approval of an NDA or BLA must be obtained before a drug or biologic may be marketed in the United States.</w:t>
      </w:r>
    </w:p>
    <w:p>
      <w:pPr>
        <w:spacing w:after="0" w:line="188"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certain NDAs and BLAs and certain supplements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drug or biological product that includes a new active ingredient or clinically active component, new indication, new dosage form, new dosing regimen or new route of administration submit an initial Pediatric Study Plan within 60 days after an end-of-Phase 2 meeting or as may be agreed between the sponsor and FDA. Unless otherwise required by regulation, PREA does not apply to a drug or biological product for an indication for which orphan designation has been granted.</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the United States, the FDA reviews all submitted NDAs and BLAs to ensure they are sufficiently complete to permit substantive review before it accepts them for filing, and may request additional information rather than accepting the NDA or BLA for filing. The FDA makes a decision on accepting an NDA or BLA for filing within 60 days of receipt, and such decision could include a refusal to file by the FDA. Once the submission is accepted for filing, the FDA begins an in-depth substantive review of the application. The FDA reviews an NDA or BLA to determine, among other things, whether the product is safe and effective and whether the facility in which it is manufactured, processed, packaged or held meets standards, including cGMP requirements, designed to assure and preserve the product’s identity, strength, quality and purity. Under the goals and polices agreed to by the FDA under the Prescription Drug User Fee Act, or PDUFA, the FDA targets ten months, from the filing date, in which to complete its initial review of an original NDA or BLA and respond to the applicant, and six months from the filing date of an original NDA or BLA filed for priority review. The FDA does not always meet its PDUFA goal dates for standard or priority NDAs or BLAs, and the review process is often extended by FDA requests for additional information or clarification.</w:t>
      </w:r>
    </w:p>
    <w:p>
      <w:pPr>
        <w:spacing w:after="0" w:line="19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NDA or BLA must be accompanied by a user fee, and the sponsor of an approved NDA or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455"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and facilities are in compliance with cGMP requirements and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17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NDA or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94"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or efficacy after approval, require testing and surveillance programs to monitor the product after commercialization, or impose other conditions, including distribution and use restrictions or other risk management mechanisms under a risk evaluation and mitigation strategy, or REMS, which can materially affect the potential market and profitability of the product.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or BLA. After the FDA grants ODD, the generic identity of the therapeutic agent and its potential orphan use are disclosed publicly by the FDA.</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that drug for the disease for which it has such designation, the product is entitled to orphan product exclusivity, which means that the FDA may not approve any other applications, including a full NDA or BLA, to market the same drug or biologic for the same indication for seven years from the approval of the NDA or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same disease or condition, or the same drug or biologic for a different disease or condition. Among the other benefits of ODD are tax credits for certain research and a waiver of the NDA or BLA application user fee.</w:t>
      </w:r>
    </w:p>
    <w:p>
      <w:pPr>
        <w:spacing w:after="0" w:line="16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76"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initiate review of sections of a Fast Track product’s application before the application is complete upon satisfaction of certain conditions.</w:t>
      </w:r>
    </w:p>
    <w:p>
      <w:pPr>
        <w:spacing w:after="0" w:line="183"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drug or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87" w:lineRule="exact"/>
        <w:rPr>
          <w:sz w:val="20"/>
          <w:szCs w:val="20"/>
          <w:color w:val="auto"/>
        </w:rPr>
      </w:pPr>
    </w:p>
    <w:p>
      <w:pPr>
        <w:jc w:val="both"/>
        <w:ind w:right="240" w:firstLine="449"/>
        <w:spacing w:after="0" w:line="261"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priority review. A product is eligible for priority review if it is intended to treat a serious or life-threatening disease or condition, and if approved, would provide a significant improvement in safety or effectiveness. For original NDAs and BLAs, priority review designation means the FDA’s goal is to take action on the marketing application within six months of the 60-day filing date (compared with ten months under standard review).</w:t>
      </w:r>
    </w:p>
    <w:p>
      <w:pPr>
        <w:spacing w:after="0" w:line="180"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FDA may grant accelerated approval to a product intended to treat a serious or life-threatening disease or condition that generally provides a meaningful therapeutic advantage to patients over available treatments,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For drugs granted accelerated approval, the FDA generally requires sponsors to conduct, in a diligent manner, adequate and well-controlled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00"/>
          </w:cols>
          <w:pgMar w:left="320" w:top="455" w:right="3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approved under accelerated approval are subject to prior review by the FDA unless FDA informs the applicant otherwise.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FDA Approval or Clearance of Companion Diagnostics</w:t>
      </w:r>
    </w:p>
    <w:p>
      <w:pPr>
        <w:spacing w:after="0" w:line="11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and biologics,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on issues related to co-development of the products.</w:t>
      </w:r>
    </w:p>
    <w:p>
      <w:pPr>
        <w:spacing w:after="0" w:line="18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a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w:t>
      </w:r>
    </w:p>
    <w:p>
      <w:pPr>
        <w:spacing w:after="0" w:line="185"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investigational device exemption, or IDE, regulation. The IDE regulations distinguish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188"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the United States, device manufacturers are also subject to FDA’s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and FDA’s correction and removal reporting regulations, which require that manufacturers report to the FDA corrections or removals if undertaken to reduce a risk to health posed by the device or to remedy a violation of the FDCA that may present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20"/>
          </w:cols>
          <w:pgMar w:left="320" w:top="455" w:right="3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risk to health.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Drugs and Biologics in the United States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the United States, 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drugs and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or supplemental NDA or BLA, which may require the development of additional data or preclinical studies and clinical trials.</w:t>
      </w:r>
    </w:p>
    <w:p>
      <w:pPr>
        <w:spacing w:after="0" w:line="187"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w:t>
      </w:r>
    </w:p>
    <w:p>
      <w:pPr>
        <w:spacing w:after="0" w:line="17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94"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89" w:lineRule="exact"/>
        <w:rPr>
          <w:sz w:val="20"/>
          <w:szCs w:val="20"/>
          <w:color w:val="auto"/>
        </w:rPr>
      </w:pPr>
    </w:p>
    <w:p>
      <w:pPr>
        <w:jc w:val="center"/>
        <w:ind w:left="5480" w:right="600" w:hanging="5027"/>
        <w:spacing w:after="0" w:line="454" w:lineRule="auto"/>
        <w:tabs>
          <w:tab w:leader="none" w:pos="99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 178</w:t>
      </w:r>
    </w:p>
    <w:p>
      <w:pPr>
        <w:sectPr>
          <w:pgSz w:w="11900" w:h="16838" w:orient="portrait"/>
          <w:cols w:equalWidth="0" w:num="1">
            <w:col w:w="11240"/>
          </w:cols>
          <w:pgMar w:left="320" w:top="455"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Patent Term Restoration and Marketing Exclusivity</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Regulatory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for other conditions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20"/>
          </w:cols>
          <w:pgMar w:left="320" w:top="455" w:right="3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In addition, both drugs and biologics can also obtain pediatric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Biosimilars and Exclusivity</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Under the BPCIA, a reference biological product is granted 12 years of data exclusivity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Patient Protection and Affordable Care Act, some of which may impact the BPCIA exclusivity provisions, have also been the subject of recent litigation. As a result, the ultimate impact, implementation, and regulatory interpretation of the BPCIA remain subject to significant uncertainty.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United States Regulatory Matters</w:t>
      </w:r>
    </w:p>
    <w:p>
      <w:pPr>
        <w:spacing w:after="0" w:line="1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in the United States</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In the United States, healthcare providers, physicians, and third-party payors will play a primary role in the recommendation and prescription of any products for which we obtain marketing approval. Our business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00"/>
          </w:cols>
          <w:pgMar w:left="320" w:top="455" w:right="3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89" w:lineRule="exact"/>
        <w:rPr>
          <w:sz w:val="20"/>
          <w:szCs w:val="20"/>
          <w:color w:val="auto"/>
        </w:rPr>
      </w:pPr>
    </w:p>
    <w:p>
      <w:pPr>
        <w:ind w:left="1000" w:right="20" w:hanging="547"/>
        <w:spacing w:after="0" w:line="25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w:t>
      </w:r>
    </w:p>
    <w:p>
      <w:pPr>
        <w:spacing w:after="0" w:line="92" w:lineRule="exact"/>
        <w:rPr>
          <w:rFonts w:ascii="Times New Roman" w:cs="Times New Roman" w:eastAsia="Times New Roman" w:hAnsi="Times New Roman"/>
          <w:sz w:val="18"/>
          <w:szCs w:val="18"/>
          <w:color w:val="auto"/>
        </w:rPr>
      </w:pPr>
    </w:p>
    <w:p>
      <w:pPr>
        <w:ind w:left="1000" w:right="260" w:hanging="547"/>
        <w:spacing w:after="0" w:line="258"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88" w:lineRule="exact"/>
        <w:rPr>
          <w:rFonts w:ascii="Times New Roman" w:cs="Times New Roman" w:eastAsia="Times New Roman" w:hAnsi="Times New Roman"/>
          <w:sz w:val="18"/>
          <w:szCs w:val="18"/>
          <w:color w:val="auto"/>
        </w:rPr>
      </w:pPr>
    </w:p>
    <w:p>
      <w:pPr>
        <w:ind w:left="1000" w:right="220" w:hanging="547"/>
        <w:spacing w:after="0" w:line="258"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88" w:lineRule="exact"/>
        <w:rPr>
          <w:rFonts w:ascii="Times New Roman" w:cs="Times New Roman" w:eastAsia="Times New Roman" w:hAnsi="Times New Roman"/>
          <w:sz w:val="18"/>
          <w:szCs w:val="18"/>
          <w:color w:val="auto"/>
        </w:rPr>
      </w:pPr>
    </w:p>
    <w:p>
      <w:pPr>
        <w:ind w:left="1000" w:right="60" w:hanging="547"/>
        <w:spacing w:after="0" w:line="289" w:lineRule="auto"/>
        <w:tabs>
          <w:tab w:leader="none" w:pos="10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3" w:lineRule="exact"/>
        <w:rPr>
          <w:rFonts w:ascii="Times New Roman" w:cs="Times New Roman" w:eastAsia="Times New Roman" w:hAnsi="Times New Roman"/>
          <w:sz w:val="17"/>
          <w:szCs w:val="17"/>
          <w:color w:val="auto"/>
        </w:rPr>
      </w:pPr>
    </w:p>
    <w:p>
      <w:pPr>
        <w:ind w:left="1000" w:right="80" w:hanging="547"/>
        <w:spacing w:after="0" w:line="25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spacing w:after="0" w:line="92" w:lineRule="exact"/>
        <w:rPr>
          <w:rFonts w:ascii="Times New Roman" w:cs="Times New Roman" w:eastAsia="Times New Roman" w:hAnsi="Times New Roman"/>
          <w:sz w:val="18"/>
          <w:szCs w:val="18"/>
          <w:color w:val="auto"/>
        </w:rPr>
      </w:pPr>
    </w:p>
    <w:p>
      <w:pPr>
        <w:ind w:left="1000" w:hanging="547"/>
        <w:spacing w:after="0" w:line="255"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320" w:top="455" w:right="3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54"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are often not pre-empted, and may have a more prohibitive effect than the Sunshine Act, thus further complicating compliance efforts. Effective January 1, 2022, these reporting obligations will extend to include transfers of value made in the previous year to certain non-physician providers such as physician assistants and nurse practitioners; and</w:t>
      </w:r>
    </w:p>
    <w:p>
      <w:pPr>
        <w:spacing w:after="0" w:line="97" w:lineRule="exact"/>
        <w:rPr>
          <w:rFonts w:ascii="Times New Roman" w:cs="Times New Roman" w:eastAsia="Times New Roman" w:hAnsi="Times New Roman"/>
          <w:sz w:val="18"/>
          <w:szCs w:val="18"/>
          <w:color w:val="auto"/>
        </w:rPr>
      </w:pPr>
    </w:p>
    <w:p>
      <w:pPr>
        <w:ind w:left="1000" w:right="40" w:hanging="547"/>
        <w:spacing w:after="0" w:line="253"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 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94"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In addition, pharmaceutical manufacturers may also be subject to United States federal and state consumer protection and unfair competition laws and regulations, which broadly regulate marketplace activities and that potentially harm consumers.</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455"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Coverage and Reimbursement</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89" w:lineRule="exact"/>
        <w:rPr>
          <w:sz w:val="20"/>
          <w:szCs w:val="20"/>
          <w:color w:val="auto"/>
        </w:rPr>
      </w:pPr>
    </w:p>
    <w:p>
      <w:pPr>
        <w:ind w:left="1000" w:right="140" w:hanging="547"/>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ind w:left="1000" w:right="80" w:hanging="547"/>
        <w:spacing w:after="0" w:line="312"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00"/>
          </w:cols>
          <w:pgMar w:left="320" w:top="455" w:right="3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0" w:hanging="547"/>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81"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81"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There remain numerous judicial, administrative, executive, and legislative challenges to certain aspects of the Affordable Care. For example, various portions of the ACA are currently undergoing legal and constitutional challenges in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biologics.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of the ACA’s 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w:t>
      </w:r>
    </w:p>
    <w:p>
      <w:pPr>
        <w:spacing w:after="0" w:line="187"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These will be suspended from May 1, 2020 through December 31, 2020 due to the COVID-19 pandemic.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in the United States,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Trump administration’s budget proposal for fiscal year 2021 includes a $135 billion allowance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455"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9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40"/>
          </w:cols>
          <w:pgMar w:left="320" w:top="455"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Other Federal and State Laws or Requirements; Changing Legal Requirements</w:t>
      </w:r>
    </w:p>
    <w:p>
      <w:pPr>
        <w:spacing w:after="0" w:line="121"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8"/>
          <w:szCs w:val="18"/>
          <w:color w:val="auto"/>
        </w:rPr>
        <w:t>If any products that we may develop are made available in the United States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we may be subject.</w:t>
      </w:r>
    </w:p>
    <w:p>
      <w:pPr>
        <w:spacing w:after="0" w:line="180"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firstLine="8"/>
        <w:spacing w:after="0" w:line="290" w:lineRule="auto"/>
        <w:tabs>
          <w:tab w:leader="none" w:pos="21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the European Union, our future products also may be subject to extensive regulatory requirements. As in the United States, medicinal products can be marketed only if a marketing authorization from the competent regulatory agencies has been obtained.</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89" w:lineRule="exact"/>
        <w:rPr>
          <w:sz w:val="20"/>
          <w:szCs w:val="20"/>
          <w:color w:val="auto"/>
        </w:rPr>
      </w:pPr>
    </w:p>
    <w:p>
      <w:pPr>
        <w:ind w:right="460" w:firstLine="449"/>
        <w:spacing w:after="0" w:line="289" w:lineRule="auto"/>
        <w:rPr>
          <w:sz w:val="20"/>
          <w:szCs w:val="20"/>
          <w:color w:val="auto"/>
        </w:rPr>
      </w:pPr>
      <w:r>
        <w:rPr>
          <w:rFonts w:ascii="Times New Roman" w:cs="Times New Roman" w:eastAsia="Times New Roman" w:hAnsi="Times New Roman"/>
          <w:sz w:val="17"/>
          <w:szCs w:val="17"/>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w:t>
      </w:r>
    </w:p>
    <w:p>
      <w:pPr>
        <w:spacing w:after="0" w:line="158" w:lineRule="exact"/>
        <w:rPr>
          <w:sz w:val="20"/>
          <w:szCs w:val="20"/>
          <w:color w:val="auto"/>
        </w:rPr>
      </w:pPr>
    </w:p>
    <w:p>
      <w:pPr>
        <w:ind w:right="280" w:firstLine="449"/>
        <w:spacing w:after="0" w:line="312" w:lineRule="auto"/>
        <w:rPr>
          <w:sz w:val="20"/>
          <w:szCs w:val="20"/>
          <w:color w:val="auto"/>
        </w:rPr>
      </w:pPr>
      <w:r>
        <w:rPr>
          <w:rFonts w:ascii="Times New Roman" w:cs="Times New Roman" w:eastAsia="Times New Roman" w:hAnsi="Times New Roman"/>
          <w:sz w:val="17"/>
          <w:szCs w:val="17"/>
          <w:color w:val="auto"/>
        </w:rPr>
        <w:t>We are in the process of applying to renew our status with EMA as a small and medium-sized enterprise, or SME. If we obtain SME status with EMA, it will provide access to administrative, regulatory and financial support, including fee reductions for scientific advice and regulatory procedures.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20"/>
          </w:cols>
          <w:pgMar w:left="320" w:top="455" w:right="3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Marketing</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0"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121"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In the European Economic Area, or EEA, which is comprised of the 27 Member States of the European Union together with Norway, Iceland and Liechtenstein, medicinal products can only be commercialized after obtaining a Marketing Authorization, or MA. There are two types of marketing authorizations.</w:t>
      </w:r>
    </w:p>
    <w:p>
      <w:pPr>
        <w:spacing w:after="0" w:line="81" w:lineRule="exact"/>
        <w:rPr>
          <w:sz w:val="20"/>
          <w:szCs w:val="20"/>
          <w:color w:val="auto"/>
        </w:rPr>
      </w:pPr>
    </w:p>
    <w:p>
      <w:pPr>
        <w:ind w:left="1000" w:right="40" w:hanging="547"/>
        <w:spacing w:after="0" w:line="254"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97" w:lineRule="exact"/>
        <w:rPr>
          <w:rFonts w:ascii="Times New Roman" w:cs="Times New Roman" w:eastAsia="Times New Roman" w:hAnsi="Times New Roman"/>
          <w:sz w:val="18"/>
          <w:szCs w:val="18"/>
          <w:color w:val="auto"/>
        </w:rPr>
      </w:pPr>
    </w:p>
    <w:p>
      <w:pPr>
        <w:ind w:left="1000" w:hanging="547"/>
        <w:spacing w:after="0" w:line="253"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2"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New Chemical Entity Exclusivity</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In the European Union, new chemical entities (including both small molecules and biological medicinal products), sometimes referred to as new active substances, qualify for eight years of data exclusivity upon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marketing authorization and an additional two years of market exclusivity. The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Orphan Designation and Exclusivity</w:t>
      </w:r>
    </w:p>
    <w:p>
      <w:pPr>
        <w:spacing w:after="0" w:line="121"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(or where it is unlikely that the development of the medicine would generate sufficient return to justify the investment) and for which no satisfactory method of diagnosis, prevention or treatment has been authorized (or, if a method exists, the product would be a significant benefit to those affected).</w:t>
      </w:r>
    </w:p>
    <w:p>
      <w:pPr>
        <w:spacing w:after="0" w:line="183"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the European Union, orphan drug designation entitles a party to financial incentives such as reduction of fees or fee waivers and ten years of market exclusivity is granted following medicinal product approval. This period may be reduced to six years if, at the end of the fifth year, it is established that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Pediatric Investigation Plan</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the EEA, MAAs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trial results are included in the product information, the product is eligible for six months’ supplementary protection certificate extension, even when the supplementary protection certificate period would otherwise be negative.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collection and use of personal health data in the European Economic Area, or the EEA, governed by the GDPR,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European Union. The GDPR enhances data protection obligations for data controllers of personal data, including stringent requirements relating to the consent of data subjects, expanded disclosures about how personal data is used, requirements to conduct privacy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20"/>
          </w:cols>
          <w:pgMar w:left="320" w:top="455" w:right="3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data processors. The GDPR also imposes strict rules on the transfer of personal data outside of the EEA to countries that do not ensure an adequate level of protection, like the U.S. Failure to comply with the requirements of the GDPR and the related national data protection laws of the EEA Member States may result in fines up to 20 million euros or 4% of a company’s global annual revenues for the preceding financial year, whichever is higher. Moreover, the GDPR grants data subjects the right to request deletion of personal information in certain circumstances, and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mechanisms ensuring compliance with the new data protection rules. This may be onerous and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As of November 30, 2020, we had 17 full-time employees, one part-time employee and two consultants. Eight of our employees have M.D. or Ph.D. degrees. Within our workforce, seven employees are engaged in research and development and nine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Cambridge, Massachusetts, where we sublease and occupy approximately 7,531 square feet of office space. The current term of our Cambridge lease expires June 30, 2024.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20"/>
          </w:cols>
          <w:pgMar w:left="320" w:top="455" w:right="3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and discussion sets forth the name, age, as of November 30, 2020, and position of the individuals who currently serve as directors and executive officers of Cullinan Oncology, LLC and will begin to serve as the directors and executive officers of our wholly-owned subsidiary Cullinan Management following the completion of the Reorganization. The following also includes certain information regarding our directors’ and officers’ individual experience, qualifications, attributes and skills and brief statements of those aspects of our directors’ backgrounds that led us to conclude that they are qualified to serve as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r>
      <w:tr>
        <w:trPr>
          <w:trHeight w:val="28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Owen Hughes</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46</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68"/>
        </w:trPr>
        <w:tc>
          <w:tcPr>
            <w:tcW w:w="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Trigilio</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36</w:t>
            </w: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Michaelson, Ph.D.</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53</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Development Officer, Biologics</w:t>
            </w:r>
          </w:p>
        </w:tc>
      </w:tr>
      <w:tr>
        <w:trPr>
          <w:trHeight w:val="68"/>
        </w:trPr>
        <w:tc>
          <w:tcPr>
            <w:tcW w:w="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Wigginton, M.D.</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59</w:t>
            </w: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8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Leigh Zawel, Ph.D.</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55</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Scientific Officer, Small Molecules</w:t>
            </w:r>
          </w:p>
        </w:tc>
      </w:tr>
      <w:tr>
        <w:trPr>
          <w:trHeight w:val="68"/>
        </w:trPr>
        <w:tc>
          <w:tcPr>
            <w:tcW w:w="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r>
      <w:tr>
        <w:trPr>
          <w:trHeight w:val="28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Rosenberg</w:t>
            </w:r>
            <w:r>
              <w:rPr>
                <w:rFonts w:ascii="Times New Roman" w:cs="Times New Roman" w:eastAsia="Times New Roman" w:hAnsi="Times New Roman"/>
                <w:sz w:val="15"/>
                <w:szCs w:val="15"/>
                <w:color w:val="auto"/>
              </w:rPr>
              <w:t>(1)(2)(3)</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67</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Chairperson, Director</w:t>
            </w:r>
          </w:p>
        </w:tc>
      </w:tr>
      <w:tr>
        <w:trPr>
          <w:trHeight w:val="68"/>
        </w:trPr>
        <w:tc>
          <w:tcPr>
            <w:tcW w:w="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 Anderson</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w:t>
            </w: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Ebeling</w:t>
            </w:r>
            <w:r>
              <w:rPr>
                <w:rFonts w:ascii="Times New Roman" w:cs="Times New Roman" w:eastAsia="Times New Roman" w:hAnsi="Times New Roman"/>
                <w:sz w:val="15"/>
                <w:szCs w:val="15"/>
                <w:color w:val="auto"/>
              </w:rPr>
              <w:t>(1)(3)</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61</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68"/>
        </w:trPr>
        <w:tc>
          <w:tcPr>
            <w:tcW w:w="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Ansbert Gadicke, M.D.</w:t>
            </w:r>
            <w:r>
              <w:rPr>
                <w:rFonts w:ascii="Times New Roman" w:cs="Times New Roman" w:eastAsia="Times New Roman" w:hAnsi="Times New Roman"/>
                <w:sz w:val="15"/>
                <w:szCs w:val="15"/>
                <w:color w:val="auto"/>
              </w:rPr>
              <w:t>(2)(3)</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62</w:t>
            </w: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Morana Jovan-Embiricos, Ph.D.</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53</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68"/>
        </w:trPr>
        <w:tc>
          <w:tcPr>
            <w:tcW w:w="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0" w:type="dxa"/>
            <w:vAlign w:val="bottom"/>
          </w:tcPr>
          <w:p>
            <w:pPr>
              <w:spacing w:after="0"/>
              <w:rPr>
                <w:sz w:val="5"/>
                <w:szCs w:val="5"/>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Webster</w:t>
            </w:r>
            <w:r>
              <w:rPr>
                <w:rFonts w:ascii="Times New Roman" w:cs="Times New Roman" w:eastAsia="Times New Roman" w:hAnsi="Times New Roman"/>
                <w:sz w:val="15"/>
                <w:szCs w:val="15"/>
                <w:color w:val="auto"/>
              </w:rPr>
              <w:t>(1)(2)(3)</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59</w:t>
            </w: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31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firstLine="44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Owen Hughes </w:t>
      </w:r>
      <w:r>
        <w:rPr>
          <w:rFonts w:ascii="Times New Roman" w:cs="Times New Roman" w:eastAsia="Times New Roman" w:hAnsi="Times New Roman"/>
          <w:sz w:val="17"/>
          <w:szCs w:val="17"/>
          <w:color w:val="auto"/>
        </w:rPr>
        <w:t>Mr. Hughes has served as our Chief Executive Officer and member of our board of directors since September 2017. Before joining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Mr. Hughes served as the Chief Business Officer and Head of Corporate Development at Intarcia Therapeutics, Inc. from February 2013 through August 2017. Prior to this, he was a Director at Brookside Capital Investors, L.P., or Brookside Capital, a hedge fund under the Bain Capital, LP umbrella, from May 2008 through February 2013. Prior to his tenure at Brookside Capital, Mr. Hughes was Senior Portfolio Manager at Pyramis Global Advisors LLC, a Fidelity Investments Company, from May 2006 to May 2008. Mr. Hughes has more than 16 years of Wall Street experience, on both the buy and sell-side. He currently serves as the Chairman of the board of directors of Radius Health, Inc. (Nasdaq: RDUS), as well as board member at Translate Bio, Inc. (Nasdaq: TBIO), and Wren Therapeutics, Inc., a private company. Mr. Hughes holds a B.A. in history from Dartmouth College. We believe that Mr. Hughes is qualified to serve as a member of our board of directors due to his extensive leadership experience in the biopharmaceutical industry.</w:t>
      </w:r>
    </w:p>
    <w:p>
      <w:pPr>
        <w:spacing w:after="0" w:line="172" w:lineRule="exact"/>
        <w:rPr>
          <w:sz w:val="20"/>
          <w:szCs w:val="20"/>
          <w:color w:val="auto"/>
        </w:rPr>
      </w:pPr>
    </w:p>
    <w:p>
      <w:pPr>
        <w:jc w:val="both"/>
        <w:ind w:right="12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Trigilio </w:t>
      </w:r>
      <w:r>
        <w:rPr>
          <w:rFonts w:ascii="Times New Roman" w:cs="Times New Roman" w:eastAsia="Times New Roman" w:hAnsi="Times New Roman"/>
          <w:sz w:val="18"/>
          <w:szCs w:val="18"/>
          <w:color w:val="auto"/>
        </w:rPr>
        <w:t>Mr. Trigilio has served as our Chief Financial Officer since September 2020. Before joining the Company, Mr. Trigilio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at Amylyx Pharmaceuticals, Inc. from January 2020 through July 2020. Prior to this, he was Vice President, Corporate Finance at BlueRock Therapeutics, Inc. from August 2018 through January 2020. Prior to his tenure at BlueRock Therapeutics, Inc., Mr. Trigilio was 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40"/>
          </w:cols>
          <w:pgMar w:left="320" w:top="455"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Director, Healthcare Investment Banking at RBC Capital Markets LLC from November 2017 through August 2018. He previously served in increasing roles of responsibility at Alexion Pharmaceuticals, Inc. from April 2013 through November 2017 and at Credit Suisse Securities from July 2008 to March 2013. Mr. Trigilio holds a B.A. in Industrial and Labor Relations from Cornell University and an M.B.A. from Columbia University.</w:t>
      </w:r>
    </w:p>
    <w:p>
      <w:pPr>
        <w:spacing w:after="0" w:line="17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Michaelson, Ph.D. </w:t>
      </w:r>
      <w:r>
        <w:rPr>
          <w:rFonts w:ascii="Times New Roman" w:cs="Times New Roman" w:eastAsia="Times New Roman" w:hAnsi="Times New Roman"/>
          <w:sz w:val="18"/>
          <w:szCs w:val="18"/>
          <w:color w:val="auto"/>
        </w:rPr>
        <w:t>Dr. Michaelson has served in increasing roles of responsibility at the Company since January 2018, most recently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Development Officer, Biologics since January 2020 and previously as Vice President, Preclinical Research and Early Development from January 2018 through December 2019. Before joining the Company, Dr. Michaelson served as the Head of Biologics at Celsius Therapeutics, Inc. from July 2017 through December 2017. Prior to this, she served in increasing roles of responsibility at Jounce Therapeutics, Inc., from September 2012 through July 2017, most recently as Senior Director and Executive Program Leader and previously as Director of Tumor Immunology and as a consultant. Previously, during her 10 year tenure at Biogen Idec Inc., Dr. Michaelson served as project leader for several monoclonal antibody and bispecific antibody programs in both the Oncology and Immunology therapeutic areas. Dr. Michaelson holds a B.A. in Biology from Princeton University and Ph.D from the Department of Cell Biology at Albert Einstein College of Medicine, and completed a post-doctoral fellowship in Philip Leder’s laboratory in the Department of Genetics at Harvard Medical School.</w:t>
      </w:r>
    </w:p>
    <w:p>
      <w:pPr>
        <w:spacing w:after="0" w:line="18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Wigginton, M.D. </w:t>
      </w:r>
      <w:r>
        <w:rPr>
          <w:rFonts w:ascii="Times New Roman" w:cs="Times New Roman" w:eastAsia="Times New Roman" w:hAnsi="Times New Roman"/>
          <w:sz w:val="18"/>
          <w:szCs w:val="18"/>
          <w:color w:val="auto"/>
        </w:rPr>
        <w:t>Dr. Wigginton has served as our Chief Medical Officer since April 2020. Dr. Wigginton also serves as an Advisor at MPM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since April 2020. Before joining the Company, Dr. Wigginton was the Chief Medical Officer of MacroGenics, Inc. from August 2013 through March 2020, where he led the company’s evolution of a fully-integrated, clinical-stage cancer immunotherapy organization. Prior to this, he served as the Therapeutic Area Head, Immuno-Oncology, Early Clinical Research and Executive Director, Discovery Medicine-Clinical Oncology at Bristol Myers Squibb Co., or Bristol Myers from October 2008 to August 2013. While there, he led the early clinical development of the Bristol Myers’ Immuno-Oncology portfolio including anti-PD-1 and anti-PD-L1 among others. Prior to joining Bristol Myers, Dr. Wigginton was the Director of Clinical Oncology at Merck Research Laboratories Inc. from May 2006 to October 2008, where he led early- and late-stage clinical development teams for small molecules and biologics. During his academic career, Dr. Wigginton served in the Center for Cancer Research, the intramural division of the National Cancer Institute, from July 1992 through May 2007, where he was Head of the Investigational Biologics Section, NCI-CCR, and led an integrated basic, translational and clinical research program focused on combination immunotherapy for cancer, with an emphasis on cytokine-based combinations. Dr. Wigginton holds a B.S. in Biology and an M.D. from the University of Michigan.</w:t>
      </w:r>
    </w:p>
    <w:p>
      <w:pPr>
        <w:spacing w:after="0" w:line="182"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Leigh Zawel, Ph.D. </w:t>
      </w:r>
      <w:r>
        <w:rPr>
          <w:rFonts w:ascii="Times New Roman" w:cs="Times New Roman" w:eastAsia="Times New Roman" w:hAnsi="Times New Roman"/>
          <w:sz w:val="18"/>
          <w:szCs w:val="18"/>
          <w:color w:val="auto"/>
        </w:rPr>
        <w:t>Dr. Zawel has served as our Chief Scientific Officer, Small Molecules since August 2017. Dr. Zawel also currently serves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Partner at MPM Capital since August 2017. Before joining the Company, Dr. Zawel led Pfizer Inc.’s Center for Therapeutic Innovation and worked as the site head for Pfizer’s New York and Boston offices from October 2013 through July 2017. Prior to this, he was the oncology site lead at Merck Research Laboratories Inc. Boston from June 2010 through October 2013, where he was responsible for drug discovery efforts focused on the identification of development candidates for programs in the oncology franchise. Dr. Zawel previously worked at Sanofi-Aventis S.A., where he was Director of Cancer Biology, and Novartis Institutes for Biomedical Research/Oncology from 1999 through 2010, where he served in increasing roles of responsibility, most recently as an Oncology Group Leader. Dr. Zawel holds a M.S. in Bacteriology from the University of Wisconsin, a B.S. in Biology from Rutgers University, a Ph.D. in Biochemistry from the University of Medicine and Dentistry of New Jersey and completed his postdoctoral training at Johns Hopkins University School of Medicine.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right="2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Rosenberg </w:t>
      </w:r>
      <w:r>
        <w:rPr>
          <w:rFonts w:ascii="Times New Roman" w:cs="Times New Roman" w:eastAsia="Times New Roman" w:hAnsi="Times New Roman"/>
          <w:sz w:val="18"/>
          <w:szCs w:val="18"/>
          <w:color w:val="auto"/>
        </w:rPr>
        <w:t>Mr. Rosenberg has served as a member of our board of directors since August 2017 and as the Chairperson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April 2020. Currently, Mr. Rosenberg serves as the Chief Executive Officer of TR Advisory Services GmbH, a consultancy firm advising on business development,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40"/>
          </w:cols>
          <w:pgMar w:left="320" w:top="455" w:right="3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licensing, and mergers and acquisitions. From April 2015 to April 2020, Mr. Rosenberg served as a Managing Director of MPM Capital. From January 2012 to February 2015, Mr. Rosenberg served as Corporate Head of M&amp;A and Licensing at Novartis. Mr. Rosenberg currently serves on the board of directors of argenx SE (Nasdaq: ARGX) and Radius Health, Inc. (Nasdaq: RDUS). Mr. Rosenberg holds a B.Sc. from the University of Leicester and a M.Sc. Physiology from the University of London. We believe that Mr. Rosenberg is qualified to serve as a member of our board of directors due to his extensive tenure in biotech operations and strategic management.</w:t>
      </w:r>
    </w:p>
    <w:p>
      <w:pPr>
        <w:spacing w:after="0" w:line="17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Anderson </w:t>
      </w:r>
      <w:r>
        <w:rPr>
          <w:rFonts w:ascii="Times New Roman" w:cs="Times New Roman" w:eastAsia="Times New Roman" w:hAnsi="Times New Roman"/>
          <w:sz w:val="18"/>
          <w:szCs w:val="18"/>
          <w:color w:val="auto"/>
        </w:rPr>
        <w:t>Mr. Anderson has served on our Board of Directors since December 2019. Since July 2014, Mr. Anderson serves as a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Research and a co-founding member of Cowen Healthcare Investments. Mr. Anderson focuses on investments in life science and digital medicine companies that have the potential to meaningfully address serious medical conditions. Prior to his role at Cowen Healthcare Investments LP, Mr. Anderson was a biotechnology investment banker on Cowen and Company LLC’s healthcare investment banking team. Mr. Anderson is currently a member of the board of directors of several private companies, including Cadent Therapeutics, Inc., VectivBio Holding AG, F2G Ltd., and Autobahn Therapeutics Inc. Mr. Anderson holds a B.A. in economics from Bowdoin College. We believe Mr. Anderson is qualified to serve as a member of our Board of Directors because of his extensive experience in the life sciences industry and in investment management. Mr. Anderson has notified us that he will resign from our board of directors immediately prior to the effectiveness of the registration statement of which this prospectus forms a part. Mr. Anderson’s resignation is not due to any disagreement with the Company or any matters relating to our operations, policies or practices.</w:t>
      </w:r>
    </w:p>
    <w:p>
      <w:pPr>
        <w:spacing w:after="0" w:line="188"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Ebeling </w:t>
      </w:r>
      <w:r>
        <w:rPr>
          <w:rFonts w:ascii="Times New Roman" w:cs="Times New Roman" w:eastAsia="Times New Roman" w:hAnsi="Times New Roman"/>
          <w:sz w:val="18"/>
          <w:szCs w:val="18"/>
          <w:color w:val="auto"/>
        </w:rPr>
        <w:t>Mr. Ebeling has served as a member of our board of directors since August 2017. Most recently, Mr. Ebeling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ProSiebenSat.1 Media SE from March 2009 through February 2018. Mr. Ebeling previously served as the Chief Executive Officer of Novartis Consumer Health from October 2007 through October 2008, and as Chief Executive Officer of Novartis Pharmaceuticals Corporation from July 2000 through September 2007. He served in numerous leadership roles at the PepsiCo Germany from 1991 through 1996 Mr. Ebeling served on the board of directors of Bayer AG from April 2012 to September 2019 and on the board of directors of Lonza Group AG from March 2013 to March 2017.</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Mr. Ebeling holds a B.S. in Psychology from the University of Hamburg. We believe that Mr. Ebeling is qualified to serve as a member of our board of directors due to his extensive leadership experience in the life sciences industry.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Ansbert Gadicke, M.D. </w:t>
      </w:r>
      <w:r>
        <w:rPr>
          <w:rFonts w:ascii="Times New Roman" w:cs="Times New Roman" w:eastAsia="Times New Roman" w:hAnsi="Times New Roman"/>
          <w:sz w:val="18"/>
          <w:szCs w:val="18"/>
          <w:color w:val="auto"/>
        </w:rPr>
        <w:t>Dr. Gadicke has served as a member of our board of directors since our inception. Dr. Gadicke co-founded MPM Capital in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1997 and has since served as a Managing Director. Dr. Gadicke has been the driving force at MPM Capital behind building leading biopharmaceutical companies such as BioMarin Pharmaceuticals, Idenix Pharmaceuticals (acquired by Merck &amp; Co.), Mitobridge (acquired by Astellas), and Pharmasset (acquired by Gilead Sciences) and, more recently, iTeos Therapeutics (NASDAQ: ITOS) and AlloVir (NASDAQ: ALVR), both of which completed IPOs in 2020. Prior to that, Dr. Gadicke led MPM Capital’s Advisory and Investment Banking business from 1992 to 1996 and was in Boston Consulting Group’s Health Care Group from 1989 to 1992. He currently serves as a member of the board of directors of TCR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(Nasdaq: TCRR), iTeos Therapeutics SA (Nasdaq: ITOS) and AlloVir, Inc., or AlloVir (Nasdaq: ALVR). Previously, Dr. Gadicke also served on the board of directors of publicly traded biopharmaceutical companies Radius Health, Inc. (Nasdaq: RDUS) and Chiasma, Inc. (Nasdaq: CHMA). Dr. Gadicke is also a member of the Harvard Medical School Board of Fellows and the Research Advisory Council of Massachusetts General Hospital. Dr. Gadicke received his M.D. from J.W. Goethe University and has held research positions at the Whitehead Institute and Harvard University. While at the German Cancer Research Center, Dr. Gadicke focused on HPV16 and 18 in Professor Harald zur Hausen’s group (Nobel Laureate in Physiology or Medicine, 2008). We believe Dr. Gadicke is qualified to serve as a member of our Board of Directors because of his extensive experience in the life sciences industry and his experience working in the venture capital industry.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Morana Jovan-Embiricos, Ph.D. </w:t>
      </w:r>
      <w:r>
        <w:rPr>
          <w:rFonts w:ascii="Times New Roman" w:cs="Times New Roman" w:eastAsia="Times New Roman" w:hAnsi="Times New Roman"/>
          <w:sz w:val="18"/>
          <w:szCs w:val="18"/>
          <w:color w:val="auto"/>
        </w:rPr>
        <w:t>Dr. Jovan-Embiricos has served as a member of our board of directors since March 2017. In 2003,</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Dr. Jovan co-founded F2 Ventures Ltd., or F2 Ventures, a biotech venture capital platform and has since served as its Managing Partner. Prior to joining F2 Ventures, Dr. Jovan was a partner at MPM Capital from July 2000 to July 2005, where she worked both on the investment side and directly with portfolio companies to help attain critical business development milestones. Dr. Jovan-Embiricos currently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00"/>
          </w:cols>
          <w:pgMar w:left="320" w:top="455" w:right="3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serves on the board of directors of and AlloVir (Nasdaq: ALVR) and previously served on the board of directors of TCR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(Nasdaq: TCRR) and Radius Health Inc. (Nasdaq: RDUS). Dr. Jovan-Embiricos currently serves on the board of directors of several private companies, including ElevateBio LLC and Damon Runyon Cancer Institute. Dr. Jovan-Embiricos received her Ph.D. in biophysical chemistry from the University of Cambridge and was a post-doctoral fellow at Harvard University. We believe Dr. Jovan-Embiricos is qualified to serve as a member of our Board of Directors because of her scientific background and experience in the venture capital industry.</w:t>
      </w:r>
    </w:p>
    <w:p>
      <w:pPr>
        <w:spacing w:after="0" w:line="179" w:lineRule="exact"/>
        <w:rPr>
          <w:sz w:val="20"/>
          <w:szCs w:val="20"/>
          <w:color w:val="auto"/>
        </w:rPr>
      </w:pPr>
    </w:p>
    <w:p>
      <w:pPr>
        <w:ind w:right="2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Webster </w:t>
      </w:r>
      <w:r>
        <w:rPr>
          <w:rFonts w:ascii="Times New Roman" w:cs="Times New Roman" w:eastAsia="Times New Roman" w:hAnsi="Times New Roman"/>
          <w:sz w:val="18"/>
          <w:szCs w:val="18"/>
          <w:color w:val="auto"/>
        </w:rPr>
        <w:t>Mr. Webster has served on our board of directors since September 2020. Mr. Webster served as the Chief Financial Officer of Spark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Inc. from July 2014 until its acquisition by Roche Holding AG for $4.8 billion in December 2019. He was previously Senior Vice President and Chief Financial Officer of Optimer Pharmaceuticals Inc. from July 2012 until its acquisition by Cubist Pharmaceuticals Inc. in October 2013.</w:t>
      </w:r>
    </w:p>
    <w:p>
      <w:pPr>
        <w:spacing w:after="0"/>
        <w:rPr>
          <w:sz w:val="20"/>
          <w:szCs w:val="20"/>
          <w:color w:val="auto"/>
        </w:rPr>
      </w:pPr>
      <w:r>
        <w:rPr>
          <w:rFonts w:ascii="Times New Roman" w:cs="Times New Roman" w:eastAsia="Times New Roman" w:hAnsi="Times New Roman"/>
          <w:sz w:val="18"/>
          <w:szCs w:val="18"/>
          <w:color w:val="auto"/>
        </w:rPr>
        <w:t>Mr. Webster currently serves on the board of directors of NextCure, Inc. (Nasdaq: NXTC), Nabriva Therapeutics AG (formerly Nabriva Therapeutics plc)</w:t>
      </w:r>
    </w:p>
    <w:p>
      <w:pPr>
        <w:spacing w:after="0" w:line="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(Nasdaq: NBRV) and TCR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(Nasdaq: TCRR). Mr. Webster received an A.B. in Economics from Dartmouth College and an M.B.A. in Finance from The Wharton School of the University of Pennsylvania. We believe Mr. Webster is qualified to serves as a member of our board of directors due to his extensive experience in the biopharmaceutical industry, including his prior experience as a chief financial officer and in other management positions.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ind w:right="140" w:firstLine="449"/>
        <w:spacing w:after="0" w:line="252" w:lineRule="auto"/>
        <w:rPr>
          <w:sz w:val="20"/>
          <w:szCs w:val="20"/>
          <w:color w:val="auto"/>
        </w:rPr>
      </w:pPr>
      <w:r>
        <w:rPr>
          <w:rFonts w:ascii="Times New Roman" w:cs="Times New Roman" w:eastAsia="Times New Roman" w:hAnsi="Times New Roman"/>
          <w:sz w:val="18"/>
          <w:szCs w:val="18"/>
          <w:color w:val="auto"/>
        </w:rPr>
        <w:t>Our board of directors consists of seven members, each of whom are members pursuant to the board composition provisions of our third amended and restated limited liability company agreement and agreements with our stockholders. These board composition provisions will terminate at the time of the Reorganization.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that will become effective immediately prior to the closing of this offering will provide that our directors may be removed only for cause by the affirmative vote of the holders of at</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least two-thirds of the votes that all our stockholders would be entitled to cast in an annual election of directors, and our amended and restated bylaws that will become effective upon the effectiveness of the registration statement of which this prospectus is a part will provide that any vacancy on our board of directors, including a vacancy resulting from an enlargement of our board of directors, may be filled only by vote of a majority of our directors then in office.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applied to list our common stock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20"/>
          </w:cols>
          <w:pgMar w:left="320" w:top="455" w:right="3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Owen Hughes and Morana Jovan-Embiricos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Nasdaq and the rules and regulations of the SEC. There are no family relationships among any of our directors or executive officers. Mr. Hughes is not an independent director under these rules because he is an executive officer of the Company. Ms. Jovan-Embiricos is not an independent director under these rules because she receives compensation as a consultant to the Company.</w:t>
      </w:r>
    </w:p>
    <w:p>
      <w:pPr>
        <w:spacing w:after="0" w:line="184" w:lineRule="exact"/>
        <w:rPr>
          <w:sz w:val="20"/>
          <w:szCs w:val="20"/>
          <w:color w:val="auto"/>
        </w:rPr>
      </w:pPr>
    </w:p>
    <w:p>
      <w:pPr>
        <w:ind w:right="10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Staggered 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with the terms of our amended and restated certificate of incorporation that will become effective upon the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this offering and amended and restated bylaws that will become effective upon the effectiveness of the registration statement of which this prospectus is a part,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2021 for Class I directors, 2022 for Class II directors and 2023 for Class III directors.</w:t>
      </w:r>
    </w:p>
    <w:p>
      <w:pPr>
        <w:spacing w:after="0" w:line="92" w:lineRule="exact"/>
        <w:rPr>
          <w:sz w:val="20"/>
          <w:szCs w:val="20"/>
          <w:color w:val="auto"/>
        </w:rPr>
      </w:pPr>
    </w:p>
    <w:p>
      <w:pPr>
        <w:ind w:left="1000" w:hanging="54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will be Thomas Ebeling and Morana Jovan-Embiricos;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will be Ansbert Gadicke and Anthony Rosenberg;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will be Owen Hughes and Stephen Webster.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and amended and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restated bylaws that will become effective upon the effectiveness of the registration statement of which this prospectus is a part provide that the number of our directors shall be fixed from time to time by a resolution of the majority of our board of directors.</w:t>
      </w:r>
    </w:p>
    <w:p>
      <w:pPr>
        <w:spacing w:after="0" w:line="18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stockholder efforts to effect a change of our management or a change of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and a compensation committee, and plans on establishing a nominating and corporate governance committee, each of which will operate pursuant to a charter to be adopted by our board of directors and which will be effective upon the effectiveness of the registration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40"/>
          </w:cols>
          <w:pgMar w:left="320" w:top="455" w:right="3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statement of which this prospectus is a part. The board of directors may also establish other committees from time to time to assist the Company and the board of directors. Upon the effectiveness of the registration statement of which this prospectus is a part, the composition and functioning of all of our committees will comply with all applicable requirements of the Sarbanes-Oxley Act of 2002, Nasdaq and SEC rules and regulations, if applicable. Upon our listing on Nasdaq, each committee’s charter will be available on our website at www.cullinanoncology.com. The reference to our website address does not constitute incorporation by reference of the information contained at or available through our website, and you should not consider it to be part of this prospectus.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Effective upon completion of this offering, Thomas Ebeling, Anthony Rosenberg and Stephen Webster will serve on the audit committee, which will be chaired by Mr. Webster. Our board of directors has determined that each are “independent” for audit committee purposes as that term is defined in the rules of the SEC and the applicable Nasdaq rules, and has sufficient knowledge in financial and auditing matters to serve on the audit committee. Our board of directors has designated Mr. Webster as an “audit committee financial expert,” as defined under the applicable rules of the SEC. The audit committee’s responsibilities include:</w:t>
      </w:r>
    </w:p>
    <w:p>
      <w:pPr>
        <w:spacing w:after="0" w:line="89" w:lineRule="exact"/>
        <w:rPr>
          <w:sz w:val="20"/>
          <w:szCs w:val="20"/>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Effective upon completion of this offering, Ansbert Gadicke, Anthony Rosenberg and Stephen Webster will serve on the compensation committee, which will be chaired by Mr. Rosenberg. Our board of directors has determined that each is “independent” under the applicable rules and regulations of Nasdaq, and is a “non-employee director” as defined in Rule 16b-3 promulgated under the Exchange Act. We intend to rely on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20"/>
          </w:cols>
          <w:pgMar w:left="320" w:top="455" w:right="3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Nasdaq transition rules applicable to companies completing an initial public offering, and we plan to have a compensation committee comprised solely of directors that are independent for purposes of serving on a compensation committee within one year after our listing. The compensation committee’s responsibilities include:</w:t>
      </w:r>
    </w:p>
    <w:p>
      <w:pPr>
        <w:spacing w:after="0" w:line="81" w:lineRule="exact"/>
        <w:rPr>
          <w:sz w:val="20"/>
          <w:szCs w:val="20"/>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the compensation of our Chief Executive Officer;</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disclosure to be included in our annual proxy statement or Annual Report on Form 10-K;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the corporate succession plans for the Chief Executive Officer and other key officers.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Effective upon completion of this offering Thomas Ebeling, Ansbert Gadicke, Anthony Rosenberg, and Stephen Webster will serve on the nominating and corporate governance committee, which will be chaired by Mr. Ebeling. Our board of directors has determined that each is “independent” as defined in the applicable Nasdaq rules. The nominating and corporate governance committee’s responsibilities include:</w:t>
      </w:r>
    </w:p>
    <w:p>
      <w:pPr>
        <w:spacing w:after="0" w:line="81" w:lineRule="exact"/>
        <w:rPr>
          <w:sz w:val="20"/>
          <w:szCs w:val="20"/>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board of directors to ensure that it is composed of members containing the appropriate skills and expertise to advise us;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determining a code of business conduct and ethics and a set of corporate governance guidelines;</w:t>
      </w:r>
    </w:p>
    <w:p>
      <w:pPr>
        <w:spacing w:after="0" w:line="130" w:lineRule="exact"/>
        <w:rPr>
          <w:rFonts w:ascii="Times New Roman" w:cs="Times New Roman" w:eastAsia="Times New Roman" w:hAnsi="Times New Roman"/>
          <w:sz w:val="18"/>
          <w:szCs w:val="18"/>
          <w:color w:val="auto"/>
        </w:rPr>
      </w:pPr>
    </w:p>
    <w:p>
      <w:pPr>
        <w:jc w:val="center"/>
        <w:ind w:left="5480" w:right="440" w:hanging="5027"/>
        <w:spacing w:after="0" w:line="454" w:lineRule="auto"/>
        <w:tabs>
          <w:tab w:leader="none" w:pos="99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mechanism by which violations of the code of business conduct and ethics can be reported in a confidential manner; and 196</w:t>
      </w:r>
    </w:p>
    <w:p>
      <w:pPr>
        <w:sectPr>
          <w:pgSz w:w="11900" w:h="16838" w:orient="portrait"/>
          <w:cols w:equalWidth="0" w:num="1">
            <w:col w:w="11080"/>
          </w:cols>
          <w:pgMar w:left="320" w:top="455" w:right="49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5280" w:hanging="7"/>
        <w:spacing w:after="0" w:line="578" w:lineRule="auto"/>
        <w:tabs>
          <w:tab w:leader="none" w:pos="101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 and management. Our board of directors may from time to time establish other committees.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 xml:space="preserve">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t>
      </w:r>
      <w:r>
        <w:rPr>
          <w:rFonts w:ascii="Times New Roman" w:cs="Times New Roman" w:eastAsia="Times New Roman" w:hAnsi="Times New Roman"/>
          <w:sz w:val="18"/>
          <w:szCs w:val="18"/>
          <w:i w:val="1"/>
          <w:iCs w:val="1"/>
          <w:color w:val="auto"/>
        </w:rPr>
        <w:t>https://cullinanoncology.com</w:t>
      </w:r>
      <w:r>
        <w:rPr>
          <w:rFonts w:ascii="Times New Roman" w:cs="Times New Roman" w:eastAsia="Times New Roman" w:hAnsi="Times New Roman"/>
          <w:sz w:val="18"/>
          <w:szCs w:val="18"/>
          <w:color w:val="auto"/>
        </w:rPr>
        <w:t>. We intend to disclose any substantive amendments to the code, or any waivers of its requirements, on our website or in a Current Report on Form 8-K.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Currently, the role of chairman of the board of directors is separated from the role of Chief Executive Officer. Our Chief Executive Officer is responsible for recommending strategic decisions and capital allocation to the board of directors and to ensure the execution of the recommended plans. The chairman of the board of directors is responsible for leading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of the chairman of our board of directors, particularly as the board of directors’ oversight responsibilities continue to grow. While our amended and restated bylaws that will become effective upon the effectiveness of the registration statement of which this prospectus is a part and corporate governance guidelines will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7"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20"/>
          </w:cols>
          <w:pgMar w:left="320" w:top="455" w:right="3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permitted by Delaware law, provisions in our amended and restated certificate of incorporation which will become effective immediately prior to the closing of this offering, and amended and restated bylaws which will become effective upon the effectiveness of this registration statement,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93" w:lineRule="exact"/>
        <w:rPr>
          <w:sz w:val="20"/>
          <w:szCs w:val="20"/>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00" w:right="820" w:hanging="547"/>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that will become effective immediately prior to the closing of this offering also authorizes us to indemnify our officers, directors and other agents to the fullest extent permitted under Delaware law.</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permitted by Delaware law, our amended and restated bylaws to be effective upon the effectiveness of this registration statement will provide that:</w:t>
      </w:r>
    </w:p>
    <w:p>
      <w:pPr>
        <w:spacing w:after="0" w:line="142" w:lineRule="exact"/>
        <w:rPr>
          <w:sz w:val="20"/>
          <w:szCs w:val="20"/>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to be effective upon the effectiveness of this registration statement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that will be provided for in our amended and restated certificate of incorporation to be effective immediately prior to the closing of this offering and amended and restated bylaws to be effective upon the effectiveness of this registration statement,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This description of the indemnification provisions of our amended and restated certificate of incorporation to be effective immediately prior to the closing of this offering, our amended and restated bylaws to be effective upon the effectiveness of this registration statement and our indemnification agreements is qualified in its entirety by reference to these documents, each of which is attached as an exhibit to the registration statement of which this prospectus forms a part.</w:t>
      </w:r>
    </w:p>
    <w:p>
      <w:pPr>
        <w:spacing w:after="0" w:line="180"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60"/>
          </w:cols>
          <w:pgMar w:left="320" w:top="455" w:right="41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currently planned programs as summarized in this discussion.</w:t>
      </w:r>
    </w:p>
    <w:p>
      <w:pPr>
        <w:spacing w:after="0" w:line="176"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compensation provided to our named executive officers for the fiscal year ended December 31, 2019 is detailed in the Summary Compensation Table and accompanying footnotes and narrative that follow this section. Our named executive officers for the fiscal year ended December 31, 2019, which consists of our Chief Executive Officer and our two most highly compensated consultants other than our Chief Executive Officer, are:</w:t>
      </w:r>
    </w:p>
    <w:p>
      <w:pPr>
        <w:spacing w:after="0" w:line="81" w:lineRule="exact"/>
        <w:rPr>
          <w:sz w:val="20"/>
          <w:szCs w:val="20"/>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Owen Hughes, our Chief Executive Officer;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Baeuerle, Ph.D., our Acting Chief Scientific Officer, Biologics;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Corinne Savill, Ph.D., our Acting Chief Business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compensation awarded to, earned by or paid to our named executive officers for services rendered to us in all capacities during the fiscal year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&amp; Principal Position</w:t>
            </w:r>
          </w:p>
        </w:tc>
        <w:tc>
          <w:tcPr>
            <w:tcW w:w="49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6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right"/>
              <w:ind w:right="9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900" w:type="dxa"/>
            <w:vAlign w:val="bottom"/>
          </w:tcPr>
          <w:p>
            <w:pPr>
              <w:jc w:val="right"/>
              <w:ind w:right="219"/>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60" w:type="dxa"/>
            <w:vAlign w:val="bottom"/>
          </w:tcPr>
          <w:p>
            <w:pPr>
              <w:spacing w:after="0"/>
              <w:rPr>
                <w:sz w:val="15"/>
                <w:szCs w:val="15"/>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Owen Hughes</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2019</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450,000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96,800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560,800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Baeuerle, Ph.D.</w:t>
            </w:r>
            <w:r>
              <w:rPr>
                <w:rFonts w:ascii="Times New Roman" w:cs="Times New Roman" w:eastAsia="Times New Roman" w:hAnsi="Times New Roman"/>
                <w:sz w:val="15"/>
                <w:szCs w:val="15"/>
                <w:color w:val="auto"/>
              </w:rPr>
              <w:t>(3)</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420,895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107,502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562,797</w:t>
            </w:r>
          </w:p>
        </w:tc>
        <w:tc>
          <w:tcPr>
            <w:tcW w:w="0" w:type="dxa"/>
            <w:vAlign w:val="bottom"/>
          </w:tcPr>
          <w:p>
            <w:pPr>
              <w:spacing w:after="0"/>
              <w:rPr>
                <w:sz w:val="1"/>
                <w:szCs w:val="1"/>
                <w:color w:val="auto"/>
              </w:rPr>
            </w:pPr>
          </w:p>
        </w:tc>
      </w:tr>
      <w:tr>
        <w:trPr>
          <w:trHeight w:val="234"/>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Acting Chief Scientific Officer, Biologics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Savill, Ph.D.</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380,000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91,200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486,200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Acting Chief Business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240" w:hanging="452"/>
        <w:spacing w:after="0" w:line="261"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discretionary cash bonuses paid by us for the fiscal year ended December 31, 2019, based on our named executive officers’ performance during such fiscal year.</w:t>
      </w:r>
    </w:p>
    <w:p>
      <w:pPr>
        <w:ind w:left="460" w:right="22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401(k) matching contributions with respect to Mr. Hughes and the value of corporate apartments provided by us to each of Dr. Baeuerle and Dr. Savill.</w:t>
      </w:r>
    </w:p>
    <w:p>
      <w:pPr>
        <w:ind w:left="460" w:right="740" w:hanging="452"/>
        <w:spacing w:after="0" w:line="26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euros to U.S. dollars using the exchange rates in effect on the date payments were made to Dr. Baeuerle in 2019.</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2019, the annual base salary for Owen Hughes was $450,000, and the annualized consulting fees for Dr. Baeuerle and Dr. Savill were €370,000, and $380,000, respectively.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Bonus Arrangements</w:t>
      </w:r>
    </w:p>
    <w:p>
      <w:pPr>
        <w:spacing w:after="0" w:line="121"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Pursuant to the terms of his offer letter agreement, Mr. Hughes is eligible for a retention and performance bonus of up to 30% of his base salary. Dr. Baeuerle and Dr. Savill are eligible for retention and performance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40"/>
          </w:cols>
          <w:pgMar w:left="320" w:top="455" w:right="3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bonuses of up to 33% and 30%, respectively, of their annualized base consulting fees under the terms of their consulting agreements. Based on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the performance of the named executive officers during fiscal year 2019, the board awarded discretionary bonuses to Mr. Hughes,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Baeuerle, and Dr. Savill as set forth in the Summary Compensation Table above, which were approximately equal to 22%, 26% and 24%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annual base salary or consulting fees.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equity exchange described above under “Reorganization—Reorganization Equity Exchange,” each of Mr. Hughes and Drs.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Baeuerle and Savill received a cash bonus award of $37,500.</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have historically compensated our employees with incentive units of the Company in the form of profits interests and restricted stock awards, in each case, with respect to the equity of our subsidiaries. During the fiscal year ended December 31, 2019, we did not make any incentive unit grants.</w:t>
      </w:r>
    </w:p>
    <w:p>
      <w:pPr>
        <w:ind w:right="80"/>
        <w:spacing w:after="0" w:line="260" w:lineRule="auto"/>
        <w:rPr>
          <w:sz w:val="20"/>
          <w:szCs w:val="20"/>
          <w:color w:val="auto"/>
        </w:rPr>
      </w:pPr>
      <w:r>
        <w:rPr>
          <w:rFonts w:ascii="Times New Roman" w:cs="Times New Roman" w:eastAsia="Times New Roman" w:hAnsi="Times New Roman"/>
          <w:sz w:val="18"/>
          <w:szCs w:val="18"/>
          <w:color w:val="auto"/>
        </w:rPr>
        <w:t>Mr. Hughes, Dr. Baeuerle, and Dr. Savill were awarded the number of restricted shares of Cullinan Amber and Cullinan Florentine common stock set forth in the table below, for which each of the named executive officers paid the respective fair market value of such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500" w:type="dxa"/>
            <w:vAlign w:val="bottom"/>
            <w:vMerge w:val="restart"/>
          </w:tcPr>
          <w:p>
            <w:pPr>
              <w:spacing w:after="0"/>
              <w:rPr>
                <w:sz w:val="12"/>
                <w:szCs w:val="12"/>
                <w:color w:val="auto"/>
              </w:rPr>
            </w:pPr>
          </w:p>
        </w:tc>
        <w:tc>
          <w:tcPr>
            <w:tcW w:w="20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of Cullinan</w:t>
            </w: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Cullinan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2000" w:type="dxa"/>
            <w:vAlign w:val="bottom"/>
            <w:gridSpan w:val="2"/>
          </w:tcPr>
          <w:p>
            <w:pPr>
              <w:jc w:val="center"/>
              <w:ind w:right="8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Amber</w:t>
            </w:r>
          </w:p>
        </w:tc>
        <w:tc>
          <w:tcPr>
            <w:tcW w:w="11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Florentine</w:t>
            </w:r>
          </w:p>
        </w:tc>
        <w:tc>
          <w:tcPr>
            <w:tcW w:w="0" w:type="dxa"/>
            <w:vAlign w:val="bottom"/>
          </w:tcPr>
          <w:p>
            <w:pPr>
              <w:spacing w:after="0"/>
              <w:rPr>
                <w:sz w:val="1"/>
                <w:szCs w:val="1"/>
                <w:color w:val="auto"/>
              </w:rPr>
            </w:pPr>
          </w:p>
        </w:tc>
      </w:tr>
      <w:tr>
        <w:trPr>
          <w:trHeight w:val="203"/>
        </w:trPr>
        <w:tc>
          <w:tcPr>
            <w:tcW w:w="8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Owen Hughes</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108,261</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155,868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Baeuerle, Ph.D.</w:t>
            </w:r>
          </w:p>
        </w:tc>
        <w:tc>
          <w:tcPr>
            <w:tcW w:w="20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108,261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155,868</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Savill, Ph.D.</w:t>
            </w:r>
          </w:p>
        </w:tc>
        <w:tc>
          <w:tcPr>
            <w:tcW w:w="20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40,598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equity exchange described above under “Reorganization—Reorganization Equity Exchange,” the following anti-dilution and make-whole option grants were awarded to our named executive officers under the 2020 Unit Plan: Mr. Hughes, anti-dilution options in respect of 2,878,240 common units and make-whole options in respect of 3,188,348 common units; Dr. Baeuerle, anti-dilution options in respect of 1,845,026 common units and make-whole options in respect of 2,871,868 common units; and Dr. Savill, anti-dilution options in respect of 959,662 common units and make-whole options in respect of 351,054 common units. These options have an exercise price of $0.61 per common unit and vest as to 25% of the number of common units subject to the award on the first anniversary of the vesting commencement date, with the remaining portion of the award vesting over the following 36 months in equal monthly installments.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or service arrangements with our named executive officers</w:t>
      </w:r>
    </w:p>
    <w:p>
      <w:pPr>
        <w:spacing w:after="0" w:line="121" w:lineRule="exact"/>
        <w:rPr>
          <w:sz w:val="20"/>
          <w:szCs w:val="20"/>
          <w:color w:val="auto"/>
        </w:rPr>
      </w:pPr>
    </w:p>
    <w:p>
      <w:pPr>
        <w:jc w:val="both"/>
        <w:ind w:right="80" w:firstLine="449"/>
        <w:spacing w:after="0" w:line="289" w:lineRule="auto"/>
        <w:rPr>
          <w:sz w:val="20"/>
          <w:szCs w:val="20"/>
          <w:color w:val="auto"/>
        </w:rPr>
      </w:pPr>
      <w:r>
        <w:rPr>
          <w:rFonts w:ascii="Times New Roman" w:cs="Times New Roman" w:eastAsia="Times New Roman" w:hAnsi="Times New Roman"/>
          <w:sz w:val="17"/>
          <w:szCs w:val="17"/>
          <w:color w:val="auto"/>
        </w:rPr>
        <w:t>We initially entered into an employment agreement with Owen Hughes and consulting agreements with each of Patrick Baeuerle, Ph.D. and Corinne Savill, Ph.D., in connection with his or her employment or other service relationship with us. The employment agreements and consulting agreements with our named executive officers set forth the terms and conditions of each of the named executive officer’s employment or other service relationship.</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Arrangements in place during the fiscal year ended December 31, 2019 for named executive officers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Owen Hughes</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On May 1, 2017, we, through our wholly-owned subsidiary, Cullinan Management, entered into an offer letter with Owen Hughes, who currently serves as our Chief Executive Officer. The offer letter provides for Mr. Hughes’ at-will employment and sets forth his initial annual base salary, his initial target annual bonus opportunity, his initial equity grant and his eligibility to participate in our employee benefit plans generally. In addition, the offer letter also provides that in each instance where an “asset subsidiary” is formed and invested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40"/>
          </w:cols>
          <w:pgMar w:left="320" w:top="455" w:right="3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the Company, Mr. Hughes is entitled to an equity grant target of 2% of such subsidiary’s fully-diluted capitalization (which grants are included in the “Outstanding equity awards at fiscal year end” table below). In the event that Mr. Hughes’ employment is terminated by Cullinan Management, without “cause” as defined in Mr. Hughes’ offer letter, subject to Mr. Hughes’ execution of an effective release of claims in favor of the Company, Mr. Hughes will be entitled to cash severance equal to six (6) months of base salary, paid ratably in accordance with the Company’s regular payroll cycle. Mr. Hughes is subject to a confidentiality and assignment agreement with Cullinan Management, which includes non-competition and non-solicitation protections covering the three-month period following Mr. Hughes’ termination of employment.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Patrick Baeuerle, Ph.D.</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On January 1, 2019, we, through our wholly-owned subsidiary, Cullinan Management, entered into a consulting agreement, or the Baeuerle Consulting Agreement, with Dr. Baeuerle, who currently serves as our Acting Chief Scientific Officer, Biologics. The consulting agreement provides for Dr. Baeuerle’s service relationship with the Company and sets forth his consulting fees and initial target annual bonus opportunity as well as proprietary information and inventions provisions. The Baeuerle Consulting Agreement provided for his initial equity grant that entitles Dr. Baeuerle to incentive units equating to an ownership interest entitling him to 2.5% of distributions made by the LLC entity with respect to common units (which grant is included in the “Outstanding equity awards at fiscal year end” table below).</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Corinne Savill, Ph.D.</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On January 1, 2019, we, through our wholly-owned subsidiary, Cullinan Management, entered into a consulting agreement, or the Savill Consulting Agreement, with Dr. Saville, who currently serves as our Acting Chief Business Officer. The consulting agreement provides for Dr. Savill’s service relationship with the Company and sets forth her consulting fees and initial target annual bonus opportunity as well as proprietary information and inventions provisions. The Savill Consulting Agreement provided for her initial equity grant that entitles Dr. Savill to incentive units equating to an ownership interest entitling her to 1.5% of distributions made by the LLC entity with respect to common units (which grant is included in the “Outstanding equity awards at fiscal year end” table below). Dr. Savill is subject to the Cullinan Management’s standard proprietary information and inventions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our named executive officers as of December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700" w:type="dxa"/>
            <w:vAlign w:val="bottom"/>
            <w:tcBorders>
              <w:top w:val="single" w:sz="8" w:color="auto"/>
            </w:tcBorders>
            <w:gridSpan w:val="2"/>
          </w:tcPr>
          <w:p>
            <w:pPr>
              <w:jc w:val="center"/>
              <w:ind w:right="684"/>
              <w:spacing w:after="0" w:line="118" w:lineRule="exact"/>
              <w:rPr>
                <w:sz w:val="20"/>
                <w:szCs w:val="20"/>
                <w:color w:val="auto"/>
              </w:rPr>
            </w:pPr>
            <w:r>
              <w:rPr>
                <w:rFonts w:ascii="Times New Roman" w:cs="Times New Roman" w:eastAsia="Times New Roman" w:hAnsi="Times New Roman"/>
                <w:sz w:val="13"/>
                <w:szCs w:val="13"/>
                <w:b w:val="1"/>
                <w:bCs w:val="1"/>
                <w:color w:val="auto"/>
              </w:rPr>
              <w:t>Number shares</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664"/>
              <w:spacing w:after="0" w:line="149" w:lineRule="exact"/>
              <w:rPr>
                <w:sz w:val="20"/>
                <w:szCs w:val="20"/>
                <w:color w:val="auto"/>
              </w:rPr>
            </w:pPr>
            <w:r>
              <w:rPr>
                <w:rFonts w:ascii="Times New Roman" w:cs="Times New Roman" w:eastAsia="Times New Roman" w:hAnsi="Times New Roman"/>
                <w:sz w:val="14"/>
                <w:szCs w:val="14"/>
                <w:b w:val="1"/>
                <w:bCs w:val="1"/>
                <w:color w:val="auto"/>
              </w:rPr>
              <w:t>or units that</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700" w:type="dxa"/>
            <w:vAlign w:val="bottom"/>
            <w:gridSpan w:val="2"/>
          </w:tcPr>
          <w:p>
            <w:pPr>
              <w:jc w:val="center"/>
              <w:ind w:right="664"/>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700" w:type="dxa"/>
            <w:vAlign w:val="bottom"/>
            <w:gridSpan w:val="2"/>
          </w:tcPr>
          <w:p>
            <w:pPr>
              <w:jc w:val="center"/>
              <w:ind w:right="684"/>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0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85"/>
        </w:trPr>
        <w:tc>
          <w:tcPr>
            <w:tcW w:w="36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Owen Hughes</w:t>
            </w:r>
          </w:p>
        </w:tc>
        <w:tc>
          <w:tcPr>
            <w:tcW w:w="28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8/1/2017</w:t>
            </w:r>
          </w:p>
        </w:tc>
        <w:tc>
          <w:tcPr>
            <w:tcW w:w="5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1,287,000</w:t>
            </w:r>
          </w:p>
        </w:tc>
        <w:tc>
          <w:tcPr>
            <w:tcW w:w="760" w:type="dxa"/>
            <w:vAlign w:val="bottom"/>
            <w:tcBorders>
              <w:top w:val="single" w:sz="8" w:color="CCEEFF"/>
            </w:tcBorders>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w w:val="91"/>
              </w:rPr>
              <w:t>(2)</w:t>
            </w:r>
          </w:p>
        </w:tc>
        <w:tc>
          <w:tcPr>
            <w:tcW w:w="9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12/16/2019</w:t>
            </w:r>
          </w:p>
        </w:tc>
        <w:tc>
          <w:tcPr>
            <w:tcW w:w="170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108,261</w:t>
            </w:r>
            <w:r>
              <w:rPr>
                <w:rFonts w:ascii="Times New Roman" w:cs="Times New Roman" w:eastAsia="Times New Roman" w:hAnsi="Times New Roman"/>
                <w:sz w:val="15"/>
                <w:szCs w:val="15"/>
                <w:color w:val="auto"/>
              </w:rPr>
              <w:t>(3)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12/16/2019</w:t>
            </w:r>
          </w:p>
        </w:tc>
        <w:tc>
          <w:tcPr>
            <w:tcW w:w="170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155,868</w:t>
            </w:r>
            <w:r>
              <w:rPr>
                <w:rFonts w:ascii="Times New Roman" w:cs="Times New Roman" w:eastAsia="Times New Roman" w:hAnsi="Times New Roman"/>
                <w:sz w:val="15"/>
                <w:szCs w:val="15"/>
                <w:color w:val="auto"/>
              </w:rPr>
              <w:t>(4)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12/1/2018</w:t>
            </w:r>
          </w:p>
        </w:tc>
        <w:tc>
          <w:tcPr>
            <w:tcW w:w="170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279,915</w:t>
            </w:r>
            <w:r>
              <w:rPr>
                <w:rFonts w:ascii="Times New Roman" w:cs="Times New Roman" w:eastAsia="Times New Roman" w:hAnsi="Times New Roman"/>
                <w:sz w:val="15"/>
                <w:szCs w:val="15"/>
                <w:color w:val="auto"/>
              </w:rPr>
              <w:t>(5)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81,175</w:t>
            </w:r>
          </w:p>
        </w:tc>
        <w:tc>
          <w:tcPr>
            <w:tcW w:w="0" w:type="dxa"/>
            <w:vAlign w:val="bottom"/>
          </w:tcPr>
          <w:p>
            <w:pPr>
              <w:spacing w:after="0"/>
              <w:rPr>
                <w:sz w:val="1"/>
                <w:szCs w:val="1"/>
                <w:color w:val="auto"/>
              </w:rPr>
            </w:pPr>
          </w:p>
        </w:tc>
      </w:tr>
      <w:tr>
        <w:trPr>
          <w:trHeight w:val="198"/>
        </w:trPr>
        <w:tc>
          <w:tcPr>
            <w:tcW w:w="3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Patrick Baeuerle, Ph.D.</w:t>
            </w:r>
          </w:p>
        </w:tc>
        <w:tc>
          <w:tcPr>
            <w:tcW w:w="2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3/8/2017</w:t>
            </w:r>
          </w:p>
        </w:tc>
        <w:tc>
          <w:tcPr>
            <w:tcW w:w="1700" w:type="dxa"/>
            <w:vAlign w:val="bottom"/>
            <w:gridSpan w:val="2"/>
          </w:tcPr>
          <w:p>
            <w:pPr>
              <w:jc w:val="right"/>
              <w:ind w:right="504"/>
              <w:spacing w:after="0" w:line="198" w:lineRule="exact"/>
              <w:rPr>
                <w:sz w:val="20"/>
                <w:szCs w:val="20"/>
                <w:color w:val="auto"/>
              </w:rPr>
            </w:pPr>
            <w:r>
              <w:rPr>
                <w:rFonts w:ascii="Times New Roman" w:cs="Times New Roman" w:eastAsia="Times New Roman" w:hAnsi="Times New Roman"/>
                <w:sz w:val="18"/>
                <w:szCs w:val="18"/>
                <w:color w:val="auto"/>
              </w:rPr>
              <w:t>618,750</w:t>
            </w:r>
            <w:r>
              <w:rPr>
                <w:rFonts w:ascii="Times New Roman" w:cs="Times New Roman" w:eastAsia="Times New Roman" w:hAnsi="Times New Roman"/>
                <w:sz w:val="15"/>
                <w:szCs w:val="15"/>
                <w:color w:val="auto"/>
              </w:rPr>
              <w:t>(2)</w:t>
            </w:r>
          </w:p>
        </w:tc>
        <w:tc>
          <w:tcPr>
            <w:tcW w:w="10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9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12/16/2019</w:t>
            </w:r>
          </w:p>
        </w:tc>
        <w:tc>
          <w:tcPr>
            <w:tcW w:w="170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color w:val="auto"/>
              </w:rPr>
              <w:t>108,261</w:t>
            </w:r>
            <w:r>
              <w:rPr>
                <w:rFonts w:ascii="Times New Roman" w:cs="Times New Roman" w:eastAsia="Times New Roman" w:hAnsi="Times New Roman"/>
                <w:sz w:val="15"/>
                <w:szCs w:val="15"/>
                <w:color w:val="auto"/>
              </w:rPr>
              <w:t>(3)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9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12/16/2019</w:t>
            </w:r>
          </w:p>
        </w:tc>
        <w:tc>
          <w:tcPr>
            <w:tcW w:w="170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color w:val="auto"/>
              </w:rPr>
              <w:t>155,868</w:t>
            </w:r>
            <w:r>
              <w:rPr>
                <w:rFonts w:ascii="Times New Roman" w:cs="Times New Roman" w:eastAsia="Times New Roman" w:hAnsi="Times New Roman"/>
                <w:sz w:val="15"/>
                <w:szCs w:val="15"/>
                <w:color w:val="auto"/>
              </w:rPr>
              <w:t>(4)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9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12/1/2018</w:t>
            </w:r>
          </w:p>
        </w:tc>
        <w:tc>
          <w:tcPr>
            <w:tcW w:w="170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color w:val="auto"/>
              </w:rPr>
              <w:t>244,926</w:t>
            </w:r>
            <w:r>
              <w:rPr>
                <w:rFonts w:ascii="Times New Roman" w:cs="Times New Roman" w:eastAsia="Times New Roman" w:hAnsi="Times New Roman"/>
                <w:sz w:val="15"/>
                <w:szCs w:val="15"/>
                <w:color w:val="auto"/>
              </w:rPr>
              <w:t>(5)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71,029</w:t>
            </w:r>
          </w:p>
        </w:tc>
        <w:tc>
          <w:tcPr>
            <w:tcW w:w="0" w:type="dxa"/>
            <w:vAlign w:val="bottom"/>
          </w:tcPr>
          <w:p>
            <w:pPr>
              <w:spacing w:after="0"/>
              <w:rPr>
                <w:sz w:val="1"/>
                <w:szCs w:val="1"/>
                <w:color w:val="auto"/>
              </w:rPr>
            </w:pPr>
          </w:p>
        </w:tc>
      </w:tr>
      <w:tr>
        <w:trPr>
          <w:trHeight w:val="198"/>
        </w:trPr>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Corinne Savill, Ph.D.</w:t>
            </w:r>
          </w:p>
        </w:tc>
        <w:tc>
          <w:tcPr>
            <w:tcW w:w="280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3/8/2017</w:t>
            </w:r>
          </w:p>
        </w:tc>
        <w:tc>
          <w:tcPr>
            <w:tcW w:w="1700" w:type="dxa"/>
            <w:vAlign w:val="bottom"/>
            <w:gridSpan w:val="2"/>
            <w:shd w:val="clear" w:color="auto" w:fill="CCEEFF"/>
          </w:tcPr>
          <w:p>
            <w:pPr>
              <w:jc w:val="right"/>
              <w:ind w:right="504"/>
              <w:spacing w:after="0" w:line="198" w:lineRule="exact"/>
              <w:rPr>
                <w:sz w:val="20"/>
                <w:szCs w:val="20"/>
                <w:color w:val="auto"/>
              </w:rPr>
            </w:pPr>
            <w:r>
              <w:rPr>
                <w:rFonts w:ascii="Times New Roman" w:cs="Times New Roman" w:eastAsia="Times New Roman" w:hAnsi="Times New Roman"/>
                <w:sz w:val="18"/>
                <w:szCs w:val="18"/>
                <w:color w:val="auto"/>
              </w:rPr>
              <w:t>371,250</w:t>
            </w:r>
            <w:r>
              <w:rPr>
                <w:rFonts w:ascii="Times New Roman" w:cs="Times New Roman" w:eastAsia="Times New Roman" w:hAnsi="Times New Roman"/>
                <w:sz w:val="15"/>
                <w:szCs w:val="15"/>
                <w:color w:val="auto"/>
              </w:rPr>
              <w:t>(2)</w:t>
            </w:r>
          </w:p>
        </w:tc>
        <w:tc>
          <w:tcPr>
            <w:tcW w:w="104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12/16/2019</w:t>
            </w:r>
          </w:p>
        </w:tc>
        <w:tc>
          <w:tcPr>
            <w:tcW w:w="170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40,598</w:t>
            </w:r>
            <w:r>
              <w:rPr>
                <w:rFonts w:ascii="Times New Roman" w:cs="Times New Roman" w:eastAsia="Times New Roman" w:hAnsi="Times New Roman"/>
                <w:sz w:val="15"/>
                <w:szCs w:val="15"/>
                <w:color w:val="auto"/>
              </w:rPr>
              <w:t>(3)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12/16/2019</w:t>
            </w:r>
          </w:p>
        </w:tc>
        <w:tc>
          <w:tcPr>
            <w:tcW w:w="170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58,450</w:t>
            </w:r>
            <w:r>
              <w:rPr>
                <w:rFonts w:ascii="Times New Roman" w:cs="Times New Roman" w:eastAsia="Times New Roman" w:hAnsi="Times New Roman"/>
                <w:sz w:val="15"/>
                <w:szCs w:val="15"/>
                <w:color w:val="auto"/>
              </w:rPr>
              <w:t>(4)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12/1/2018</w:t>
            </w:r>
          </w:p>
        </w:tc>
        <w:tc>
          <w:tcPr>
            <w:tcW w:w="170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104,968</w:t>
            </w:r>
            <w:r>
              <w:rPr>
                <w:rFonts w:ascii="Times New Roman" w:cs="Times New Roman" w:eastAsia="Times New Roman" w:hAnsi="Times New Roman"/>
                <w:sz w:val="15"/>
                <w:szCs w:val="15"/>
                <w:color w:val="auto"/>
              </w:rPr>
              <w:t>(5)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91" w:lineRule="exact"/>
        <w:rPr>
          <w:sz w:val="20"/>
          <w:szCs w:val="20"/>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has been determined for Cullinan Amber stock awards, based on a fair market value of a share of Cullinan Amber’s common stock as</w:t>
      </w:r>
    </w:p>
    <w:p>
      <w:pPr>
        <w:spacing w:after="0" w:line="196" w:lineRule="exact"/>
        <w:rPr>
          <w:sz w:val="20"/>
          <w:szCs w:val="20"/>
          <w:color w:val="auto"/>
        </w:rPr>
      </w:pPr>
    </w:p>
    <w:p>
      <w:pPr>
        <w:ind w:left="460" w:right="80"/>
        <w:spacing w:after="0" w:line="257" w:lineRule="auto"/>
        <w:rPr>
          <w:sz w:val="20"/>
          <w:szCs w:val="20"/>
          <w:color w:val="auto"/>
        </w:rPr>
      </w:pPr>
      <w:r>
        <w:rPr>
          <w:rFonts w:ascii="Times New Roman" w:cs="Times New Roman" w:eastAsia="Times New Roman" w:hAnsi="Times New Roman"/>
          <w:sz w:val="18"/>
          <w:szCs w:val="18"/>
          <w:color w:val="auto"/>
        </w:rPr>
        <w:t>of December 31, 2019, which was $ , for Cullinan Florentine stock awards, based on a fair market value of a share of Cullinan Florentine’s common stock as of December 31, 2019, which was $ , and for Cullinan Pearl stock awards, based on a fair market value of a share of Cullinan Pearl’s common stock as of December 31, 2019, which was $ .</w:t>
      </w:r>
    </w:p>
    <w:p>
      <w:pPr>
        <w:spacing w:after="0" w:line="1" w:lineRule="exact"/>
        <w:rPr>
          <w:sz w:val="20"/>
          <w:szCs w:val="20"/>
          <w:color w:val="auto"/>
        </w:rPr>
      </w:pPr>
    </w:p>
    <w:p>
      <w:pPr>
        <w:ind w:left="460" w:hanging="452"/>
        <w:spacing w:after="0" w:line="250"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incentive units in the LLC entity that are intended to qualify as profits interests and vest as follows: 25% of the units vested on the first anniversary of the vesting commencement date and the remaining units vest over 36 months in equal monthly installments, subject in each case to the executive continuing to have a service relationship with us at such time.</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these Cullinan Amber restricted stock awards vest as follows: 25% of the shares vest on the first anniversary of the vesting commencement date and the remaining shares vest over 36 months in equal monthly installments, subject in each case to the executive continuing to have a service relationship with us at such time.</w:t>
      </w:r>
    </w:p>
    <w:p>
      <w:pPr>
        <w:spacing w:after="0" w:line="1" w:lineRule="exact"/>
        <w:rPr>
          <w:rFonts w:ascii="Times New Roman" w:cs="Times New Roman" w:eastAsia="Times New Roman" w:hAnsi="Times New Roman"/>
          <w:sz w:val="18"/>
          <w:szCs w:val="18"/>
          <w:color w:val="auto"/>
        </w:rPr>
      </w:pPr>
    </w:p>
    <w:p>
      <w:pPr>
        <w:jc w:val="both"/>
        <w:ind w:left="460" w:right="40" w:hanging="452"/>
        <w:spacing w:after="0" w:line="250"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these Cullinan Florentine restricted stock awards vest as follows: 25% of the shares vest on the first anniversary of the vesting commencement date and the remaining shares vest over 36 months in equal monthly installments, subject in each case to the executive continuing to have a service relationship with us at such time.</w:t>
      </w:r>
    </w:p>
    <w:p>
      <w:pPr>
        <w:spacing w:after="0" w:line="1" w:lineRule="exact"/>
        <w:rPr>
          <w:rFonts w:ascii="Times New Roman" w:cs="Times New Roman" w:eastAsia="Times New Roman" w:hAnsi="Times New Roman"/>
          <w:sz w:val="18"/>
          <w:szCs w:val="18"/>
          <w:color w:val="auto"/>
        </w:rPr>
      </w:pPr>
    </w:p>
    <w:p>
      <w:pPr>
        <w:ind w:left="460" w:right="60" w:hanging="452"/>
        <w:spacing w:after="0" w:line="255"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these Cullinan Pearl restricted stock awards vest as follows: 25% of the shares vest on the first anniversary of the vesting commencement date and the remaining shares vest over 36 months in equal monthly installments, subject in each case to the executive continuing to have a service relationship with us at such time.</w:t>
      </w:r>
    </w:p>
    <w:p>
      <w:pPr>
        <w:spacing w:after="0" w:line="186"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equity exchange described above under “Reorganization—Reorganization Equity Exchange,” the vesting of the unvested Cullinan Amber Inc. restricted stock awards, unvested Cullinan Florentine restricted stock awards and unvested Cullinan Pearl restricted stock awards held by each of our named executive officers and listed in the preceding table was accelerated.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 and stock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our board of directors plans to adopt a 2021 Stock Option and Incentive Plan, or the 2021 Stock Plan. The 2021 Stock Plan will become effective on the date immediately prior to the date on which the registration statement of which this prospectus is part is declared effective by the SEC. The 2021 Stock Plan will provide flexibility to our compensation committee to use various equity-based incentive awards as compensation tools to motivate our workforce.</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We will initially reserve shares of our common stock, or the Initial Limit, for the issuance of awards under the 2021 Stock Plan. The 2021 Stock Plan provides that the number of shares reserved and available for issuance under the plan will automatically increase each January 1, beginning on January 1, 2022, by % of the outstanding number of shares of our common stock on the immediately preceding December 31, or such lesser number of shares as determined by our compensation committee. This is referred to herein as the Annual Increase. This number will be subject to adjustment in the event of a stock split, stock dividend or other change in our capitalization.</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shares we issue under the 2021 Stock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2021 Stock Plan will be added back to the shares of common stock available for issuance under the 2021 Stock Plan.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20"/>
          </w:cols>
          <w:pgMar w:left="320" w:top="455" w:right="3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aggregate number of shares that may be issued in the form of incentive stock options may not exceed the Initial Limit cumulatively</w:t>
      </w:r>
    </w:p>
    <w:p>
      <w:pPr>
        <w:spacing w:after="0" w:line="2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increased on January 1, 2022, and on each January 1 thereafter by the lesser of (i) the Annual Increase for such year or (ii) shares of common stock.</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grant date fair value of all awards made under our 2021 Stock Plan and all other cash compensation paid by us to any non-employee director in</w:t>
      </w:r>
    </w:p>
    <w:p>
      <w:pPr>
        <w:spacing w:after="0" w:line="27" w:lineRule="exact"/>
        <w:rPr>
          <w:sz w:val="20"/>
          <w:szCs w:val="20"/>
          <w:color w:val="auto"/>
        </w:rPr>
      </w:pPr>
    </w:p>
    <w:p>
      <w:pPr>
        <w:spacing w:after="0"/>
        <w:tabs>
          <w:tab w:leader="none" w:pos="3340" w:val="left"/>
          <w:tab w:leader="none" w:pos="6440" w:val="left"/>
        </w:tabs>
        <w:rPr>
          <w:sz w:val="20"/>
          <w:szCs w:val="20"/>
          <w:color w:val="auto"/>
        </w:rPr>
      </w:pPr>
      <w:r>
        <w:rPr>
          <w:rFonts w:ascii="Times New Roman" w:cs="Times New Roman" w:eastAsia="Times New Roman" w:hAnsi="Times New Roman"/>
          <w:sz w:val="18"/>
          <w:szCs w:val="18"/>
          <w:color w:val="auto"/>
        </w:rPr>
        <w:t>any calendar year may not exceed $</w:t>
      </w:r>
      <w:r>
        <w:rPr>
          <w:sz w:val="20"/>
          <w:szCs w:val="20"/>
          <w:color w:val="auto"/>
        </w:rPr>
        <w:tab/>
      </w:r>
      <w:r>
        <w:rPr>
          <w:rFonts w:ascii="Times New Roman" w:cs="Times New Roman" w:eastAsia="Times New Roman" w:hAnsi="Times New Roman"/>
          <w:sz w:val="18"/>
          <w:szCs w:val="18"/>
          <w:color w:val="auto"/>
        </w:rPr>
        <w:t>for the first year of service and $</w:t>
      </w:r>
      <w:r>
        <w:rPr>
          <w:sz w:val="20"/>
          <w:szCs w:val="20"/>
          <w:color w:val="auto"/>
        </w:rPr>
        <w:tab/>
      </w:r>
      <w:r>
        <w:rPr>
          <w:rFonts w:ascii="Times New Roman" w:cs="Times New Roman" w:eastAsia="Times New Roman" w:hAnsi="Times New Roman"/>
          <w:sz w:val="17"/>
          <w:szCs w:val="17"/>
          <w:color w:val="auto"/>
        </w:rPr>
        <w:t>for each year of service thereafter.</w:t>
      </w:r>
    </w:p>
    <w:p>
      <w:pPr>
        <w:spacing w:after="0" w:line="20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2021 Stock Plan will be administered by our compensation committee. Our compensation committee will have full power to select, from among the individuals eligible for awards, the individuals to whom awards will be granted, to make any combination of awards to participants, and to determine the specific terms and conditions of each award, subject to the provisions of the 2021 Stock Plan. Persons eligible to participate in the 2021 Stock Plan will be those full or part-time employees, non-employee directors and consultants of the Company and its affiliates, as selected from time to time by our compensation committee in its discretion.</w:t>
      </w:r>
    </w:p>
    <w:p>
      <w:pPr>
        <w:spacing w:after="0" w:line="183"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2021 Stock Plan will permit the granting of both options to purchase common stock intended to qualify as incentive stock options under Section 422 of the Internal Revenue Code, or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ten years from the date of grant. Our compensation committee will determine at what time or times each option may be exercised.</w:t>
      </w:r>
    </w:p>
    <w:p>
      <w:pPr>
        <w:spacing w:after="0" w:line="18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compensation committee will be able to award stock appreciation rights subject to such conditions and restrictions as it may determine. Stock appreciation rights will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3"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Our compensation committee will be able to award restricted shares of common stock and restricted stock units to participants subject to such conditions and restrictions as it may determine. These conditions and restrictions may include the achievement of certain performance goals and/or continued employment or service relationship with us through a specified vesting period. Our compensation committee may also be permitted to grant shares of common stock that are free from any restrictions under the 2021 Stock Plan. Unrestricted stock may be granted to participants in recognition of past services or other valid consideration and may be issued in lieu of cash compensation due to such participant.</w:t>
      </w:r>
    </w:p>
    <w:p>
      <w:pPr>
        <w:spacing w:after="0" w:line="183"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Our compensation committee will be able to grant cash bonuses under the 2021 Stock Plan to participants, subject to the achievement of certain performance goals.</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2021 Stock Plan will provide that upon the effectiveness of a “sale event,” as defined in the 2021 Stock Plan, an acquirer or successor entity may assume, continue or substitute outstanding awards under the 2021 Stock Plan. To the extent that awards granted under our 2021 Stock Plan are not assumed or continued or substituted by the successor entity, except as may be otherwise provided in the relevant award certificate, all awards with time-based vesting, conditions or restrictions will become fully vested and nonforfeitable as of the effective time of the sale event, and all awards with conditions and restrictions relating to the attainment of performance goals may become vested and nonforfeitable in connection with a sale event in the compensation committee’s discretion or to the extent specified in the relevant award certificate. Upon the effective time of the sale event, all outstanding awards granted under the 2021 Stock Plan will terminate to the extent not assumed, continued or substituted for. In the event of such termination, individuals holding options and stock appreciation rights will be permitted to exercise such options and stock appreciation rights (to the extent exercisable) within a specified period of time prior to the sale event. In addition, in connection with the termination of the 2021 Stock Plan upon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20"/>
          </w:cols>
          <w:pgMar w:left="320" w:top="455" w:right="3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sale event, we may make or provide for a payment, in cash or in kind, to participants holding vested and exercisable options and stock appreciation rights equal to the difference between the per share cash consideration payable to stockholders in the sale event and the exercise price of the options or stock appreciation rights and we may make or provide for a payment, in cash or in kind, to participants holding other vested awards.</w:t>
      </w:r>
    </w:p>
    <w:p>
      <w:pPr>
        <w:spacing w:after="0" w:line="176"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board of directors will be able to amend or discontinue the 2021 Stock Plan and our compensation committee will be permitted to amend the exercise price of options and amend or cancel outstanding awards for purposes of satisfying changes in law or any other lawful purpose but no such action may adversely affect rights under an award without the holder’s consent. Certain amendments to the 2021 Stock Plan will require the approval of our stockholders.</w:t>
      </w:r>
    </w:p>
    <w:p>
      <w:pPr>
        <w:spacing w:after="0" w:line="180"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No awards will be granted under the 2021 Stock Plan after the date that is 10 years from the date of stockholder approval. No awards under the 2021 Stock Plan will be made prior to the date of this prospectus.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60" w:firstLine="449"/>
        <w:spacing w:after="0" w:line="276" w:lineRule="auto"/>
        <w:rPr>
          <w:sz w:val="20"/>
          <w:szCs w:val="20"/>
          <w:color w:val="auto"/>
        </w:rPr>
      </w:pPr>
      <w:r>
        <w:rPr>
          <w:rFonts w:ascii="Times New Roman" w:cs="Times New Roman" w:eastAsia="Times New Roman" w:hAnsi="Times New Roman"/>
          <w:sz w:val="17"/>
          <w:szCs w:val="17"/>
          <w:color w:val="auto"/>
        </w:rPr>
        <w:t>In connection with this offering, our board of directors plans to adopt a 2021 Employee Stock Purchase Plan, or an ESPP, which will become effective on the date immediately prior to the date on which the registration statement of which this prospectus is part is declared effective by the SEC. The</w:t>
      </w:r>
    </w:p>
    <w:p>
      <w:pPr>
        <w:spacing w:after="0" w:line="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ESPP will initially reserve and authorize the issuance of up to a total of shares of common stock to participating employees. The ESPP will provide that the number of shares reserved and available for issuance will automatically increase each January 1, beginning on January 1, 2022, by the</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lesser of shares of our common stock, % of the outstanding number of shares of our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86"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All employees whose customary employment is for more than hours per week and who have completed at least days of employment will be eligible to participate in the ESPP. Any employee who owns 5% or more of the total combined voting power or value of all classes of stock will not be eligible to purchase shares under the ESPP.</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We will make one or more offerings, consisting of one or more purchase periods, each year to our employees to purchase shares under the ESPP. Offerings will usually begin every six months and will continue for six-month periods, referred to as offering periods. Each eligible employee may elect to participate in any offering by submitting an enrollment form at least 15 business days before the relevant offering date.</w:t>
      </w:r>
    </w:p>
    <w:p>
      <w:pPr>
        <w:spacing w:after="0" w:line="176"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Each employee who is a participant in the ESPP may purchase shares by authorizing contributions of between 1% and %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first business day of the offering period or the last business day of the purchase period, whichever is lower, provided that no more than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8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62"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ESPP may be terminated or amended by our board of directors at any time, but will automatically terminate on the 10-year anniversary of this offering. An amendment that increases the number of shares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40"/>
          </w:cols>
          <w:pgMar w:left="320" w:top="455" w:right="3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common stock that are authorized under the ESPP and certain other amendments will require the approval of our stockholders. The plan administrator may adopt subplans under the ESPP for employees of our non-U.S. subsidiaries, if any.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Cash Incentive Bonus Plan</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In December 2020, we adopted a Senior Executive Cash Incentive Bonus Plan, or the Bonus Plan, that will become effective upon the completion of this offering. The Bonus Plan will provide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any of which may be measured in absolute terms, as compared to any incremental increase, in terms of growth, or as compared to results of a peer group.</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fiscal year in which such performance period ends. Subject to the rights contained in any agreement between the executive officer and us, an executive officer must be employed by us on the bonus payment date to be eligible to receive a bonus payment. The Bonus Plan will also permit the compensation committee to approve additional bonuses to executive officers in its sole discretion.</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 and other benefits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eligible U.S. employees participate in a tax-qualified retirement plan sponsored by ADP Retirement Services that provides an opportunity to save for retirement on a tax-advantaged basis. Plan participants are able to defer eligible compensation subject to applicable annual Code limits. The plan sponsor has the ability to make discretionary contributions to the 401(k) plan, but has not done so to date.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participants until distributed from the 401(k) plan.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20"/>
          </w:cols>
          <w:pgMar w:left="320" w:top="455" w:right="3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Overview</w:t>
      </w:r>
    </w:p>
    <w:p>
      <w:pPr>
        <w:spacing w:after="0" w:line="121"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Prior to this offering, non-employee directors generally received a director fee and were reimbursed for travel, food, lodging and other expenses directly related to their activities as directors. During the fiscal year ended, December 31, 2019, Ansbert Gadicke, M.D., Thomas Ebeling, Morana Jovan-Embiricos, Ph.D., and Anthony Rosenberg received director fees, including for service on board committees, as set forth in the table below. Dr. Gadicke, who serves as chair of our board of directors, was also eligible to receive a bonus equal to 20% of his annual director fee based on achievement of corporate goals, but such bonus was not paid with respect to fiscal year 2019. Directors who also serve as employees receive no additional compensation for their service as directors. During the fiscal year ended December 31, 2019, Mr. Hughes received no additional compensation for his service as a director. See the section titled “Executive Compensation—Summary Compensation Table” for more information about Mr. Hughes’ compensation for the fiscal year ended December 31, 2019.</w:t>
      </w:r>
    </w:p>
    <w:p>
      <w:pPr>
        <w:spacing w:after="0" w:line="192" w:lineRule="exact"/>
        <w:rPr>
          <w:sz w:val="20"/>
          <w:szCs w:val="20"/>
          <w:color w:val="auto"/>
        </w:rPr>
      </w:pPr>
    </w:p>
    <w:p>
      <w:pPr>
        <w:ind w:right="10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concerning compensation earned by our non-employee directors during the year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2"/>
                <w:szCs w:val="12"/>
                <w:b w:val="1"/>
                <w:bCs w:val="1"/>
                <w:color w:val="auto"/>
              </w:rPr>
              <w:t>(1)</w:t>
            </w:r>
          </w:p>
        </w:tc>
        <w:tc>
          <w:tcPr>
            <w:tcW w:w="8700" w:type="dxa"/>
            <w:vAlign w:val="bottom"/>
            <w:vMerge w:val="restart"/>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13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Ansbert Gadicke, M.D.</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Ebeling</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Morana Jovan-Embiricos, Ph.D.</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Rosenberg</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65,000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 Anderson</w:t>
            </w:r>
            <w:r>
              <w:rPr>
                <w:rFonts w:ascii="Times New Roman" w:cs="Times New Roman" w:eastAsia="Times New Roman" w:hAnsi="Times New Roman"/>
                <w:sz w:val="15"/>
                <w:szCs w:val="15"/>
                <w:color w:val="auto"/>
              </w:rPr>
              <w:t>(2)</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420" w:hanging="452"/>
        <w:spacing w:after="0" w:line="276" w:lineRule="auto"/>
        <w:tabs>
          <w:tab w:leader="none" w:pos="4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2019, Dr. Gadicke, Mr. Ebeling, Dr. Jovan-Embiricos, and Mr. Rosenberg had 1,980,000, 475,200, 792,000, and 316,800 incentive units in the form of profits interests (of which 618,750, 198,000, 247,500, and 132,000 units were unvested) outstanding, respectively.</w:t>
      </w:r>
    </w:p>
    <w:p>
      <w:pPr>
        <w:ind w:left="460" w:right="80" w:hanging="452"/>
        <w:spacing w:after="0" w:line="260"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Anderson was appointed to our board of directors on December 18, 2019. As of December 31, 2019, Mr. Anderson had received no director fees and held no incentive units in the form of profits interests.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In December 2020, we adopted a non-employee director compensation policy that will become effective upon the completion of this offering and will be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w:t>
            </w:r>
          </w:p>
        </w:tc>
      </w:tr>
      <w:tr>
        <w:trPr>
          <w:trHeight w:val="173"/>
        </w:trPr>
        <w:tc>
          <w:tcPr>
            <w:tcW w:w="7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Retainer</w:t>
            </w: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32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90"/>
        </w:trPr>
        <w:tc>
          <w:tcPr>
            <w:tcW w:w="72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32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79" w:lineRule="exact"/>
        <w:rPr>
          <w:sz w:val="20"/>
          <w:szCs w:val="20"/>
          <w:color w:val="auto"/>
        </w:rPr>
      </w:pPr>
    </w:p>
    <w:p>
      <w:pPr>
        <w:jc w:val="both"/>
        <w:ind w:right="80" w:firstLine="449"/>
        <w:spacing w:after="0" w:line="282" w:lineRule="auto"/>
        <w:rPr>
          <w:sz w:val="20"/>
          <w:szCs w:val="20"/>
          <w:color w:val="auto"/>
        </w:rPr>
      </w:pPr>
      <w:r>
        <w:rPr>
          <w:rFonts w:ascii="Times New Roman" w:cs="Times New Roman" w:eastAsia="Times New Roman" w:hAnsi="Times New Roman"/>
          <w:sz w:val="18"/>
          <w:szCs w:val="18"/>
          <w:color w:val="auto"/>
        </w:rPr>
        <w:t>In addition, the non-employee director compensation policy provides that, upon initial election to our board of directors, each non-employee director will be granted an equity award with a grant date fair value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455" w:right="3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$250,000, or the Initial Grant. The Initial Grant will vest in equal installments on the first, second and third anniversaries of the grant date, subject to continued service as a director through the applicable vesting date. Furthermore, on the date of each annual meeting of stockholders following the completion of this offering, each non-employee director who continues as a non-employee director following such meeting will be granted an annual equity award with a grant date fair value of $150,000, or the Annual Grant. The Annual Grant will vest in full on the earlier of (i) the first anniversary of the grant date or (ii) our next annual meeting of stockholders, subject to continued service as a director through the applicable vesting date. Such awards are subject to full accelerated vesting upon the sale of the company.</w:t>
      </w:r>
    </w:p>
    <w:p>
      <w:pPr>
        <w:spacing w:after="0" w:line="187"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of directors and committees.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Equity Exchange</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equity exchange described above under “Reorganization—Reorganization Equity Exchange,” the following anti-dilution and make-whole option grants were awarded to our non-employee directors under the 2020 Unit Plan: Dr. Gadicke, anti-dilution options in respect of 1,845,026 common units and make-whole options in respect of 625,233 common units; Mr. Ebeling, anti-dilution options in respect of 442,806 common units and make-whole options in respect of 150,056 common units; Dr. Jovan-Embiricos, anti-dilution options in respect of 738,010 common units and make-whole options in respect of 250,094 common units; and Mr. Rosenberg, anti-dilution options in respect of 1,213,210 common units and make-whole options in respect of 250,094 common units. Mr. Anderson did not receive any anti-dilution or make-whole option grants. These options have an exercise price of $0.61 per common unit and vest as to 25% of the number of common units subject to the award on the first anniversary of the vesting commencement date, with the remaining portion of the award vesting over the following 36 months in equal monthly installments.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20"/>
          </w:cols>
          <w:pgMar w:left="320" w:top="455" w:right="3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consulting, termination of employment and change in control arrangements and indemnification arrangements, discussed in the sections titled “Management” and “Executive and Director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207" w:lineRule="exact"/>
        <w:rPr>
          <w:sz w:val="20"/>
          <w:szCs w:val="20"/>
          <w:color w:val="auto"/>
        </w:rPr>
      </w:pPr>
    </w:p>
    <w:p>
      <w:pPr>
        <w:ind w:left="1000" w:hanging="54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the lesser of (i) $120,000 and (ii) the percent of the average of our total assets for the last two completed fiscal years; and</w:t>
      </w:r>
    </w:p>
    <w:p>
      <w:pPr>
        <w:spacing w:after="0" w:line="67"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Unit Financing</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December 2020, we sold 66,599,045 Series C preferred units, or the Series C Preferred Units, at a purchase price of $1.97 per unit for an aggregate purchase price of approximately $131.2 million. The following table summarizes purchases of our Series C Preferred Units by related persons: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7880" w:type="dxa"/>
            <w:vAlign w:val="bottom"/>
            <w:vMerge w:val="restart"/>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7880" w:type="dxa"/>
            <w:vAlign w:val="bottom"/>
            <w:vMerge w:val="continue"/>
          </w:tcPr>
          <w:p>
            <w:pPr>
              <w:spacing w:after="0"/>
              <w:rPr>
                <w:sz w:val="15"/>
                <w:szCs w:val="15"/>
                <w:color w:val="auto"/>
              </w:rPr>
            </w:pPr>
          </w:p>
        </w:tc>
        <w:tc>
          <w:tcPr>
            <w:tcW w:w="12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UBS Oncology Impact Fund L.P.</w:t>
            </w:r>
            <w:r>
              <w:rPr>
                <w:rFonts w:ascii="Times New Roman" w:cs="Times New Roman" w:eastAsia="Times New Roman" w:hAnsi="Times New Roman"/>
                <w:sz w:val="15"/>
                <w:szCs w:val="15"/>
                <w:color w:val="auto"/>
              </w:rPr>
              <w:t>(1)</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4,568,528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9,000,000.16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F2 Ventures</w:t>
            </w:r>
            <w:r>
              <w:rPr>
                <w:rFonts w:ascii="Times New Roman" w:cs="Times New Roman" w:eastAsia="Times New Roman" w:hAnsi="Times New Roman"/>
                <w:sz w:val="15"/>
                <w:szCs w:val="15"/>
                <w:color w:val="auto"/>
              </w:rPr>
              <w:t>(2)</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3,527,919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6,950,000.43</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Cowen Healthcare Investments</w:t>
            </w:r>
            <w:r>
              <w:rPr>
                <w:rFonts w:ascii="Times New Roman" w:cs="Times New Roman" w:eastAsia="Times New Roman" w:hAnsi="Times New Roman"/>
                <w:sz w:val="15"/>
                <w:szCs w:val="15"/>
                <w:color w:val="auto"/>
              </w:rPr>
              <w:t>(3)</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1,591,315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3,134,890.55</w:t>
            </w:r>
          </w:p>
        </w:tc>
        <w:tc>
          <w:tcPr>
            <w:tcW w:w="0" w:type="dxa"/>
            <w:vAlign w:val="bottom"/>
          </w:tcPr>
          <w:p>
            <w:pPr>
              <w:spacing w:after="0"/>
              <w:rPr>
                <w:sz w:val="1"/>
                <w:szCs w:val="1"/>
                <w:color w:val="auto"/>
              </w:rPr>
            </w:pPr>
          </w:p>
        </w:tc>
      </w:tr>
      <w:tr>
        <w:trPr>
          <w:trHeight w:val="23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Foresite Capital Fund V, L.P.</w:t>
            </w:r>
            <w:r>
              <w:rPr>
                <w:rFonts w:ascii="Times New Roman" w:cs="Times New Roman" w:eastAsia="Times New Roman" w:hAnsi="Times New Roman"/>
                <w:sz w:val="15"/>
                <w:szCs w:val="15"/>
                <w:color w:val="auto"/>
              </w:rPr>
              <w:t>(4)</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17,766,497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34,999,999.09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2" w:lineRule="exact"/>
        <w:rPr>
          <w:sz w:val="20"/>
          <w:szCs w:val="20"/>
          <w:color w:val="auto"/>
        </w:rPr>
      </w:pPr>
    </w:p>
    <w:p>
      <w:pPr>
        <w:jc w:val="both"/>
        <w:ind w:left="460" w:right="580" w:hanging="452"/>
        <w:spacing w:after="0" w:line="272" w:lineRule="auto"/>
        <w:tabs>
          <w:tab w:leader="none" w:pos="4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UBS Oncology Impact Fund L.P., or OIF, beneficially owns more than five percent of our outstanding units. Certain of our executive officers, including Dr. Baeuerle, our Acting Chief Scientific Officer, Biologics, and Dr. Zawel, our Chief Scientific Officer, Small Molecules, serve as Executive Partners/Principals at OIF. Dr. Gadicke, a member of our board of directors, serves as Managing Director of OIF.</w:t>
      </w:r>
    </w:p>
    <w:p>
      <w:pPr>
        <w:spacing w:after="0" w:line="1" w:lineRule="exact"/>
        <w:rPr>
          <w:rFonts w:ascii="Times New Roman" w:cs="Times New Roman" w:eastAsia="Times New Roman" w:hAnsi="Times New Roman"/>
          <w:sz w:val="17"/>
          <w:szCs w:val="17"/>
          <w:color w:val="auto"/>
        </w:rPr>
      </w:pPr>
    </w:p>
    <w:p>
      <w:pPr>
        <w:ind w:left="460" w:right="460" w:hanging="452"/>
        <w:spacing w:after="0" w:line="250"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F2 Ventures, including F2 Bio TD, LLC, F2 MC, LLC, F2 TPO Investments LLC and F2 MG Limited, collectively, beneficially own more than five percent of our outstanding units. Dr. Jovan-Embiricos, a member of our board of directors, serves as Managing Partner of F2 Ventures.</w:t>
      </w:r>
    </w:p>
    <w:p>
      <w:pPr>
        <w:spacing w:after="0" w:line="1" w:lineRule="exact"/>
        <w:rPr>
          <w:rFonts w:ascii="Times New Roman" w:cs="Times New Roman" w:eastAsia="Times New Roman" w:hAnsi="Times New Roman"/>
          <w:sz w:val="18"/>
          <w:szCs w:val="18"/>
          <w:color w:val="auto"/>
        </w:rPr>
      </w:pPr>
    </w:p>
    <w:p>
      <w:pPr>
        <w:jc w:val="both"/>
        <w:ind w:left="460" w:right="100" w:hanging="452"/>
        <w:spacing w:after="0" w:line="250"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CHI Advisors LLC, including Cowen Healthcare Investments II LP, CHI EF II LP, Cowen Healthcare Investments III LP and CHI EF III LP, collectively, beneficially own more than five percent of our outstanding units. Mr. Anderson, a member of our board of directors, is a Partner, Head of Research at Cowen Healthcare Investments.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Foresite Capital Fund V, L.P. beneficially owns more than five percent of our outstanding units.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40"/>
          </w:cols>
          <w:pgMar w:left="320" w:top="455"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Unit Financing</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October 2019, with subsequent closings in December 2019, February 2020 and March 2020, we sold 63,141,020 Series B Preferred Units, or the Series B Preferred Units, at a purchase price of $1.56 per unit for an aggregate purchase price of approximately $98.5 million. The following table summarizes purchases of our Series B Preferred Units by related persons: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7880" w:type="dxa"/>
            <w:vAlign w:val="bottom"/>
            <w:vMerge w:val="restart"/>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7880" w:type="dxa"/>
            <w:vAlign w:val="bottom"/>
            <w:vMerge w:val="continue"/>
          </w:tcPr>
          <w:p>
            <w:pPr>
              <w:spacing w:after="0"/>
              <w:rPr>
                <w:sz w:val="15"/>
                <w:szCs w:val="15"/>
                <w:color w:val="auto"/>
              </w:rPr>
            </w:pPr>
          </w:p>
        </w:tc>
        <w:tc>
          <w:tcPr>
            <w:tcW w:w="12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UBS Oncology Impact Fund L.P.</w:t>
            </w:r>
            <w:r>
              <w:rPr>
                <w:rFonts w:ascii="Times New Roman" w:cs="Times New Roman" w:eastAsia="Times New Roman" w:hAnsi="Times New Roman"/>
                <w:sz w:val="15"/>
                <w:szCs w:val="15"/>
                <w:color w:val="auto"/>
              </w:rPr>
              <w:t>(1)</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16,025,641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24,999,999.96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F2 Ventures</w:t>
            </w:r>
            <w:r>
              <w:rPr>
                <w:rFonts w:ascii="Times New Roman" w:cs="Times New Roman" w:eastAsia="Times New Roman" w:hAnsi="Times New Roman"/>
                <w:sz w:val="15"/>
                <w:szCs w:val="15"/>
                <w:color w:val="auto"/>
              </w:rPr>
              <w:t>(2)</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4,487,179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6,999,999.25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Cowen Healthcare Investments</w:t>
            </w:r>
            <w:r>
              <w:rPr>
                <w:rFonts w:ascii="Times New Roman" w:cs="Times New Roman" w:eastAsia="Times New Roman" w:hAnsi="Times New Roman"/>
                <w:sz w:val="15"/>
                <w:szCs w:val="15"/>
                <w:color w:val="auto"/>
              </w:rPr>
              <w:t>(3)</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12,820,512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19,999,998.72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300" w:hanging="452"/>
        <w:spacing w:after="0" w:line="261"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OIF beneficially owns more than five percent of our outstanding units. Certain of our executive officers, including Dr. Baeuerle, our Acting Chief Scientific Officer, Biologics, and Dr. Zawel, our Chief Scientific Officer, Small Molecules, serve as Executive Partners/Principals at OIF.</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Gadicke, a member of our board of directors, serves as Managing Director of OIF.</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F2 Ventures, including F2 TPO Investments LLC and F2 MG Limited, collectively, beneficially own more than five percent of our outstanding units. Dr. Jovan-Embiricos, a member of our board of directors, serves as Managing Partner of F2 Ventures.</w:t>
      </w:r>
    </w:p>
    <w:p>
      <w:pPr>
        <w:jc w:val="both"/>
        <w:ind w:left="460" w:right="100" w:hanging="452"/>
        <w:spacing w:after="0" w:line="255"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CHI Advisors LLC, including Cowen Healthcare Investments II LP, CHI EF II LP, Cowen Healthcare Investments III LP and CHI EF III LP, collectively, beneficially own more than five percent of our outstanding units. Mr. Anderson, a member of our board of directors, is a Partner, Head of Research at Cowen Healthcare Investments.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Unit Financing</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In April 2017, we sold 50,000,000 shares of our Series A1 Preferred Units, or the Series A Preferred Units, at a purchase price of $1.00 per unit for an aggregate amount of $50.0 million. The following table summarizes purchases of our Series A Preferred Units by related persons:</w:t>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Members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Oncology Impact Fund L.P.</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Entities affiliated with F2 Ventures</w:t>
      </w: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886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8"/>
        </w:trPr>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r>
      <w:tr>
        <w:trPr>
          <w:trHeight w:val="173"/>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1"/>
        </w:trPr>
        <w:tc>
          <w:tcPr>
            <w:tcW w:w="104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w w:val="96"/>
              </w:rPr>
              <w:t>25,000,000</w:t>
            </w:r>
          </w:p>
        </w:tc>
        <w:tc>
          <w:tcPr>
            <w:tcW w:w="2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w w:val="98"/>
              </w:rPr>
              <w:t>25,000,000</w:t>
            </w:r>
          </w:p>
        </w:tc>
        <w:tc>
          <w:tcPr>
            <w:tcW w:w="20" w:type="dxa"/>
            <w:vAlign w:val="bottom"/>
          </w:tcPr>
          <w:p>
            <w:pPr>
              <w:spacing w:after="0"/>
              <w:rPr>
                <w:sz w:val="16"/>
                <w:szCs w:val="16"/>
                <w:color w:val="auto"/>
              </w:rPr>
            </w:pPr>
          </w:p>
        </w:tc>
      </w:tr>
      <w:tr>
        <w:trPr>
          <w:trHeight w:val="234"/>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171" w:lineRule="exact"/>
        <w:rPr>
          <w:sz w:val="20"/>
          <w:szCs w:val="20"/>
          <w:color w:val="auto"/>
        </w:rPr>
      </w:pPr>
    </w:p>
    <w:p>
      <w:pPr>
        <w:sectPr>
          <w:pgSz w:w="11900" w:h="16838" w:orient="portrait"/>
          <w:cols w:equalWidth="0" w:num="2">
            <w:col w:w="8040" w:space="720"/>
            <w:col w:w="2480"/>
          </w:cols>
          <w:pgMar w:left="320" w:top="455" w:right="339" w:bottom="1440" w:gutter="0" w:footer="0" w:header="0"/>
          <w:type w:val="continuous"/>
        </w:sectPr>
      </w:pPr>
    </w:p>
    <w:p>
      <w:pPr>
        <w:ind w:left="460" w:right="300" w:hanging="452"/>
        <w:spacing w:after="0" w:line="261"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OIF beneficially owns more than five percent of our outstanding units. Certain of our executive officers, including Dr. Baeuerle, our Acting Chief Scientific Officer, Biologics, and Dr. Zawel, our Chief Scientific Officer, Small Molecules, serve as Executive Partners/Principals at OIF.</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Gadicke, a member of our board of directors, serves as Managing Director of OIF.</w:t>
      </w:r>
    </w:p>
    <w:p>
      <w:pPr>
        <w:spacing w:after="0" w:line="9" w:lineRule="exact"/>
        <w:rPr>
          <w:rFonts w:ascii="Times New Roman" w:cs="Times New Roman" w:eastAsia="Times New Roman" w:hAnsi="Times New Roman"/>
          <w:sz w:val="18"/>
          <w:szCs w:val="18"/>
          <w:color w:val="auto"/>
        </w:rPr>
      </w:pPr>
    </w:p>
    <w:p>
      <w:pPr>
        <w:ind w:left="460" w:right="440" w:hanging="452"/>
        <w:spacing w:after="0" w:line="260"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F2 Ventures, including F2 Vision SCS and F2 Bioscience I 2017 Limited, beneficially own more than five percent of our outstanding units. Dr. Jovan-Embiricos, a member of our board of directors, serves as Managing Partner of F2 Ventures.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Agreements</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formation of our partially-owned subsidiaries Cullinan Amber, Cullinan Pearl, Cullinan Florentine, Cullinan Apollo, and our investment in Cullinan MICA, collectively, the Asset Subsidiaries, each of our Asset Subsidiaries entered into a shared services agreement, or Shared Services Agreement, with our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240"/>
          </w:cols>
          <w:pgMar w:left="320" w:top="455" w:right="339" w:bottom="1440" w:gutter="0" w:footer="0" w:header="0"/>
          <w:type w:val="continuous"/>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wholly-owned subsidiary Cullinan Management, pursuant to which Cullinan Management provides ongoing services to each Asset Subsidiary in areas such as accounting operations, human resources and administration management, research and development, information technology, and corporate development and strategy. In exchange for these services, each Asset Subsidiary pays Cullinan Management, a fee equal to the cost of services, with a 10% markup.</w:t>
      </w:r>
    </w:p>
    <w:p>
      <w:pPr>
        <w:spacing w:after="0" w:line="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2019 and 2018, the Asset Subsidiaries incurred an aggregate of $1.9 million and $1.1 million, respectively, of expenses related to services provided to them by Cullinan Management. The form of services agreement is filed as Exhibit 10.20.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Transfer Agreements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the formation of the Asset Subsidiaries and our investment in partially-owned subsidiary Cullinan MICA, the Asset Subsidiaries each entered into Royalty Transfer Agreements, or Royalty Agreements, with UBS Optimus Foundation and Oncology Charitable Foundation, Inc., or collectively, the Charitable Entities, pursuant to which each Asset Subsidiary is obligated to pay the Charitable Entities a low single digit royalty percentage of all global net sales relating to any of the subsidiary’s products that are received by the subsidiary, its licensees or its affiliates during the prior calendar year.</w:t>
      </w:r>
    </w:p>
    <w:p>
      <w:pPr>
        <w:spacing w:after="0" w:line="18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Unless earlier terminated, each Royalty Agreement shall terminate on a country-by-country basis upon the later of (i) the date that is the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first commercial sale of that subsidiary’s product in such country and (ii) the expiration of the last to expire issued patent claim of any pre-acquisition intellectual property covering the composition or use of such that subsidiary’s product in such country. The Charitable Entities are affiliated with OIF, which beneficially owns more than five percent of our outstanding units, and Dr. Ansbert, a member of our board of directors.</w:t>
      </w:r>
    </w:p>
    <w:p>
      <w:pPr>
        <w:spacing w:after="0" w:line="180"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Simultaneously with the execution of each Royalty Transfer Agreement, each Asset Subsidiary also entered into a letter agreement, or LLC Royalty Letter, with the Charitable Entities and the LLC entity pursuant to which the parties agreed that a portion of the cash consideration paid by the LLC entity to the subsidiary for the purchase of securities was to be treated as consideration for the right to receive a low single digit royalty percentage of all global net sales of any company products received by the applicable Asset Subsidiary, or the Royalty Stream. Further, effective immediately subsequent to the purchase by the LLC entity of the Royalty Stream, the LLC entity transferred its rights under the Royalty Stream to the Charitable Entities by directing the Asset Subsidiary to execute, deliver, and perform a Royalty Transfer Agreement. The form of royalty transfer agreement is filed as Exhibit 10.21.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Agreement</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our Series C preferred unit financing, we entered into a third amended and restated limited liability agreement, or the Operating Agreement, as well as management rights letters containing registration rights, information rights, voting rights and rights of first refusal, among other things, with certain holders of our preferred units. The management rights letters provide for certain information rights and rights to consult with our management. In connection with the Reorganization, this Operating Agreement will terminate and a registration rights agreement will be entered into with our members. See “Reorganization” for further detail regarding these transactions and “Description of our capital stock” for further detail regarding the registration rights under the Registration Rights Agreement (as defined below). In addition, the management rights letters will terminate upon the closing of this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pursuant to the Operating Agreement, promptly following a conversion, merger or reorganization event, we intend to enter into a registration rights agreement with each holder of our preferred units, or the Registration Rights Agreement. See “Description of our capital stock” for further detail regarding the registration rights under the Registration Rights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We have entered into employment or consulting agreements with our executive officers. For more information regarding the agreements with our named executive officers, see “Executive Compensation—Employment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Globeways Holdings Limited</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On April 1, 2020, we entered into a consulting agreement, or the 2020 Consulting Agreement, with Globeways Holdings Limited, or Globeways, Globeways and entities affiliated with F2 Ventures beneficially own in the aggregate greater than five percent of our outstanding units and Globeways is beneficially owned by Morana Jovan Embiricos, a member of our board of directors. Pursuant to the 2020 Consulting Agreement, Dr. Jovan-Embiricos provides leadership and advice regarding our scientific, clinical, product development and related activities and operations. Pursuant to the 2020 Consulting Agreement, we pay Globeways a consulting fee at a monthly rate of $25,000. As the sole beneficial owner of Globeways, Dr. Jovan-Embiricos receives all of the compensation paid to Globeways under the 2020 Consulting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Patrick Baeuerle, Ph.D.</w:t>
      </w:r>
    </w:p>
    <w:p>
      <w:pPr>
        <w:spacing w:after="0" w:line="121"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On January 1, 2019, we entered into a consulting agreement with Patrick Baeuerle, Ph.D. our co-founder and Acting Chief Scientific Officer, Biologics. Pursuant to the consulting agreement, Dr. Baeuerle provides services to the Company in his role as Acting Chief Scientific Officer, Biologics. The consulting agreement has a term that expires on the last date on which Dr. Baeuerle provides services to the Company. Pursuant to the consulting agreement, we have agreed to pay Dr. Baeuerle a consulting fee at a monthly rate of EUR30,833.33, and Dr. Baeuerle is eligible to receive a 33% annual performance bonus subject to approval of our board of directors.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Corinne Savill, Ph.D.</w:t>
      </w:r>
    </w:p>
    <w:p>
      <w:pPr>
        <w:spacing w:after="0" w:line="121"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7"/>
          <w:szCs w:val="17"/>
          <w:color w:val="auto"/>
        </w:rPr>
        <w:t>On January 1, 2019, we entered into a consulting agreement with Corinne Savill, Ph.D. our Acting Chief Business Officer. Pursuant to the consulting agreement, Dr. Savill provides services to the Company in her role as Acting Chief Business Officer. The consulting agreement has a term that expires on the last date on which Dr. Savill provides services to the Company. Pursuant to the consulting agreement, we have agreed to pay Dr. Savill a consulting fee at a monthly rate of $31,666.66, and Dr. Savill is eligible to receive a 30% annual performance bonus subject to approval of our board of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“Director Compensation” for information regarding compensation of our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We plan to enter into indemnification agreements with each of our directors and executive officers, the form of which is attached as an exhibit to the registration statement of which this prospectus is a part. The indemnification agreements and our amended and restated certificate of incorporation to be effective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offering and amended and restated bylaws to be effective upon the effectiveness of this registration statement require us to indemnify our directors and officers to the fullest extent permitted by Delaware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are entitled to vote on a transaction with a related party, the material facts of the related party’s relationship or interest in the transaction were disclosed to the stockholders, who must approve the transaction in good faith.</w:t>
      </w:r>
    </w:p>
    <w:p>
      <w:pPr>
        <w:spacing w:after="0" w:line="187"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expect to adopt a written related party transactions policy that will provide that such transactions must be approved by our audit committee. This policy will become effective on the date on which the registration statement of which this prospectus forms a part is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November 30, 2020 by:</w:t>
      </w:r>
    </w:p>
    <w:p>
      <w:pPr>
        <w:spacing w:after="0" w:line="131" w:lineRule="exact"/>
        <w:rPr>
          <w:sz w:val="20"/>
          <w:szCs w:val="20"/>
          <w:color w:val="auto"/>
        </w:rPr>
      </w:pPr>
    </w:p>
    <w:p>
      <w:pPr>
        <w:ind w:left="1000" w:hanging="547"/>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Owned—After Offering” is based on shares of our common stock to be outstanding after this offering, including the shares of our common stock that we are selling in this offering, but not including any additional shares issuable pursuant to the underwriters’ option to purchase additional shares.</w:t>
      </w:r>
    </w:p>
    <w:p>
      <w:pPr>
        <w:spacing w:after="0" w:line="176"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after November 30, 2020 are considered outstanding, although these shares are not considered outstanding for purposes of computing the percentage ownership of any other person. Unless otherwise indicated, the address of all listed stockholders is One Main Street, Suite 520, Cambridge, MA 02142.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of Beneficial Owner</w:t>
      </w:r>
    </w:p>
    <w:p>
      <w:pPr>
        <w:spacing w:after="0" w:line="27" w:lineRule="exact"/>
        <w:rPr>
          <w:sz w:val="20"/>
          <w:szCs w:val="20"/>
          <w:color w:val="auto"/>
        </w:rPr>
      </w:pPr>
    </w:p>
    <w:p>
      <w:pPr>
        <w:ind w:right="17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Greater-than-5% Stockholders </w:t>
      </w:r>
      <w:r>
        <w:rPr>
          <w:rFonts w:ascii="Times New Roman" w:cs="Times New Roman" w:eastAsia="Times New Roman" w:hAnsi="Times New Roman"/>
          <w:sz w:val="18"/>
          <w:szCs w:val="18"/>
          <w:color w:val="auto"/>
        </w:rPr>
        <w:t>Entities affiliated with F2 Ventures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UBS Oncology Impact Fund L.P.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Entities affiliated with Foresite Capital</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Entities affiliated with Cowen</w:t>
      </w:r>
      <w:r>
        <w:rPr>
          <w:rFonts w:ascii="Times New Roman" w:cs="Times New Roman" w:eastAsia="Times New Roman" w:hAnsi="Times New Roman"/>
          <w:sz w:val="15"/>
          <w:szCs w:val="15"/>
          <w:color w:val="auto"/>
        </w:rPr>
        <w:t>(4)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Owen Hughes</w:t>
      </w:r>
      <w:r>
        <w:rPr>
          <w:rFonts w:ascii="Times New Roman" w:cs="Times New Roman" w:eastAsia="Times New Roman" w:hAnsi="Times New Roman"/>
          <w:sz w:val="15"/>
          <w:szCs w:val="15"/>
          <w:color w:val="auto"/>
        </w:rPr>
        <w:t>(5)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Trigilio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Baeuerle, Ph.D.</w:t>
      </w:r>
      <w:r>
        <w:rPr>
          <w:rFonts w:ascii="Times New Roman" w:cs="Times New Roman" w:eastAsia="Times New Roman" w:hAnsi="Times New Roman"/>
          <w:sz w:val="15"/>
          <w:szCs w:val="15"/>
          <w:color w:val="auto"/>
        </w:rPr>
        <w:t>(6)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Michaelson, Ph.D.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Corinne Savill, Ph.D.</w:t>
      </w:r>
      <w:r>
        <w:rPr>
          <w:rFonts w:ascii="Times New Roman" w:cs="Times New Roman" w:eastAsia="Times New Roman" w:hAnsi="Times New Roman"/>
          <w:sz w:val="15"/>
          <w:szCs w:val="15"/>
          <w:color w:val="auto"/>
        </w:rPr>
        <w:t>(7)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Wigginton, M.D.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Leigh Zawel, Ph.D.</w:t>
      </w:r>
      <w:r>
        <w:rPr>
          <w:rFonts w:ascii="Times New Roman" w:cs="Times New Roman" w:eastAsia="Times New Roman" w:hAnsi="Times New Roman"/>
          <w:sz w:val="15"/>
          <w:szCs w:val="15"/>
          <w:color w:val="auto"/>
        </w:rPr>
        <w:t>(8)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Ebeling</w:t>
      </w:r>
      <w:r>
        <w:rPr>
          <w:rFonts w:ascii="Times New Roman" w:cs="Times New Roman" w:eastAsia="Times New Roman" w:hAnsi="Times New Roman"/>
          <w:sz w:val="15"/>
          <w:szCs w:val="15"/>
          <w:color w:val="auto"/>
        </w:rPr>
        <w:t>(9)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Ansbert Gadicke, M.D.</w:t>
      </w:r>
      <w:r>
        <w:rPr>
          <w:rFonts w:ascii="Times New Roman" w:cs="Times New Roman" w:eastAsia="Times New Roman" w:hAnsi="Times New Roman"/>
          <w:sz w:val="15"/>
          <w:szCs w:val="15"/>
          <w:color w:val="auto"/>
        </w:rPr>
        <w:t>(10)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Morana Jovan-Embiricos, Ph.D.</w:t>
      </w:r>
      <w:r>
        <w:rPr>
          <w:rFonts w:ascii="Times New Roman" w:cs="Times New Roman" w:eastAsia="Times New Roman" w:hAnsi="Times New Roman"/>
          <w:sz w:val="15"/>
          <w:szCs w:val="15"/>
          <w:color w:val="auto"/>
        </w:rPr>
        <w:t>(11)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Rosenberg</w:t>
      </w:r>
      <w:r>
        <w:rPr>
          <w:rFonts w:ascii="Times New Roman" w:cs="Times New Roman" w:eastAsia="Times New Roman" w:hAnsi="Times New Roman"/>
          <w:sz w:val="15"/>
          <w:szCs w:val="15"/>
          <w:color w:val="auto"/>
        </w:rPr>
        <w:t>(12)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Webster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w:t>
      </w: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264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48"/>
        </w:trPr>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73"/>
        </w:trPr>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17"/>
        </w:trPr>
        <w:tc>
          <w:tcPr>
            <w:tcW w:w="11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180" w:type="dxa"/>
            <w:vAlign w:val="bottom"/>
            <w:gridSpan w:val="2"/>
          </w:tcPr>
          <w:p>
            <w:pPr>
              <w:jc w:val="center"/>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40" w:type="dxa"/>
            <w:vAlign w:val="bottom"/>
          </w:tcPr>
          <w:p>
            <w:pPr>
              <w:spacing w:after="0"/>
              <w:rPr>
                <w:sz w:val="10"/>
                <w:szCs w:val="10"/>
                <w:color w:val="auto"/>
              </w:rPr>
            </w:pPr>
          </w:p>
        </w:tc>
      </w:tr>
      <w:tr>
        <w:trPr>
          <w:trHeight w:val="173"/>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5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5"/>
                <w:szCs w:val="15"/>
                <w:color w:val="auto"/>
              </w:rPr>
            </w:pPr>
          </w:p>
        </w:tc>
      </w:tr>
      <w:tr>
        <w:trPr>
          <w:trHeight w:val="394"/>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1"/>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-2785745</wp:posOffset>
            </wp:positionV>
            <wp:extent cx="713232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-2510790</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-2236470</wp:posOffset>
            </wp:positionV>
            <wp:extent cx="71323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-1919605</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-1645285</wp:posOffset>
            </wp:positionV>
            <wp:extent cx="71323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-1370965</wp:posOffset>
            </wp:positionV>
            <wp:extent cx="71323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-1096645</wp:posOffset>
            </wp:positionV>
            <wp:extent cx="71323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-822325</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-548005</wp:posOffset>
            </wp:positionV>
            <wp:extent cx="71323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-273685</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2">
            <w:col w:w="4760" w:space="720"/>
            <w:col w:w="5760"/>
          </w:cols>
          <w:pgMar w:left="320" w:top="455" w:right="339" w:bottom="1440" w:gutter="0" w:footer="0" w:header="0"/>
          <w:type w:val="continuous"/>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Consists of (i)</w:t>
            </w:r>
          </w:p>
        </w:tc>
        <w:tc>
          <w:tcPr>
            <w:tcW w:w="90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Seed convertible preferred stock held by Globeways</w:t>
            </w:r>
          </w:p>
        </w:tc>
      </w:tr>
      <w:tr>
        <w:trPr>
          <w:trHeight w:val="216"/>
        </w:trPr>
        <w:tc>
          <w:tcPr>
            <w:tcW w:w="34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Holdings Limited, or Globeways, (ii)</w:t>
            </w:r>
          </w:p>
        </w:tc>
        <w:tc>
          <w:tcPr>
            <w:tcW w:w="77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A convertible preferred stock</w:t>
            </w:r>
          </w:p>
        </w:tc>
      </w:tr>
      <w:tr>
        <w:trPr>
          <w:trHeight w:val="216"/>
        </w:trPr>
        <w:tc>
          <w:tcPr>
            <w:tcW w:w="34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held by F2 Vision SCS, or F2 Vision, (iii)</w:t>
            </w:r>
          </w:p>
        </w:tc>
        <w:tc>
          <w:tcPr>
            <w:tcW w:w="774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A convertible preferred</w:t>
            </w:r>
          </w:p>
        </w:tc>
      </w:tr>
      <w:tr>
        <w:trPr>
          <w:trHeight w:val="216"/>
        </w:trPr>
        <w:tc>
          <w:tcPr>
            <w:tcW w:w="340" w:type="dxa"/>
            <w:vAlign w:val="bottom"/>
          </w:tcPr>
          <w:p>
            <w:pPr>
              <w:spacing w:after="0"/>
              <w:rPr>
                <w:sz w:val="18"/>
                <w:szCs w:val="18"/>
                <w:color w:val="auto"/>
              </w:rPr>
            </w:pPr>
          </w:p>
        </w:tc>
        <w:tc>
          <w:tcPr>
            <w:tcW w:w="5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stock held by F2 Bioscience I 2017 Limited, or F2 Bioscience 2017, (iv)</w:t>
            </w:r>
          </w:p>
        </w:tc>
        <w:tc>
          <w:tcPr>
            <w:tcW w:w="240" w:type="dxa"/>
            <w:vAlign w:val="bottom"/>
          </w:tcPr>
          <w:p>
            <w:pPr>
              <w:spacing w:after="0"/>
              <w:rPr>
                <w:sz w:val="18"/>
                <w:szCs w:val="18"/>
                <w:color w:val="auto"/>
              </w:rPr>
            </w:pPr>
          </w:p>
        </w:tc>
        <w:tc>
          <w:tcPr>
            <w:tcW w:w="51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w:t>
            </w:r>
          </w:p>
        </w:tc>
      </w:tr>
      <w:tr>
        <w:trPr>
          <w:trHeight w:val="216"/>
        </w:trPr>
        <w:tc>
          <w:tcPr>
            <w:tcW w:w="34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Series B convertible preferred stock and</w:t>
            </w:r>
          </w:p>
        </w:tc>
        <w:tc>
          <w:tcPr>
            <w:tcW w:w="44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shares of common stock issuable upon conversion of</w:t>
            </w:r>
          </w:p>
        </w:tc>
        <w:tc>
          <w:tcPr>
            <w:tcW w:w="3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shares of Series C convertible</w:t>
            </w:r>
          </w:p>
        </w:tc>
      </w:tr>
      <w:tr>
        <w:trPr>
          <w:trHeight w:val="216"/>
        </w:trPr>
        <w:tc>
          <w:tcPr>
            <w:tcW w:w="340" w:type="dxa"/>
            <w:vAlign w:val="bottom"/>
          </w:tcPr>
          <w:p>
            <w:pPr>
              <w:spacing w:after="0"/>
              <w:rPr>
                <w:sz w:val="18"/>
                <w:szCs w:val="18"/>
                <w:color w:val="auto"/>
              </w:rPr>
            </w:pPr>
          </w:p>
        </w:tc>
        <w:tc>
          <w:tcPr>
            <w:tcW w:w="5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preferred stock held by F2 TPO Investments LLC, or F2 TPO, (v)</w:t>
            </w:r>
          </w:p>
        </w:tc>
        <w:tc>
          <w:tcPr>
            <w:tcW w:w="53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B</w:t>
            </w:r>
          </w:p>
        </w:tc>
      </w:tr>
      <w:tr>
        <w:trPr>
          <w:trHeight w:val="216"/>
        </w:trPr>
        <w:tc>
          <w:tcPr>
            <w:tcW w:w="34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convertible preferred stock and</w:t>
            </w:r>
          </w:p>
        </w:tc>
        <w:tc>
          <w:tcPr>
            <w:tcW w:w="77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w w:val="99"/>
              </w:rPr>
              <w:t>shares of common stock issuable upon conversion of Series C convertible preferred stock held by F2 MG</w:t>
            </w:r>
          </w:p>
        </w:tc>
      </w:tr>
      <w:tr>
        <w:trPr>
          <w:trHeight w:val="216"/>
        </w:trPr>
        <w:tc>
          <w:tcPr>
            <w:tcW w:w="34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Limited, or F2 MG, (vi)</w:t>
            </w:r>
          </w:p>
        </w:tc>
        <w:tc>
          <w:tcPr>
            <w:tcW w:w="140" w:type="dxa"/>
            <w:vAlign w:val="bottom"/>
          </w:tcPr>
          <w:p>
            <w:pPr>
              <w:spacing w:after="0"/>
              <w:rPr>
                <w:sz w:val="18"/>
                <w:szCs w:val="18"/>
                <w:color w:val="auto"/>
              </w:rPr>
            </w:pPr>
          </w:p>
        </w:tc>
        <w:tc>
          <w:tcPr>
            <w:tcW w:w="888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color w:val="auto"/>
              </w:rPr>
              <w:t>shares of common stock issuable upon conversion of Series C convertible preferred stock held by F2 Bio TD,</w:t>
            </w:r>
          </w:p>
        </w:tc>
      </w:tr>
      <w:tr>
        <w:trPr>
          <w:trHeight w:val="216"/>
        </w:trPr>
        <w:tc>
          <w:tcPr>
            <w:tcW w:w="34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LLC, or F2 Bio, and (vii)</w:t>
            </w:r>
          </w:p>
        </w:tc>
        <w:tc>
          <w:tcPr>
            <w:tcW w:w="88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shares of common stock issuable upon conversion of Series C convertible preferred stock held by F2 MC, LLC,</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or F2 MC. Dr. Morana Jovan-Embiricos is a member of our board of directors and is the founding director of Globeways, which is the appointed</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manager of each F2 Bioscience 2017 and F2 MG. Dr. Morana Jovan-Embiricos is also the founder of Globeways’ wholly-owned subsidiaries</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Globeways Holdings II Limited, or Globeways II, and F2 Vision Management Sàrl, or F2 Vision Management, which are the appointed managers of</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F2 TPO and F2 Vision respectively. Dr. Morana Jovan-Embiricos makes investment decisions on behalf of all such entities with respect to shares</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held by such entities. Dr. Morana Jovan-Embiricos expressly disclaims beneficial ownership of the securities held by F2 Bioscience 2017, F2 MG,</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F2 TPO, and F2 Bio, F2 MC, and F2 Vision. The address for correspondence of Dr. Morana Jovan-Embiricos, Globeways, F2 Bioscience 2017 and</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F2 MG is 8, Rue Saint-Leger, CH 1205, Geneva, Switzerland. The address for correspondence of F2 TPO, F2 Bio and F2 MC is 8 West 38th Street,</w:t>
            </w:r>
          </w:p>
        </w:tc>
      </w:tr>
      <w:tr>
        <w:trPr>
          <w:trHeight w:val="216"/>
        </w:trPr>
        <w:tc>
          <w:tcPr>
            <w:tcW w:w="340" w:type="dxa"/>
            <w:vAlign w:val="bottom"/>
          </w:tcPr>
          <w:p>
            <w:pPr>
              <w:spacing w:after="0"/>
              <w:rPr>
                <w:sz w:val="18"/>
                <w:szCs w:val="18"/>
                <w:color w:val="auto"/>
              </w:rPr>
            </w:pPr>
          </w:p>
        </w:tc>
        <w:tc>
          <w:tcPr>
            <w:tcW w:w="98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Suite 1001, New York, NY 10018, USA, and the address for correspondence of F2 Vision is 74, Grand-Rue, L-1660 Luxembourg.</w:t>
            </w:r>
          </w:p>
        </w:tc>
        <w:tc>
          <w:tcPr>
            <w:tcW w:w="104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Consists of (i)</w:t>
            </w:r>
          </w:p>
        </w:tc>
        <w:tc>
          <w:tcPr>
            <w:tcW w:w="79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Seed convertible preferred stock, (ii)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340" w:type="dxa"/>
            <w:vAlign w:val="bottom"/>
          </w:tcPr>
          <w:p>
            <w:pPr>
              <w:spacing w:after="0"/>
              <w:rPr>
                <w:sz w:val="18"/>
                <w:szCs w:val="18"/>
                <w:color w:val="auto"/>
              </w:rPr>
            </w:pPr>
          </w:p>
        </w:tc>
        <w:tc>
          <w:tcPr>
            <w:tcW w:w="76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of common stock issuable upon conversion of shares of Series A convertible preferred stock, (iii)</w:t>
            </w:r>
          </w:p>
        </w:tc>
        <w:tc>
          <w:tcPr>
            <w:tcW w:w="3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shares of common stock issuable upon</w:t>
            </w:r>
          </w:p>
        </w:tc>
      </w:tr>
      <w:tr>
        <w:trPr>
          <w:trHeight w:val="216"/>
        </w:trPr>
        <w:tc>
          <w:tcPr>
            <w:tcW w:w="340" w:type="dxa"/>
            <w:vAlign w:val="bottom"/>
          </w:tcPr>
          <w:p>
            <w:pPr>
              <w:spacing w:after="0"/>
              <w:rPr>
                <w:sz w:val="18"/>
                <w:szCs w:val="18"/>
                <w:color w:val="auto"/>
              </w:rPr>
            </w:pPr>
          </w:p>
        </w:tc>
        <w:tc>
          <w:tcPr>
            <w:tcW w:w="5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conversion of shares of Series B convertible preferred stock, and (iv)</w:t>
            </w:r>
          </w:p>
        </w:tc>
        <w:tc>
          <w:tcPr>
            <w:tcW w:w="240" w:type="dxa"/>
            <w:vAlign w:val="bottom"/>
          </w:tcPr>
          <w:p>
            <w:pPr>
              <w:spacing w:after="0"/>
              <w:rPr>
                <w:sz w:val="18"/>
                <w:szCs w:val="18"/>
                <w:color w:val="auto"/>
              </w:rPr>
            </w:pPr>
          </w:p>
        </w:tc>
        <w:tc>
          <w:tcPr>
            <w:tcW w:w="5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C convertible preferred stock, in each case held by UBS Oncology Impact Fund L.P., or OIF. The general partner of OIF is Oncology Impact Fund</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(Cayman) Management L.P., or OIF GP. The general partner of OIF GP is MPM Oncology Impact Management L.P. The general partner of MPM</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9"/>
              </w:rPr>
              <w:t>Oncology Impact Management L.P. is MPM Oncology Impact Management GP LLC. Dr. Ansbert Gadicke is a member of our board of directors and</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is a managing member and the managing director of MPM Oncology Impact Management GP LLC. Each of the entities and individuals listed above</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expressly disclaims beneficial ownership of the securities listed above except to the extent of any pecuniary interest therein. The address of these</w:t>
            </w:r>
          </w:p>
        </w:tc>
      </w:tr>
      <w:tr>
        <w:trPr>
          <w:trHeight w:val="216"/>
        </w:trPr>
        <w:tc>
          <w:tcPr>
            <w:tcW w:w="340" w:type="dxa"/>
            <w:vAlign w:val="bottom"/>
          </w:tcPr>
          <w:p>
            <w:pPr>
              <w:spacing w:after="0"/>
              <w:rPr>
                <w:sz w:val="18"/>
                <w:szCs w:val="18"/>
                <w:color w:val="auto"/>
              </w:rPr>
            </w:pPr>
          </w:p>
        </w:tc>
        <w:tc>
          <w:tcPr>
            <w:tcW w:w="5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entities 450 Kendall Street, Cambridge, MA 02142.</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Consists of (i)</w:t>
            </w:r>
          </w:p>
        </w:tc>
        <w:tc>
          <w:tcPr>
            <w:tcW w:w="9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9"/>
              </w:rPr>
              <w:t>shares of common stock issuable upon conversion of Series C convertible preferred stock held by Foresite Capital V, L.P., or</w:t>
            </w:r>
          </w:p>
        </w:tc>
      </w:tr>
      <w:tr>
        <w:trPr>
          <w:trHeight w:val="216"/>
        </w:trPr>
        <w:tc>
          <w:tcPr>
            <w:tcW w:w="34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 V, and (ii)</w:t>
            </w:r>
          </w:p>
        </w:tc>
        <w:tc>
          <w:tcPr>
            <w:tcW w:w="140" w:type="dxa"/>
            <w:vAlign w:val="bottom"/>
          </w:tcPr>
          <w:p>
            <w:pPr>
              <w:spacing w:after="0"/>
              <w:rPr>
                <w:sz w:val="18"/>
                <w:szCs w:val="18"/>
                <w:color w:val="auto"/>
              </w:rPr>
            </w:pPr>
          </w:p>
        </w:tc>
        <w:tc>
          <w:tcPr>
            <w:tcW w:w="888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color w:val="auto"/>
              </w:rPr>
              <w:t>shares of common stock issuable upon conversion of Series C convertible preferred stock held by Foresite Capital</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8"/>
              </w:rPr>
              <w:t>Opportunity Fund V, L.P., or Opportunity Fund V. Foresite Capital Management V, LLC is the general partner of Fund V and may be deemed to have</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sole voting and dispositive power over the shares held by Fund V; and Foresite Capital Opportunity Management V, LLC is the general partner of</w:t>
            </w:r>
          </w:p>
        </w:tc>
      </w:tr>
      <w:tr>
        <w:trPr>
          <w:trHeight w:val="216"/>
        </w:trPr>
        <w:tc>
          <w:tcPr>
            <w:tcW w:w="340" w:type="dxa"/>
            <w:vAlign w:val="bottom"/>
          </w:tcPr>
          <w:p>
            <w:pPr>
              <w:spacing w:after="0"/>
              <w:rPr>
                <w:sz w:val="18"/>
                <w:szCs w:val="18"/>
                <w:color w:val="auto"/>
              </w:rPr>
            </w:pPr>
          </w:p>
        </w:tc>
        <w:tc>
          <w:tcPr>
            <w:tcW w:w="108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9"/>
              </w:rPr>
              <w:t>Opportunity Fund V and may be deemed to have sole voting and dispositive power over the shares held by Opportunity Fund V. The address of Fund</w:t>
            </w:r>
          </w:p>
        </w:tc>
      </w:tr>
      <w:tr>
        <w:trPr>
          <w:trHeight w:val="216"/>
        </w:trPr>
        <w:tc>
          <w:tcPr>
            <w:tcW w:w="340" w:type="dxa"/>
            <w:vAlign w:val="bottom"/>
          </w:tcPr>
          <w:p>
            <w:pPr>
              <w:spacing w:after="0"/>
              <w:rPr>
                <w:sz w:val="18"/>
                <w:szCs w:val="18"/>
                <w:color w:val="auto"/>
              </w:rPr>
            </w:pPr>
          </w:p>
        </w:tc>
        <w:tc>
          <w:tcPr>
            <w:tcW w:w="76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V and Opportunity Fund V is 600 Montgomery Street, Suite 4500, San Francisco, CA 94111.</w:t>
            </w: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Consists of (i)</w:t>
            </w:r>
          </w:p>
        </w:tc>
        <w:tc>
          <w:tcPr>
            <w:tcW w:w="79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B convertible preferred stock and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 of</w:t>
            </w:r>
          </w:p>
        </w:tc>
      </w:tr>
      <w:tr>
        <w:trPr>
          <w:trHeight w:val="216"/>
        </w:trPr>
        <w:tc>
          <w:tcPr>
            <w:tcW w:w="340" w:type="dxa"/>
            <w:vAlign w:val="bottom"/>
          </w:tcPr>
          <w:p>
            <w:pPr>
              <w:spacing w:after="0"/>
              <w:rPr>
                <w:sz w:val="18"/>
                <w:szCs w:val="18"/>
                <w:color w:val="auto"/>
              </w:rPr>
            </w:pPr>
          </w:p>
        </w:tc>
        <w:tc>
          <w:tcPr>
            <w:tcW w:w="98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common stock issuable upon conversion of Series C convertible preferred stock held by Cowen Healthcare Investments II LP, (ii)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r>
      <w:tr>
        <w:trPr>
          <w:trHeight w:val="216"/>
        </w:trPr>
        <w:tc>
          <w:tcPr>
            <w:tcW w:w="340" w:type="dxa"/>
            <w:vAlign w:val="bottom"/>
          </w:tcPr>
          <w:p>
            <w:pPr>
              <w:spacing w:after="0"/>
              <w:rPr>
                <w:sz w:val="18"/>
                <w:szCs w:val="18"/>
                <w:color w:val="auto"/>
              </w:rPr>
            </w:pPr>
          </w:p>
        </w:tc>
        <w:tc>
          <w:tcPr>
            <w:tcW w:w="76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common stock issuable upon conversion of shares of Series B convertible preferred stock and</w:t>
            </w:r>
          </w:p>
        </w:tc>
        <w:tc>
          <w:tcPr>
            <w:tcW w:w="3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shares of common stock issuable upon</w:t>
            </w:r>
          </w:p>
        </w:tc>
      </w:tr>
      <w:tr>
        <w:trPr>
          <w:trHeight w:val="216"/>
        </w:trPr>
        <w:tc>
          <w:tcPr>
            <w:tcW w:w="340" w:type="dxa"/>
            <w:vAlign w:val="bottom"/>
          </w:tcPr>
          <w:p>
            <w:pPr>
              <w:spacing w:after="0"/>
              <w:rPr>
                <w:sz w:val="18"/>
                <w:szCs w:val="18"/>
                <w:color w:val="auto"/>
              </w:rPr>
            </w:pPr>
          </w:p>
        </w:tc>
        <w:tc>
          <w:tcPr>
            <w:tcW w:w="5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conversion of Series C convertible preferred stock held by CHI EF II LP, (iii)</w:t>
            </w:r>
          </w:p>
        </w:tc>
        <w:tc>
          <w:tcPr>
            <w:tcW w:w="5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w:t>
            </w:r>
          </w:p>
        </w:tc>
      </w:tr>
      <w:tr>
        <w:trPr>
          <w:trHeight w:val="234"/>
        </w:trPr>
        <w:tc>
          <w:tcPr>
            <w:tcW w:w="340" w:type="dxa"/>
            <w:vAlign w:val="bottom"/>
          </w:tcPr>
          <w:p>
            <w:pPr>
              <w:spacing w:after="0"/>
              <w:rPr>
                <w:sz w:val="20"/>
                <w:szCs w:val="20"/>
                <w:color w:val="auto"/>
              </w:rPr>
            </w:pPr>
          </w:p>
        </w:tc>
        <w:tc>
          <w:tcPr>
            <w:tcW w:w="5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of Series B convertible preferred stock and shares of</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00"/>
          </w:cols>
          <w:pgMar w:left="320" w:top="455" w:right="379" w:bottom="1440"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78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95"/>
        </w:trPr>
        <w:tc>
          <w:tcPr>
            <w:tcW w:w="380" w:type="dxa"/>
            <w:vAlign w:val="bottom"/>
          </w:tcPr>
          <w:p>
            <w:pPr>
              <w:spacing w:after="0"/>
              <w:rPr>
                <w:sz w:val="24"/>
                <w:szCs w:val="24"/>
                <w:color w:val="auto"/>
              </w:rPr>
            </w:pPr>
          </w:p>
        </w:tc>
        <w:tc>
          <w:tcPr>
            <w:tcW w:w="10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common stock issuable upon conversion of Series C convertible preferred stock held by Cowen Healthcare Investments III LP, and</w:t>
            </w:r>
          </w:p>
        </w:tc>
      </w:tr>
      <w:tr>
        <w:trPr>
          <w:trHeight w:val="216"/>
        </w:trPr>
        <w:tc>
          <w:tcPr>
            <w:tcW w:w="38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(iv)</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common stock issuable upon conversion of shares of Series B convertible preferred stock and</w:t>
            </w:r>
          </w:p>
        </w:tc>
        <w:tc>
          <w:tcPr>
            <w:tcW w:w="1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of common</w:t>
            </w:r>
          </w:p>
        </w:tc>
      </w:tr>
      <w:tr>
        <w:trPr>
          <w:trHeight w:val="216"/>
        </w:trPr>
        <w:tc>
          <w:tcPr>
            <w:tcW w:w="380" w:type="dxa"/>
            <w:vAlign w:val="bottom"/>
          </w:tcPr>
          <w:p>
            <w:pPr>
              <w:spacing w:after="0"/>
              <w:rPr>
                <w:sz w:val="18"/>
                <w:szCs w:val="18"/>
                <w:color w:val="auto"/>
              </w:rPr>
            </w:pPr>
          </w:p>
        </w:tc>
        <w:tc>
          <w:tcPr>
            <w:tcW w:w="10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stock issuable upon conversion of Series C convertible preferred stock held by CHI EF III LP. CHI Advisors LLC, the investment adviser of each of</w:t>
            </w:r>
          </w:p>
        </w:tc>
      </w:tr>
      <w:tr>
        <w:trPr>
          <w:trHeight w:val="216"/>
        </w:trPr>
        <w:tc>
          <w:tcPr>
            <w:tcW w:w="380" w:type="dxa"/>
            <w:vAlign w:val="bottom"/>
          </w:tcPr>
          <w:p>
            <w:pPr>
              <w:spacing w:after="0"/>
              <w:rPr>
                <w:sz w:val="18"/>
                <w:szCs w:val="18"/>
                <w:color w:val="auto"/>
              </w:rPr>
            </w:pPr>
          </w:p>
        </w:tc>
        <w:tc>
          <w:tcPr>
            <w:tcW w:w="10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these entities, has voting and investment power with respect to their shares. Mr. Anderson, a member of our board of directors, is a Partner and Head</w:t>
            </w:r>
          </w:p>
        </w:tc>
      </w:tr>
      <w:tr>
        <w:trPr>
          <w:trHeight w:val="216"/>
        </w:trPr>
        <w:tc>
          <w:tcPr>
            <w:tcW w:w="380" w:type="dxa"/>
            <w:vAlign w:val="bottom"/>
          </w:tcPr>
          <w:p>
            <w:pPr>
              <w:spacing w:after="0"/>
              <w:rPr>
                <w:sz w:val="18"/>
                <w:szCs w:val="18"/>
                <w:color w:val="auto"/>
              </w:rPr>
            </w:pPr>
          </w:p>
        </w:tc>
        <w:tc>
          <w:tcPr>
            <w:tcW w:w="10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of Research at Cowen Healthcare Investments. The principal business address for these entities is 599 Lexington Avenue, 19</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Floor, New York, NY</w:t>
            </w:r>
          </w:p>
        </w:tc>
      </w:tr>
      <w:tr>
        <w:trPr>
          <w:trHeight w:val="216"/>
        </w:trPr>
        <w:tc>
          <w:tcPr>
            <w:tcW w:w="38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10022.</w:t>
            </w:r>
          </w:p>
        </w:tc>
        <w:tc>
          <w:tcPr>
            <w:tcW w:w="78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Mr. Hughes.</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9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in an entity of which Dr. Baeuerle is Managing Director and has sole voting and</w:t>
            </w:r>
          </w:p>
        </w:tc>
      </w:tr>
      <w:tr>
        <w:trPr>
          <w:trHeight w:val="216"/>
        </w:trPr>
        <w:tc>
          <w:tcPr>
            <w:tcW w:w="380" w:type="dxa"/>
            <w:vAlign w:val="bottom"/>
          </w:tcPr>
          <w:p>
            <w:pPr>
              <w:spacing w:after="0"/>
              <w:rPr>
                <w:sz w:val="18"/>
                <w:szCs w:val="18"/>
                <w:color w:val="auto"/>
              </w:rPr>
            </w:pPr>
          </w:p>
        </w:tc>
        <w:tc>
          <w:tcPr>
            <w:tcW w:w="8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 power over these shares.</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Dr. Savill.</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Dr. Zawel.</w:t>
            </w:r>
          </w:p>
        </w:tc>
        <w:tc>
          <w:tcPr>
            <w:tcW w:w="1860" w:type="dxa"/>
            <w:vAlign w:val="bottom"/>
          </w:tcPr>
          <w:p>
            <w:pPr>
              <w:spacing w:after="0"/>
              <w:rPr>
                <w:sz w:val="18"/>
                <w:szCs w:val="18"/>
                <w:color w:val="auto"/>
              </w:rPr>
            </w:pPr>
          </w:p>
        </w:tc>
      </w:tr>
      <w:tr>
        <w:trPr>
          <w:trHeight w:val="216"/>
        </w:trPr>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Mr. Ebeling.</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Dr. Gadicke.</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Dr. Jovan-Embiricos.</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Mr. Rosenberg.</w:t>
            </w:r>
          </w:p>
        </w:tc>
        <w:tc>
          <w:tcPr>
            <w:tcW w:w="18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Consists of</w:t>
            </w:r>
          </w:p>
        </w:tc>
        <w:tc>
          <w:tcPr>
            <w:tcW w:w="9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shares of restricted common stock held by executive officers and directors, as described in notes four (5) through eleven (12)</w:t>
            </w:r>
          </w:p>
        </w:tc>
      </w:tr>
      <w:tr>
        <w:trPr>
          <w:trHeight w:val="234"/>
        </w:trPr>
        <w:tc>
          <w:tcPr>
            <w:tcW w:w="380" w:type="dxa"/>
            <w:vAlign w:val="bottom"/>
          </w:tcPr>
          <w:p>
            <w:pPr>
              <w:spacing w:after="0"/>
              <w:rPr>
                <w:sz w:val="20"/>
                <w:szCs w:val="20"/>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above.</w:t>
            </w:r>
          </w:p>
        </w:tc>
        <w:tc>
          <w:tcPr>
            <w:tcW w:w="78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64"/>
        </w:trPr>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8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216</w:t>
            </w:r>
          </w:p>
        </w:tc>
        <w:tc>
          <w:tcPr>
            <w:tcW w:w="1860" w:type="dxa"/>
            <w:vAlign w:val="bottom"/>
          </w:tcPr>
          <w:p>
            <w:pPr>
              <w:spacing w:after="0"/>
              <w:rPr>
                <w:sz w:val="24"/>
                <w:szCs w:val="24"/>
                <w:color w:val="auto"/>
              </w:rPr>
            </w:pPr>
          </w:p>
        </w:tc>
      </w:tr>
    </w:tbl>
    <w:p>
      <w:pPr>
        <w:sectPr>
          <w:pgSz w:w="11900" w:h="16838" w:orient="portrait"/>
          <w:cols w:equalWidth="0" w:num="1">
            <w:col w:w="11160"/>
          </w:cols>
          <w:pgMar w:left="320" w:top="455" w:right="41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amended and restated certificate of incorporation as they will be in effect immediately prior to the completion of this offering and amended and restated bylaws as they will be in effect upon the effectiveness of this registration statement are summaries and are qualified in their entirety by reference to our amended and restated certificate of incorporation that will be effective immediately prior to the completion of this offering and amended and restated bylaws that will be in effect upon the effectiveness of this registration statement of which this prospectus is a part, the forms of which are filed as exhibits to the registration statement of which this prospectus forms a part. The description of our common stock reflects the completion of the Reorganization, which will occur immediately prior to the completion of this offering. See “Reorganization” for more information concerning the Reorganization.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consummation of this offering, our board of directors will have the authority, without further action by our stockholders, to issue up</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to shares of convertible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convertible preferred stock could adversely affect the voting power of holders of common stock and the likelihood that such holders will receive dividend payments and payments upon our liquidation. In addition, the issuance of convertible preferred stock could have the effect of delaying, deferring or preventing a change in control of our company or other corporate action. Immediately after consummation of this offering, no shares of convertible preferred stock will be outstanding, and we have no present plan to issue any shares of convertible preferred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we will be entering into a registration rights agreement with certain of our shareholders. Upon the completion of this offering, certain holders of shares of our common stock will be entitled to rights with respect to the registration of these securities under the Securities Act. These rights will be provided under the terms of the registration rights agreement. The registration rights agreement will include demand registration rights, short-form registration rights and piggyback registration rights. All fees, costs and expenses incurred in connection with registrations under the registration rights agreement will be borne by us, and all selling expenses, including underwriting discounts and selling commissions, will be borne by the holders of the shares being registered.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00"/>
          </w:cols>
          <w:pgMar w:left="320" w:top="455" w:right="3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S-1 Demand Registration Rights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180 days after the effective date of the registration statement for this offering, the holders of our registrable securities will be entitled to demand registration rights. Under the terms of our registration rights agreement, we will be required, upon the request of a holder of at least a majority of our then outstanding registrable securities, to file a registration statement and use reasonable best efforts to effect the registration for public resale of these shares and any additional registrable securities requested to be included in such registration by any other holders of our registrable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Demand Registration Rights</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the holders of our registrable securities will also be entitled to short-form registration rights. Pursuant to our registration rights agreement, at any time that we are eligible to file a registration statement on Form S-3, upon the request of a holder of our registrable securities, we will be required to use our reasonable best efforts to effect a registration of such shares and any additional registrable securities requested to be included in such registration by any other holders of our registrable securities. We will be required to effect up to two registrations in any twelve-month period pursuant to this provision of the registration rights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holders of our registrable securities will be entitled to piggyback registration rights. If we register any of our securities either for our own account or for the account of other security holders, the holders of our outstanding registrable securities will be entitled to include their shares in the registration. Subject to certain exceptions contained in the registration rights agreement, we and the underwriters may limit the number of shares included in the underwritten offering if the underwriters determine that marketing factors require a limitation of the number of shares to be underwritten.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Our registration rights agreement contains customary cross-indemnification provisions, under which we will be obligated to indemnify holders of registrable securities in the event of material misstatements or omissions in the registration statement attributable to us, and they will be obligated to indemnify us for material misstatements or omissions attributable to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We will pay the registration expenses, subject to certain limited exceptions contained in the registration rights agreement, of the holders of the shares registered pursuant to the demand, short-form and piggyback registration rights described above, including the expenses of one counsel for the selling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registration rights granted under the registration rights agreement will terminate upon the earliest to occur of: (i) such time after our initial public offering when all registrable securities could be sold under Rule 144 of the Securities Act or a similar exemption without limitation during a three-month period without registration; (ii) the consummation of a transaction or series of transactions in which a person, or a group of persons, acquires from our stockholders, shares representing more than 50% of our outstanding voting stock; and (iii) the consummation of a transaction or series of transactions in which a person, or group of persons, acquires the right to receive the majority of the proceeds in a final liquidation, dissolution or termination, voluntary or involuntary, of the company.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200"/>
          </w:cols>
          <w:pgMar w:left="320" w:top="455" w:right="37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 Certificate of Incorporation and Amended and Restated Bylaws</w:t>
      </w:r>
    </w:p>
    <w:p>
      <w:pPr>
        <w:spacing w:after="0" w:line="5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and of our amended and restated certificate of incorporation that will become effective upon the completion of this offering and amended and restated bylaws that will become effective upon the effectiveness of this registration statement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ind w:firstLine="449"/>
        <w:spacing w:after="0" w:line="27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for the division of our board of directors into three classes serving staggered three-year terms, with one class being elected each year. Our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220"/>
          </w:cols>
          <w:pgMar w:left="320" w:top="455" w:right="3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460"/>
        <w:spacing w:after="0"/>
        <w:tabs>
          <w:tab w:leader="none" w:pos="5980" w:val="left"/>
        </w:tabs>
        <w:rPr>
          <w:sz w:val="20"/>
          <w:szCs w:val="20"/>
          <w:color w:val="auto"/>
        </w:rPr>
      </w:pPr>
      <w:r>
        <w:rPr>
          <w:rFonts w:ascii="Times New Roman" w:cs="Times New Roman" w:eastAsia="Times New Roman" w:hAnsi="Times New Roman"/>
          <w:sz w:val="18"/>
          <w:szCs w:val="18"/>
          <w:color w:val="auto"/>
        </w:rPr>
        <w:t>Our amended and restated certificate of incorporation provides for</w:t>
      </w:r>
      <w:r>
        <w:rPr>
          <w:sz w:val="20"/>
          <w:szCs w:val="20"/>
          <w:color w:val="auto"/>
        </w:rPr>
        <w:tab/>
      </w:r>
      <w:r>
        <w:rPr>
          <w:rFonts w:ascii="Times New Roman" w:cs="Times New Roman" w:eastAsia="Times New Roman" w:hAnsi="Times New Roman"/>
          <w:sz w:val="18"/>
          <w:szCs w:val="18"/>
          <w:color w:val="auto"/>
        </w:rPr>
        <w:t>authorized shares of preferred stock. The existence of authorized but</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unless we consent in writing to the selection of an alternative forum, the Court of Chancery of the State of Delaware shall be the sole and exclusive forum for any state law claims for (1) any derivative action or proceeding brought on our behalf,</w:t>
      </w:r>
    </w:p>
    <w:p>
      <w:pPr>
        <w:ind w:right="40" w:firstLine="8"/>
        <w:spacing w:after="0" w:line="251" w:lineRule="auto"/>
        <w:tabs>
          <w:tab w:leader="none" w:pos="2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and employees to us or our stockholders, (3) any action asserting a claim arising pursuant to the Delaware General Corporation Law, our certificate of incorporation or our bylaws, (4) any action to interpret, apply, enforce or determine the validity of our certificate of incorporation or bylaws, or (5) any action asserting a claim that is governed by the internal affairs doctrine; provided, however, that the this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Takeover Statute</w:t>
      </w:r>
    </w:p>
    <w:p>
      <w:pPr>
        <w:spacing w:after="0" w:line="121"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9" w:lineRule="exact"/>
        <w:rPr>
          <w:sz w:val="20"/>
          <w:szCs w:val="20"/>
          <w:color w:val="auto"/>
        </w:rPr>
      </w:pPr>
    </w:p>
    <w:p>
      <w:pPr>
        <w:ind w:left="1000" w:right="20" w:hanging="547"/>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00" w:right="280" w:hanging="547"/>
        <w:spacing w:after="0" w:line="26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00" w:hanging="547"/>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exchange, mortgage or other disposition involving the interested stockholder of 10% or more of the assets of the corporation;</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240"/>
          </w:cols>
          <w:pgMar w:left="320" w:top="455"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“Executive and Director Compensation—Limitation on Liability and Indemnification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“CGEM.”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Computershare Trust Company, N.A. The transfer agent and registrar’s address is 250 Royall Street, Canton, Massachusetts 02021, and its telephone number is (800) 962-4284.</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that future sales of shares of common stock, or the availability for future sale of shares of common stock, will have on the market price of shares of our common stock prevailing from time to time. The sale of substantial amounts of shares of our common stock in the public market, or the perception that such sales could occur, could harm the prevailing market price of shares of our common stock.</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Currently, no shares of our common stock are outstanding. Upon the completion of this offering, we will have a total of shares of our common stock outstanding (or shares of common stock if the underwriters exercise in full their option to purchase additional shares of common stock). Of the outstanding shares, all of the shares sold in this offering will be freely tradable (excluding any shares sold to our directors and officers in the directed share program), except that any shares, including shares sold to an entity affiliated with an existing shareholder that may purchase shares in this offering, held by our affiliates, as that term is defined in Rule 144 under the Securities Act, may only be sold in compliance with the limitations described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stock for at least six months would be entitled to sell their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00"/>
          </w:cols>
          <w:pgMar w:left="320" w:top="455" w:right="379" w:bottom="1440" w:gutter="0" w:footer="0" w:header="0"/>
        </w:sectPr>
      </w:pPr>
    </w:p>
    <w:p>
      <w:pPr>
        <w:spacing w:after="0" w:line="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 of the number of shares then outstanding, which will equal approximately shares immediately after this offering assuming no exercise of the underwriters’ option to purchase additional shares, based on the number of shares outstanding as of September 30, 2020; or</w:t>
      </w:r>
    </w:p>
    <w:p>
      <w:pPr>
        <w:spacing w:after="0" w:line="67" w:lineRule="exact"/>
        <w:rPr>
          <w:sz w:val="20"/>
          <w:szCs w:val="20"/>
          <w:color w:val="auto"/>
        </w:rPr>
      </w:pPr>
    </w:p>
    <w:p>
      <w:pPr>
        <w:sectPr>
          <w:pgSz w:w="11900" w:h="16838" w:orient="portrait"/>
          <w:cols w:equalWidth="0" w:num="2">
            <w:col w:w="520" w:space="480"/>
            <w:col w:w="10200"/>
          </w:cols>
          <w:pgMar w:left="320" w:top="455" w:right="379" w:bottom="1440" w:gutter="0" w:footer="0" w:header="0"/>
          <w:type w:val="continuous"/>
        </w:sectPr>
      </w:pPr>
    </w:p>
    <w:p>
      <w:pPr>
        <w:ind w:left="1000" w:hanging="547"/>
        <w:spacing w:after="0" w:line="282"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the sale;</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provided, in each case, that we are subject to the Exchange Act periodic reporting requirements for at least 90 days before the sale. Such sales both by affiliates and by non-affiliates must also comply with the current public information and, with respect to sales by affiliates, the manner of sale, current public information and notice provisions of Rule 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We, along with our directors, executive officers and substantially all of our other stockholders have agreed with the underwriters that for a period ending 180 days (the restricted period), after the date of this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200"/>
          </w:cols>
          <w:pgMar w:left="320" w:top="455" w:right="379" w:bottom="1440" w:gutter="0" w:footer="0" w:header="0"/>
          <w:type w:val="continuous"/>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specified exceptions, we or they will not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enter into any swap or other arrangement that transfers to another, in whole or in part, any of the economic consequences of ownership of the common stock. Upon expiration of the “restricted” period, certain of our stockholders will have the right to require us to register their shares under the Securities Act of 1933, as amended, or the Securities Act. See “— Registration Rights” below and “Description of Capital Stock—Registration Rights.”</w:t>
      </w:r>
    </w:p>
    <w:p>
      <w:pPr>
        <w:spacing w:after="0" w:line="18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shareholders,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completion of this offering, we intend to file a Form S-8 registration statement under the Securities Act to register shares of our common stock subject to options and restricted stock reserved for issuance under our 2021 Stock Option and Incentive Plan.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Compensation—Employee Benefit and Stock Plans.”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220"/>
          </w:cols>
          <w:pgMar w:left="320" w:top="455" w:right="3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1" w:lineRule="exact"/>
        <w:rPr>
          <w:sz w:val="20"/>
          <w:szCs w:val="20"/>
          <w:color w:val="auto"/>
        </w:rPr>
      </w:pPr>
    </w:p>
    <w:p>
      <w:pPr>
        <w:ind w:left="1000" w:hanging="547"/>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organization taxable as a corporation for U.S. federal income tax purposes that is created or organized in or under laws other than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not subject to U.S. federal income tax on a net income basis; or</w:t>
      </w:r>
    </w:p>
    <w:p>
      <w:pPr>
        <w:spacing w:after="0" w:line="130" w:lineRule="exact"/>
        <w:rPr>
          <w:rFonts w:ascii="Times New Roman" w:cs="Times New Roman" w:eastAsia="Times New Roman" w:hAnsi="Times New Roman"/>
          <w:sz w:val="18"/>
          <w:szCs w:val="18"/>
          <w:color w:val="auto"/>
        </w:rPr>
      </w:pPr>
    </w:p>
    <w:p>
      <w:pPr>
        <w:ind w:left="1000" w:right="200" w:hanging="547"/>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the income of which is not subject to U.S. federal income tax on a net income basis and that (1) is not subject to the primary supervision of a court within the United States or over which no U.S. persons have authority to control all substantial decisions and (2) has not made an election to be treated as a U.S. person.</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0"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which is generally property held for investment.</w:t>
      </w:r>
    </w:p>
    <w:p>
      <w:pPr>
        <w:spacing w:after="0" w:line="173"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a particular non-U.S. holder in light of that non-U.S. holder’s individual circumstances nor does it address any U.S. state, local or non-U.S. tax considerations, the alternative minimum tax, the Medicare tax on net investment income, the rules regarding qualified small business stock within the meaning of Section 1202 of the Code,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89" w:lineRule="exact"/>
        <w:rPr>
          <w:sz w:val="20"/>
          <w:szCs w:val="20"/>
          <w:color w:val="auto"/>
        </w:rPr>
      </w:pPr>
    </w:p>
    <w:p>
      <w:pPr>
        <w:ind w:left="1000" w:hanging="54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200"/>
          </w:cols>
          <w:pgMar w:left="320" w:top="455" w:right="37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or entities wholly-owned by a “qualified foreign pension fund”;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common stock being taken into account in an applicable financial statement under Section 451(b) of the Code;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common stock as part of a straddle, hedge, conversion transaction, synthetic security or other integrated investment; and</w:t>
      </w:r>
    </w:p>
    <w:p>
      <w:pPr>
        <w:spacing w:after="0" w:line="142"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25"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8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as applicable,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220"/>
          </w:cols>
          <w:pgMar w:left="320" w:top="455" w:right="3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Our Common Stock</w:t>
      </w:r>
    </w:p>
    <w:p>
      <w:pPr>
        <w:spacing w:after="0" w:line="121"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1" w:lineRule="exact"/>
        <w:rPr>
          <w:sz w:val="20"/>
          <w:szCs w:val="20"/>
          <w:color w:val="auto"/>
        </w:rPr>
      </w:pPr>
    </w:p>
    <w:p>
      <w:pPr>
        <w:ind w:left="1000" w:right="100" w:hanging="547"/>
        <w:spacing w:after="0" w:line="258"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210" w:lineRule="exact"/>
        <w:rPr>
          <w:rFonts w:ascii="Times New Roman" w:cs="Times New Roman" w:eastAsia="Times New Roman" w:hAnsi="Times New Roman"/>
          <w:sz w:val="18"/>
          <w:szCs w:val="18"/>
          <w:color w:val="auto"/>
        </w:rPr>
      </w:pPr>
    </w:p>
    <w:p>
      <w:pPr>
        <w:ind w:left="1000" w:hanging="547"/>
        <w:spacing w:after="0" w:line="256"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214" w:lineRule="exact"/>
        <w:rPr>
          <w:rFonts w:ascii="Times New Roman" w:cs="Times New Roman" w:eastAsia="Times New Roman" w:hAnsi="Times New Roman"/>
          <w:sz w:val="18"/>
          <w:szCs w:val="18"/>
          <w:color w:val="auto"/>
        </w:rPr>
      </w:pPr>
    </w:p>
    <w:p>
      <w:pPr>
        <w:ind w:left="1000" w:hanging="547"/>
        <w:spacing w:after="0" w:line="254"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3"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and Information Reporting Requirements—FATCA</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Foreign Account Tax Compliance Act and guidance issued thereunder, or FATCA, imposes withholding taxes on certain types of payments made to “foreign financial institutions” and certain other foreign entities (including financial intermediaries). FATCA generally imposes withholding at a rate of 30% on payments to certain foreign entities of dividends (including deemed dividends on warrants) on our common stock and certain other withholdable payments, unless various U.S. information reporting and due diligence requirements (generally relating to ownership by U.S. persons of interests in or accounts with those entities) have been satisfied or the entity otherwise qualifies for an exemption. An intergovernmental agreement between the United States and an applicable foreign country may modify these requirements. Such withholding may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You should consult your tax advisor regarding the application of FATCA.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220"/>
          </w:cols>
          <w:pgMar w:left="320" w:top="455" w:right="3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SVB Leerink LLC, and Evercore Group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490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8"/>
        </w:trPr>
        <w:tc>
          <w:tcPr>
            <w:tcW w:w="222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6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8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20" w:type="dxa"/>
            <w:vAlign w:val="bottom"/>
            <w:tcBorders>
              <w:top w:val="single" w:sz="8" w:color="auto"/>
            </w:tcBorders>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9"/>
        </w:trPr>
        <w:tc>
          <w:tcPr>
            <w:tcW w:w="8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8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620" w:type="dxa"/>
            <w:vAlign w:val="bottom"/>
          </w:tcPr>
          <w:p>
            <w:pPr>
              <w:spacing w:after="0"/>
              <w:rPr>
                <w:sz w:val="24"/>
                <w:szCs w:val="24"/>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We have</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or FINRA, for up</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to $</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trading symbol “CGEM”.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agreed that for a period ending 180 days after the date of this prospectus, or the restricted period, we will not, subject to certain exceptions,</w:t>
      </w:r>
    </w:p>
    <w:p>
      <w:pPr>
        <w:spacing w:after="0" w:line="27" w:lineRule="exact"/>
        <w:rPr>
          <w:sz w:val="20"/>
          <w:szCs w:val="20"/>
          <w:color w:val="auto"/>
        </w:rPr>
      </w:pPr>
    </w:p>
    <w:p>
      <w:pPr>
        <w:ind w:firstLine="8"/>
        <w:spacing w:after="0" w:line="252" w:lineRule="auto"/>
        <w:tabs>
          <w:tab w:leader="none" w:pos="2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SEC relating to the offering of any shares of common stock or any securities convertible into or exercisable or exchangeable for common stock.</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All of our directors and officers and substantially all of the holders of units or other interests in Cullinan Oncology, LLC have entered into lock-up agreements with the underwriters prior to the commencement of this initial public offering pursuant to which each of these persons or entities, has agreed not to, during the restricted period, without the prior written consent of the representatives: (1) offer, pledge, sell, contract to sell, sell any option or contract to purchase, purchase any option or contract to sell, grant any option, right or warrant to purchase, lend, or otherwise transfer or dispose of, directly or indirectly, any shares of our common stock or units of Cullinan Oncology, LLC beneficially owned (as such term is used in Rule 13d-3 of the Exchange Act, by the party subject to the lock-up restrictions or any other securities so owned convertible into or exercisable or exchangeable for common stock, units of Cullinan Oncology, LLC or such other securities or (2) enter into any swap or other arrangement that transfers to another, in whole or in part, any of the economic consequences of ownership of common stock, units of Cullinan Oncology, LLC or such other securities, whether any such transaction described in (1) or (2) above is to be settled by delivery of common stock, units of Cullinan Oncology, LLC or such other securities, in cash or otherwise. The foregoing sentence shall not apply to any actions that the party subject to the lock-up restrictions may be required to take or may be necessary to take in connection with the reorganization; provided that any such securities shall remain subject to the terms of the lock-up agreement.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w:t>
      </w:r>
    </w:p>
    <w:p>
      <w:pPr>
        <w:spacing w:after="0" w:line="225" w:lineRule="exact"/>
        <w:rPr>
          <w:sz w:val="20"/>
          <w:szCs w:val="20"/>
          <w:color w:val="auto"/>
        </w:rPr>
      </w:pPr>
    </w:p>
    <w:p>
      <w:pPr>
        <w:ind w:right="160" w:firstLine="457"/>
        <w:spacing w:after="0" w:line="261" w:lineRule="auto"/>
        <w:tabs>
          <w:tab w:leader="none" w:pos="69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this public offering (other than any issuer directed shares of common stock purchased in this public offering) or in open market transactions after the completion of this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such open market transactions;</w:t>
      </w:r>
    </w:p>
    <w:p>
      <w:pPr>
        <w:spacing w:after="0" w:line="179" w:lineRule="exact"/>
        <w:rPr>
          <w:rFonts w:ascii="Times New Roman" w:cs="Times New Roman" w:eastAsia="Times New Roman" w:hAnsi="Times New Roman"/>
          <w:sz w:val="18"/>
          <w:szCs w:val="18"/>
          <w:color w:val="auto"/>
        </w:rPr>
      </w:pPr>
    </w:p>
    <w:p>
      <w:pPr>
        <w:jc w:val="both"/>
        <w:ind w:firstLine="457"/>
        <w:spacing w:after="0" w:line="261" w:lineRule="auto"/>
        <w:tabs>
          <w:tab w:leader="none" w:pos="7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or to a charitable organization or educational institution in a transfer not involving a disposition for value or (ii) if the party subject to the lock-up restrictions is a corporation, partnership or other business entity, as part of a disposition, transfer or distribution without consideration to limited partners or stockholders of such entity;</w:t>
      </w:r>
    </w:p>
    <w:p>
      <w:pPr>
        <w:spacing w:after="0" w:line="179" w:lineRule="exact"/>
        <w:rPr>
          <w:rFonts w:ascii="Times New Roman" w:cs="Times New Roman" w:eastAsia="Times New Roman" w:hAnsi="Times New Roman"/>
          <w:sz w:val="18"/>
          <w:szCs w:val="18"/>
          <w:color w:val="auto"/>
        </w:rPr>
      </w:pPr>
    </w:p>
    <w:p>
      <w:pPr>
        <w:ind w:right="140" w:firstLine="457"/>
        <w:spacing w:after="0" w:line="266" w:lineRule="auto"/>
        <w:tabs>
          <w:tab w:leader="none" w:pos="82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or any security convertible into or exercisable or exchangeable for common stock to any member of the immediate family of the party subject to the lock-up restrictions or any trust for the direct or indirect benefit of the party subject to the lock-up restrictions or the immediate family of such person in a transaction not involving a disposition for value;</w:t>
      </w:r>
    </w:p>
    <w:p>
      <w:pPr>
        <w:spacing w:after="0" w:line="175" w:lineRule="exact"/>
        <w:rPr>
          <w:rFonts w:ascii="Times New Roman" w:cs="Times New Roman" w:eastAsia="Times New Roman" w:hAnsi="Times New Roman"/>
          <w:sz w:val="18"/>
          <w:szCs w:val="18"/>
          <w:color w:val="auto"/>
        </w:rPr>
      </w:pPr>
    </w:p>
    <w:p>
      <w:pPr>
        <w:ind w:right="360" w:firstLine="457"/>
        <w:spacing w:after="0" w:line="282" w:lineRule="auto"/>
        <w:tabs>
          <w:tab w:leader="none" w:pos="7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or any security convertible into or exercisable or exchangeable for common stock (i) by will, other testamentary document or intestate succession to the legal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220"/>
          </w:cols>
          <w:pgMar w:left="320" w:top="455" w:right="3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representative, heir, beneficiary or a member of the immediate family of the party subject to the lock-up restrictions upon the death of the party subject to the lock-up restrictions or (ii) by operation of law pursuant to orders of a court or regulatory agency, in connection with a negotiated divorce settlement or pursuant to a qualified domestic relations order;</w:t>
      </w:r>
    </w:p>
    <w:p>
      <w:pPr>
        <w:spacing w:after="0" w:line="176" w:lineRule="exact"/>
        <w:rPr>
          <w:sz w:val="20"/>
          <w:szCs w:val="20"/>
          <w:color w:val="auto"/>
        </w:rPr>
      </w:pPr>
    </w:p>
    <w:p>
      <w:pPr>
        <w:ind w:right="40" w:firstLine="457"/>
        <w:spacing w:after="0" w:line="258" w:lineRule="auto"/>
        <w:tabs>
          <w:tab w:leader="none" w:pos="8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subject to the lock-up restrictions is an entity, (x) transfers or distributions of common stock or any security convertible into common stock to general or limited partners, members or stockholders of such entity, its direct or indirect affiliates (as defined in Rule 405 promulgated under the Securities Act of 1933, as amended) or to an investment fund or other entity that controls or manages, or is under common control with, the party subject to the lock-up restrictions, or (y) distributions of common stock or any security convertible into common stock to partners, members, stockholders, beneficiaries or other equity holders of such entity;</w:t>
      </w:r>
    </w:p>
    <w:p>
      <w:pPr>
        <w:spacing w:after="0" w:line="183" w:lineRule="exact"/>
        <w:rPr>
          <w:rFonts w:ascii="Times New Roman" w:cs="Times New Roman" w:eastAsia="Times New Roman" w:hAnsi="Times New Roman"/>
          <w:sz w:val="18"/>
          <w:szCs w:val="18"/>
          <w:color w:val="auto"/>
        </w:rPr>
      </w:pPr>
    </w:p>
    <w:p>
      <w:pPr>
        <w:ind w:right="140" w:firstLine="457"/>
        <w:spacing w:after="0" w:line="258" w:lineRule="auto"/>
        <w:tabs>
          <w:tab w:leader="none" w:pos="8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common stock or any security convertible into or exercisable or exchangeable for common stock to the Company pursuant to any contractual arrangement in effect on the date of the lock-up agreement and disclosed to the underwriters in writing that provides for the repurchase of the party subject to the lock-up restrictions’ common stock or other securities by the Company or in connection with the termination of the party subject to the lock-up restrictions’ employment with or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reporting a reduction in beneficial ownership of Common Stock shall indicate by footnote disclosure or otherwise the nature of the transfer or disposition;</w:t>
      </w:r>
    </w:p>
    <w:p>
      <w:pPr>
        <w:spacing w:after="0" w:line="183" w:lineRule="exact"/>
        <w:rPr>
          <w:rFonts w:ascii="Times New Roman" w:cs="Times New Roman" w:eastAsia="Times New Roman" w:hAnsi="Times New Roman"/>
          <w:sz w:val="18"/>
          <w:szCs w:val="18"/>
          <w:color w:val="auto"/>
        </w:rPr>
      </w:pPr>
    </w:p>
    <w:p>
      <w:pPr>
        <w:ind w:right="20" w:firstLine="457"/>
        <w:spacing w:after="0" w:line="255" w:lineRule="auto"/>
        <w:tabs>
          <w:tab w:leader="none" w:pos="83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or other securities to the Company in connection with the conversion of any convertible security into, or the exercise of any option or warrant for, common stock (including by way of “net” or “cashless” exercise solely to cover withholding tax obligations in connection with such exercise and any transfer to the Company for the payment of taxes as a result of such exercise); provided that (i) any such common stock received by the party subject to the lock-up restrictions shall be subject to the terms of the lock-up agreement and (ii) no filing under Section 16 of the Exchange Act, reporting a reduction in beneficial ownership of common stock, or other public announcement shall be required or shall be voluntarily made during the restricted period (other than a filing on a Form 4 that reports such disposition under the transaction code “F” and indicates by footnote disclosure or otherwise the nature of the transfer or disposition);</w:t>
      </w:r>
    </w:p>
    <w:p>
      <w:pPr>
        <w:spacing w:after="0" w:line="188" w:lineRule="exact"/>
        <w:rPr>
          <w:rFonts w:ascii="Times New Roman" w:cs="Times New Roman" w:eastAsia="Times New Roman" w:hAnsi="Times New Roman"/>
          <w:sz w:val="18"/>
          <w:szCs w:val="18"/>
          <w:color w:val="auto"/>
        </w:rPr>
      </w:pPr>
    </w:p>
    <w:p>
      <w:pPr>
        <w:ind w:right="40" w:firstLine="457"/>
        <w:spacing w:after="0" w:line="258" w:lineRule="auto"/>
        <w:tabs>
          <w:tab w:leader="none" w:pos="88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the party subject to the lock-up restrictions or the Company regarding the establishment of such plan, such announcement or filing shall include a statement to the effect that no transfer of common stock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ind w:firstLine="457"/>
        <w:spacing w:after="0" w:line="254" w:lineRule="auto"/>
        <w:tabs>
          <w:tab w:leader="none" w:pos="7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and (ii) entry into any lock-up, voting or similar agreement pursuant to which the party subject to the lock-up restrictions may agree to transfer, sell, tender or otherwise dispose of common stock or such other securities in connection with a transaction described in (i) above; provided that in the event that such change of control transaction is not completed, the common stock (or any security convertible into or exercisable or exchangeable for common stock) owned by the party subject to the lock-up restrictions shall remain subject to the restrictions contained in the lock-up agreement;</w:t>
      </w:r>
    </w:p>
    <w:p>
      <w:pPr>
        <w:spacing w:after="0" w:line="186" w:lineRule="exact"/>
        <w:rPr>
          <w:sz w:val="20"/>
          <w:szCs w:val="20"/>
          <w:color w:val="auto"/>
        </w:rPr>
      </w:pPr>
    </w:p>
    <w:p>
      <w:pPr>
        <w:ind w:right="3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(b), (c), (d) or (e) above, (i) each transferee, donee or distributee shall 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lock-up letter substantially in the form of this letter and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8"/>
        <w:spacing w:after="0" w:line="261" w:lineRule="auto"/>
        <w:tabs>
          <w:tab w:leader="none" w:pos="2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under Section 16(a) of the Exchange Act, reporting a reduction in beneficial ownership common stock, or other public announcement shall be required or shall be voluntarily made during the restricted period (other than, in the case of a transfer or other disposition pursuant to (d) above, any Form 4 or Form 5 required to be filed under the Exchange Act if the party subject to the lock-up restrictions is subject to Section 16 reporting with respect to the Company under the Exchange Act, and any such filing will indicate by footnote disclosure or otherwise the nature of the transfer or disposition).</w:t>
      </w:r>
    </w:p>
    <w:p>
      <w:pPr>
        <w:spacing w:after="0" w:line="180"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200"/>
          </w:cols>
          <w:pgMar w:left="320" w:top="455" w:right="3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investment fund associated with SVB Leerink LLC purchased 507,614 units of our Series C Preferred Units in our December 2020 Series C</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Preferred Unit financing. Those units of Series C Preferred Units will convert into shares of the Company’s common stock prior to and in connection with the completion of this offering. As a result, such shares are deemed to be underwriting compensation pursuant to FINRA Rule 5110 and all such shares are subject to the 180-day lock-up restrictions pursuant to FINRA Rule 5110(e).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21"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shares of our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shares of our common stock are not being and may not be offered to the public or to any person in the British Virgin Islands for purchase or subscription by or on our behalf. The common stock may be offered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220"/>
          </w:cols>
          <w:pgMar w:left="320" w:top="455" w:right="3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companies incorporated under the BVI Business Companies Act, 2004 (British Virgin Islands) (each a “BVI Company”), but only where the offer will be made to, and received by, the relevant BVI Company entirely outside of the British Virgin Islands.</w:t>
      </w:r>
    </w:p>
    <w:p>
      <w:pPr>
        <w:spacing w:after="0" w:line="162"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This prospectus has not been, and will not be, registered with the Financial Services Commission of the British Virgin Islands. No registered prospectus has been or will be prepared in respect of the common stock for the purposes of the Securities and Investment Business Act, 2010 or the Public Issuers Code of the British Virgin Islands.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Finance Centre</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9" w:lineRule="exact"/>
        <w:rPr>
          <w:sz w:val="20"/>
          <w:szCs w:val="20"/>
          <w:color w:val="auto"/>
        </w:rPr>
      </w:pPr>
    </w:p>
    <w:p>
      <w:pPr>
        <w:ind w:left="1000" w:hanging="422"/>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00" w:right="40" w:hanging="432"/>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220"/>
          </w:cols>
          <w:pgMar w:left="320" w:top="455" w:right="3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180" w:hanging="422"/>
        <w:spacing w:after="0" w:line="266"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w:t>
      </w:r>
    </w:p>
    <w:p>
      <w:pPr>
        <w:spacing w:after="0" w:line="176"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is or is intended to be disposed of only to persons outside Hong Kong or only to “professional investors” as defined in the Securities and Futures Ordinance (Cap. 571) of Hong Kong and any rules made under that Ordinance.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88"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240"/>
          </w:cols>
          <w:pgMar w:left="320" w:top="455" w:right="3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21"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shares of our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our common stock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12 months; (vi) an individual who, jointly with his or her spouse, has a gross annual income of RM400,000 (or its equivalent in foreign currencies), per annum in the preceding 12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prospectus may not be circulated or distributed in the People’s Republic of China, or the PRC, and the common stock may not be offered or sold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right="80" w:firstLine="449"/>
        <w:spacing w:after="0" w:line="273"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2"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 309B of the SFA, we have determined, and hereby notify all relevant persons (as defined in the Securities and Futures (Capital Markets Products) Regulations 2018 (“CMP Regulations”)) that the shares of common stock are “prescribed capital markets products” (as defined in the CMP Regulations) and Excluded Investment Products (as defined in MAS Notice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80"/>
          </w:cols>
          <w:pgMar w:left="320" w:top="455" w:right="39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 04-N12: Notice on the Sale of Investment Products and MAS Notice FAA-N16: Notice on Recommendations on Investment Products).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21" w:lineRule="exact"/>
        <w:rPr>
          <w:sz w:val="20"/>
          <w:szCs w:val="20"/>
          <w:color w:val="auto"/>
        </w:rPr>
      </w:pPr>
    </w:p>
    <w:p>
      <w:pPr>
        <w:ind w:right="240" w:firstLine="449"/>
        <w:spacing w:after="0" w:line="312" w:lineRule="auto"/>
        <w:rPr>
          <w:sz w:val="20"/>
          <w:szCs w:val="20"/>
          <w:color w:val="auto"/>
        </w:rPr>
      </w:pPr>
      <w:r>
        <w:rPr>
          <w:rFonts w:ascii="Times New Roman" w:cs="Times New Roman" w:eastAsia="Times New Roman" w:hAnsi="Times New Roman"/>
          <w:sz w:val="17"/>
          <w:szCs w:val="17"/>
          <w:color w:val="auto"/>
        </w:rPr>
        <w:t>Due to restrictions under the securities laws of South Africa, the shares of our common stock are not offered, and the offer shall not be transferred, sold, renounced or delivered, in South Africa or to a person with an address in South Africa, unless one or other of the following exemptions applies:</w:t>
      </w:r>
    </w:p>
    <w:p>
      <w:pPr>
        <w:spacing w:after="0" w:line="45" w:lineRule="exact"/>
        <w:rPr>
          <w:sz w:val="20"/>
          <w:szCs w:val="20"/>
          <w:color w:val="auto"/>
        </w:rPr>
      </w:pPr>
    </w:p>
    <w:p>
      <w:pPr>
        <w:ind w:left="1000" w:hanging="422"/>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transfer, sale, renunciation or delivery is to:</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is to deal in securities, as principal or agent;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Reverse Bank of South Africa;</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130" w:lineRule="exact"/>
        <w:rPr>
          <w:rFonts w:ascii="Times New Roman" w:cs="Times New Roman" w:eastAsia="Times New Roman" w:hAnsi="Times New Roman"/>
          <w:sz w:val="18"/>
          <w:szCs w:val="18"/>
          <w:color w:val="auto"/>
        </w:rPr>
      </w:pPr>
    </w:p>
    <w:p>
      <w:pPr>
        <w:ind w:left="1460" w:right="180" w:hanging="453"/>
        <w:spacing w:after="0" w:line="266"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(iii), (iv) or (v), acting as agent in the capacity of an authorized portfolio manager for a pension fund or collective investment scheme (in each case duly registered as such under South African law); or</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130" w:lineRule="exact"/>
        <w:rPr>
          <w:rFonts w:ascii="Times New Roman" w:cs="Times New Roman" w:eastAsia="Times New Roman" w:hAnsi="Times New Roman"/>
          <w:sz w:val="18"/>
          <w:szCs w:val="18"/>
          <w:color w:val="auto"/>
        </w:rPr>
      </w:pPr>
    </w:p>
    <w:p>
      <w:pPr>
        <w:ind w:left="1000" w:hanging="432"/>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No “offer to the public” (as such term is defined in the South African Companies Act, No. 71 of 2008 (as amended or re-enacted) (the “South African Companies Act”)) in South Africa is being made in connection with the issue of the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common stock in South Africa constitutes an offer of the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common stock described herein. The common stock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common stock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common stock may be publicly distributed or otherwise made publicly available in Switzerland.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nor the Company nor the common stock have been or will be filed with or approved by any Swiss regulatory authority. The common stock is not subject to the supervision by any Swiss regulatory authority, e.g., the Swiss Financial Markets Supervisory Authority FINMAXX, and investors in the common stock will not benefit from protection or supervision by such authority.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21"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460" w:right="120" w:hanging="452"/>
        <w:spacing w:after="0" w:line="289" w:lineRule="auto"/>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63" w:lineRule="exact"/>
        <w:rPr>
          <w:rFonts w:ascii="Times New Roman" w:cs="Times New Roman" w:eastAsia="Times New Roman" w:hAnsi="Times New Roman"/>
          <w:sz w:val="17"/>
          <w:szCs w:val="17"/>
          <w:color w:val="auto"/>
        </w:rPr>
      </w:pPr>
    </w:p>
    <w:p>
      <w:pPr>
        <w:ind w:left="560" w:right="440" w:hanging="552"/>
        <w:spacing w:after="0" w:line="282" w:lineRule="auto"/>
        <w:tabs>
          <w:tab w:leader="none" w:pos="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220"/>
          </w:cols>
          <w:pgMar w:left="320" w:top="455" w:right="3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680" w:firstLine="449"/>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Goodwin Procter LLP, Boston, Massachusetts and for the underwriters by Ropes &amp; Gray LLP, Boston, Massachusetts.</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Cullinan Oncology, LLC as of December 31, 2018 and 2019, and for each of the years then ended, have been included herein in reliance upon the report of KPMG LLP, an independent registered public accounting firm, appearing elsewhere herein, and upon the authority of said firm as experts in accounting and auditing.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00"/>
          </w:cols>
          <w:pgMar w:left="320" w:top="455" w:right="5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(File Number 333- ) under the Securities Act with respect to the common stock we are offering by this prospectus. This prospectus, which constitutes part of the registration statement,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3"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www.cullinanoncology.com.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Audited Consolidated Financial Statements as of and for the Years Ended December 31, 2018 and 2019</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7">
              <w:r>
                <w:rPr>
                  <w:rFonts w:ascii="Times New Roman" w:cs="Times New Roman" w:eastAsia="Times New Roman" w:hAnsi="Times New Roman"/>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8">
              <w:r>
                <w:rPr>
                  <w:rFonts w:ascii="Times New Roman" w:cs="Times New Roman" w:eastAsia="Times New Roman" w:hAnsi="Times New Roman"/>
                  <w:sz w:val="18"/>
                  <w:szCs w:val="18"/>
                  <w:u w:val="single" w:color="auto"/>
                  <w:color w:val="0000EE"/>
                </w:rPr>
                <w:t>Consolidated Balance Sheets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9">
              <w:r>
                <w:rPr>
                  <w:rFonts w:ascii="Times New Roman" w:cs="Times New Roman" w:eastAsia="Times New Roman" w:hAnsi="Times New Roman"/>
                  <w:sz w:val="18"/>
                  <w:szCs w:val="18"/>
                  <w:u w:val="single" w:color="auto"/>
                  <w:color w:val="0000EE"/>
                </w:rPr>
                <w:t>Consolidated Statements of Operations and Comprehensive Loss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Consolidated Statements of Redeemable Preferred Units and Members’ Deficit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Consolidated Statements of Cash Flows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0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as of and for the Nine Months Ended September 30, 2019 and 2020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79">
              <w:r>
                <w:rPr>
                  <w:rFonts w:ascii="Times New Roman" w:cs="Times New Roman" w:eastAsia="Times New Roman" w:hAnsi="Times New Roman"/>
                  <w:sz w:val="18"/>
                  <w:szCs w:val="18"/>
                  <w:u w:val="single" w:color="auto"/>
                  <w:color w:val="0000EE"/>
                </w:rPr>
                <w:t>Condensed Consolidated Balance Sheets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80">
              <w:r>
                <w:rPr>
                  <w:rFonts w:ascii="Times New Roman" w:cs="Times New Roman" w:eastAsia="Times New Roman" w:hAnsi="Times New Roman"/>
                  <w:sz w:val="18"/>
                  <w:szCs w:val="18"/>
                  <w:u w:val="single" w:color="auto"/>
                  <w:color w:val="0000EE"/>
                </w:rPr>
                <w:t>Condensed Consolidated Statements of Operations and Comprehensive Loss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81">
              <w:r>
                <w:rPr>
                  <w:rFonts w:ascii="Times New Roman" w:cs="Times New Roman" w:eastAsia="Times New Roman" w:hAnsi="Times New Roman"/>
                  <w:sz w:val="18"/>
                  <w:szCs w:val="18"/>
                  <w:u w:val="single" w:color="auto"/>
                  <w:color w:val="0000EE"/>
                </w:rPr>
                <w:t>Condensed Consolidated Statements of Redeemable Preferred Units and Members’ Deficit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82">
              <w:r>
                <w:rPr>
                  <w:rFonts w:ascii="Times New Roman" w:cs="Times New Roman" w:eastAsia="Times New Roman" w:hAnsi="Times New Roman"/>
                  <w:sz w:val="18"/>
                  <w:szCs w:val="18"/>
                  <w:u w:val="single" w:color="auto"/>
                  <w:color w:val="0000EE"/>
                </w:rPr>
                <w:t>Condensed Consolidated Statements of Cash Flows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23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F-38</w:t>
            </w:r>
          </w:p>
        </w:tc>
        <w:tc>
          <w:tcPr>
            <w:tcW w:w="0" w:type="dxa"/>
            <w:vAlign w:val="bottom"/>
          </w:tcPr>
          <w:p>
            <w:pPr>
              <w:spacing w:after="0"/>
              <w:rPr>
                <w:sz w:val="1"/>
                <w:szCs w:val="1"/>
                <w:color w:val="auto"/>
              </w:rPr>
            </w:pPr>
          </w:p>
        </w:tc>
      </w:tr>
      <w:tr>
        <w:trPr>
          <w:trHeight w:val="364"/>
        </w:trPr>
        <w:tc>
          <w:tcPr>
            <w:tcW w:w="107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Oncology, LLC.: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Cullinan Oncology, LLC and subsidiaries (the Company) as of December 31, 2018 and 2019, the related consolidated statements of operations and comprehensive loss, redeemable preferred units and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the years then ended, in conformity with U.S. generally accepted accounting principles.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units and per unit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33,832</w:t>
            </w: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63,250</w:t>
            </w:r>
          </w:p>
        </w:tc>
        <w:tc>
          <w:tcPr>
            <w:tcW w:w="0" w:type="dxa"/>
            <w:vAlign w:val="bottom"/>
          </w:tcPr>
          <w:p>
            <w:pPr>
              <w:spacing w:after="0"/>
              <w:rPr>
                <w:sz w:val="1"/>
                <w:szCs w:val="1"/>
                <w:color w:val="auto"/>
              </w:rPr>
            </w:pPr>
          </w:p>
        </w:tc>
      </w:tr>
      <w:tr>
        <w:trPr>
          <w:trHeight w:val="148"/>
        </w:trPr>
        <w:tc>
          <w:tcPr>
            <w:tcW w:w="8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1,461</w:t>
            </w:r>
          </w:p>
        </w:tc>
        <w:tc>
          <w:tcPr>
            <w:tcW w:w="0" w:type="dxa"/>
            <w:vAlign w:val="bottom"/>
          </w:tcPr>
          <w:p>
            <w:pPr>
              <w:spacing w:after="0"/>
              <w:rPr>
                <w:sz w:val="1"/>
                <w:szCs w:val="1"/>
                <w:color w:val="auto"/>
              </w:rPr>
            </w:pPr>
          </w:p>
        </w:tc>
      </w:tr>
      <w:tr>
        <w:trPr>
          <w:trHeight w:val="149"/>
        </w:trPr>
        <w:tc>
          <w:tcPr>
            <w:tcW w:w="88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Short term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35,380</w:t>
            </w:r>
          </w:p>
        </w:tc>
        <w:tc>
          <w:tcPr>
            <w:tcW w:w="0" w:type="dxa"/>
            <w:vAlign w:val="bottom"/>
          </w:tcPr>
          <w:p>
            <w:pPr>
              <w:spacing w:after="0"/>
              <w:rPr>
                <w:sz w:val="1"/>
                <w:szCs w:val="1"/>
                <w:color w:val="auto"/>
              </w:rPr>
            </w:pPr>
          </w:p>
        </w:tc>
      </w:tr>
      <w:tr>
        <w:trPr>
          <w:trHeight w:val="155"/>
        </w:trPr>
        <w:tc>
          <w:tcPr>
            <w:tcW w:w="88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34,219</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8"/>
        </w:trPr>
        <w:tc>
          <w:tcPr>
            <w:tcW w:w="8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34,640</w:t>
            </w: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100,461</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Preferred Units and Members’ Deficit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8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320" w:type="dxa"/>
            <w:vAlign w:val="bottom"/>
          </w:tcPr>
          <w:p>
            <w:pPr>
              <w:spacing w:after="0"/>
              <w:rPr>
                <w:sz w:val="12"/>
                <w:szCs w:val="12"/>
                <w:color w:val="auto"/>
              </w:rPr>
            </w:pPr>
          </w:p>
        </w:tc>
        <w:tc>
          <w:tcPr>
            <w:tcW w:w="4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0" w:type="dxa"/>
            <w:vAlign w:val="bottom"/>
          </w:tcPr>
          <w:p>
            <w:pPr>
              <w:spacing w:after="0"/>
              <w:rPr>
                <w:sz w:val="1"/>
                <w:szCs w:val="1"/>
                <w:color w:val="auto"/>
              </w:rPr>
            </w:pPr>
          </w:p>
        </w:tc>
      </w:tr>
      <w:tr>
        <w:trPr>
          <w:trHeight w:val="156"/>
        </w:trPr>
        <w:tc>
          <w:tcPr>
            <w:tcW w:w="88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2,596</w:t>
            </w:r>
          </w:p>
        </w:tc>
        <w:tc>
          <w:tcPr>
            <w:tcW w:w="0" w:type="dxa"/>
            <w:vAlign w:val="bottom"/>
          </w:tcPr>
          <w:p>
            <w:pPr>
              <w:spacing w:after="0"/>
              <w:rPr>
                <w:sz w:val="1"/>
                <w:szCs w:val="1"/>
                <w:color w:val="auto"/>
              </w:rPr>
            </w:pPr>
          </w:p>
        </w:tc>
      </w:tr>
      <w:tr>
        <w:trPr>
          <w:trHeight w:val="155"/>
        </w:trPr>
        <w:tc>
          <w:tcPr>
            <w:tcW w:w="88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Commitments and contingencies (Note 10)</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Redeemable preferred units: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86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Series Seed redeemable preferred units, $0.0001 par value: 16,000,000 units authorized, issued and outstanding (liquidation value: $4,769)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3,956</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171"/>
        </w:trPr>
        <w:tc>
          <w:tcPr>
            <w:tcW w:w="8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at December 31, 2018 and December 31,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86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Series A1 redeemable preferred units, $0.0001 par value: 50,000,000 units authorized, issued and outstanding (liquidation value: $58,030)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49,946</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49,946</w:t>
            </w:r>
          </w:p>
        </w:tc>
        <w:tc>
          <w:tcPr>
            <w:tcW w:w="0" w:type="dxa"/>
            <w:vAlign w:val="bottom"/>
          </w:tcPr>
          <w:p>
            <w:pPr>
              <w:spacing w:after="0"/>
              <w:rPr>
                <w:sz w:val="1"/>
                <w:szCs w:val="1"/>
                <w:color w:val="auto"/>
              </w:rPr>
            </w:pPr>
          </w:p>
        </w:tc>
      </w:tr>
      <w:tr>
        <w:trPr>
          <w:trHeight w:val="171"/>
        </w:trPr>
        <w:tc>
          <w:tcPr>
            <w:tcW w:w="8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at December 31, 2018 and December 31, 2019.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86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Series B redeemable preferred units, $0.0001 par value: 64,200,000 authorized, 0 and 54,006,407 units issued and outstanding (liquidation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83,872</w:t>
            </w:r>
          </w:p>
        </w:tc>
        <w:tc>
          <w:tcPr>
            <w:tcW w:w="0" w:type="dxa"/>
            <w:vAlign w:val="bottom"/>
          </w:tcPr>
          <w:p>
            <w:pPr>
              <w:spacing w:after="0"/>
              <w:rPr>
                <w:sz w:val="1"/>
                <w:szCs w:val="1"/>
                <w:color w:val="auto"/>
              </w:rPr>
            </w:pPr>
          </w:p>
        </w:tc>
      </w:tr>
      <w:tr>
        <w:trPr>
          <w:trHeight w:val="171"/>
        </w:trPr>
        <w:tc>
          <w:tcPr>
            <w:tcW w:w="8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value: $85,469) at December 31, 2018 and December 31, 2019, respectively.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redeemable preferred units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53,902</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137,774</w:t>
            </w:r>
          </w:p>
        </w:tc>
        <w:tc>
          <w:tcPr>
            <w:tcW w:w="0" w:type="dxa"/>
            <w:vAlign w:val="bottom"/>
          </w:tcPr>
          <w:p>
            <w:pPr>
              <w:spacing w:after="0"/>
              <w:rPr>
                <w:sz w:val="1"/>
                <w:szCs w:val="1"/>
                <w:color w:val="auto"/>
              </w:rPr>
            </w:pPr>
          </w:p>
        </w:tc>
      </w:tr>
      <w:tr>
        <w:trPr>
          <w:trHeight w:val="156"/>
        </w:trPr>
        <w:tc>
          <w:tcPr>
            <w:tcW w:w="88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Members’ deficit: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86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Non-voting incentive units, $0.0001 par value: 23,860,000 units authorized, 12,276,000 and 11,896,500 units issued and outstanding at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8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December 31, 2018 and December 31, 2019, respectively</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Common units, $0.0001 par value: no shares authorized, issued and outstanding at December 31, 2018 and 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8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Noncontrolling interest in subsidiaries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48"/>
        </w:trPr>
        <w:tc>
          <w:tcPr>
            <w:tcW w:w="8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49"/>
        </w:trPr>
        <w:tc>
          <w:tcPr>
            <w:tcW w:w="88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8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(20,866)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(41,540)</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members’ deficit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(20,650)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(39,909)</w:t>
            </w:r>
          </w:p>
        </w:tc>
        <w:tc>
          <w:tcPr>
            <w:tcW w:w="0" w:type="dxa"/>
            <w:vAlign w:val="bottom"/>
          </w:tcPr>
          <w:p>
            <w:pPr>
              <w:spacing w:after="0"/>
              <w:rPr>
                <w:sz w:val="1"/>
                <w:szCs w:val="1"/>
                <w:color w:val="auto"/>
              </w:rPr>
            </w:pPr>
          </w:p>
        </w:tc>
      </w:tr>
      <w:tr>
        <w:trPr>
          <w:trHeight w:val="156"/>
        </w:trPr>
        <w:tc>
          <w:tcPr>
            <w:tcW w:w="88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 redeemable preferred units and members’ deficit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34,640</w:t>
            </w:r>
          </w:p>
        </w:tc>
        <w:tc>
          <w:tcPr>
            <w:tcW w:w="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100,461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units and per unit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30"/>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(22,270)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Cullinan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(20,657)</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unit attributable to common and non-voting incentive unitholders,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and non-voting incentive units used in computing net loss per unit, basic and</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2,549,865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6,397,443</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(21,658)</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Cullinan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(20,661)</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stock outstanding used in computing pro forma net loss per unit, basic and diluted</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80,594,229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REDEEMABALE PREFERRED UNITS AND MEMBERS’ DEFICIT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units and per unit amounts)</w:t>
      </w:r>
    </w:p>
    <w:p>
      <w:pPr>
        <w:sectPr>
          <w:pgSz w:w="11900" w:h="16838" w:orient="portrait"/>
          <w:cols w:equalWidth="0" w:num="1">
            <w:col w:w="11200"/>
          </w:cols>
          <w:pgMar w:left="320" w:top="455" w:right="379" w:bottom="1440" w:gutter="0" w:footer="0" w:header="0"/>
        </w:sect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4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4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2017</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2740" w:type="dxa"/>
            <w:vAlign w:val="bottom"/>
            <w:vMerge w:val="continue"/>
          </w:tcPr>
          <w:p>
            <w:pPr>
              <w:spacing w:after="0"/>
              <w:rPr>
                <w:sz w:val="10"/>
                <w:szCs w:val="10"/>
                <w:color w:val="auto"/>
              </w:rPr>
            </w:pPr>
          </w:p>
        </w:tc>
        <w:tc>
          <w:tcPr>
            <w:tcW w:w="7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66,000,000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53,923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cost of Series A preferred</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27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costs of subsidiary preferred</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non-voting incentive units</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subsidiary common stock</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Dissolution of subsidiaries</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Balances at December 31, 2018</w:t>
            </w:r>
          </w:p>
        </w:tc>
        <w:tc>
          <w:tcPr>
            <w:tcW w:w="80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66,000,000</w:t>
            </w: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53,902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ind w:left="300"/>
              <w:spacing w:after="0" w:line="160" w:lineRule="exact"/>
              <w:rPr>
                <w:sz w:val="20"/>
                <w:szCs w:val="20"/>
                <w:color w:val="auto"/>
              </w:rPr>
            </w:pPr>
            <w:r>
              <w:rPr>
                <w:rFonts w:ascii="Times New Roman" w:cs="Times New Roman" w:eastAsia="Times New Roman" w:hAnsi="Times New Roman"/>
                <w:sz w:val="14"/>
                <w:szCs w:val="14"/>
                <w:color w:val="auto"/>
              </w:rPr>
              <w:t>Issuance of Series B preferred units net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vMerge w:val="continue"/>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54,006,407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83,872</w:t>
            </w:r>
          </w:p>
        </w:tc>
        <w:tc>
          <w:tcPr>
            <w:tcW w:w="0" w:type="dxa"/>
            <w:vAlign w:val="bottom"/>
          </w:tcPr>
          <w:p>
            <w:pPr>
              <w:spacing w:after="0"/>
              <w:rPr>
                <w:sz w:val="1"/>
                <w:szCs w:val="1"/>
                <w:color w:val="auto"/>
              </w:rPr>
            </w:pPr>
          </w:p>
        </w:tc>
      </w:tr>
      <w:tr>
        <w:trPr>
          <w:trHeight w:val="148"/>
        </w:trPr>
        <w:tc>
          <w:tcPr>
            <w:tcW w:w="27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of issuance costs of $378</w:t>
            </w: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subsidiary preferred stock</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Forfeiture of non-voting incentive units</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subsidiary common stock</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Balances at December 31, 2019</w:t>
            </w:r>
          </w:p>
        </w:tc>
        <w:tc>
          <w:tcPr>
            <w:tcW w:w="8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120,006,407</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137,774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6"/>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6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7"/>
                <w:szCs w:val="7"/>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260" w:type="dxa"/>
            <w:vAlign w:val="bottom"/>
            <w:gridSpan w:val="6"/>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Incentive Units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260" w:type="dxa"/>
            <w:vAlign w:val="bottom"/>
            <w:tcBorders>
              <w:bottom w:val="single" w:sz="8" w:color="auto"/>
            </w:tcBorders>
            <w:gridSpan w:val="6"/>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0" w:type="dxa"/>
            <w:vAlign w:val="bottom"/>
          </w:tcPr>
          <w:p>
            <w:pPr>
              <w:spacing w:after="0"/>
              <w:rPr>
                <w:sz w:val="9"/>
                <w:szCs w:val="9"/>
                <w:color w:val="auto"/>
              </w:rPr>
            </w:pPr>
          </w:p>
        </w:tc>
        <w:tc>
          <w:tcPr>
            <w:tcW w:w="7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3"/>
        </w:trPr>
        <w:tc>
          <w:tcPr>
            <w:tcW w:w="8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line="20" w:lineRule="exact"/>
              <w:rPr>
                <w:sz w:val="1"/>
                <w:szCs w:val="1"/>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6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2"/>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11,088,000</w:t>
            </w: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(6,707)</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1,188,000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48"/>
        </w:trPr>
        <w:tc>
          <w:tcPr>
            <w:tcW w:w="8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(14,189)</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0" w:type="dxa"/>
            <w:vAlign w:val="bottom"/>
          </w:tcPr>
          <w:p>
            <w:pPr>
              <w:spacing w:after="0"/>
              <w:rPr>
                <w:sz w:val="1"/>
                <w:szCs w:val="1"/>
                <w:color w:val="auto"/>
              </w:rPr>
            </w:pPr>
          </w:p>
        </w:tc>
      </w:tr>
      <w:tr>
        <w:trPr>
          <w:trHeight w:val="155"/>
        </w:trPr>
        <w:tc>
          <w:tcPr>
            <w:tcW w:w="7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12,276,000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214</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(20,866)</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(20,650</w:t>
            </w:r>
          </w:p>
        </w:tc>
        <w:tc>
          <w:tcPr>
            <w:tcW w:w="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148"/>
        </w:trPr>
        <w:tc>
          <w:tcPr>
            <w:tcW w:w="84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(379,500)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8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48"/>
        </w:trPr>
        <w:tc>
          <w:tcPr>
            <w:tcW w:w="8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(20,657)</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(21,654)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line="20" w:lineRule="exact"/>
              <w:rPr>
                <w:sz w:val="1"/>
                <w:szCs w:val="1"/>
                <w:color w:val="auto"/>
              </w:rPr>
            </w:pPr>
          </w:p>
        </w:tc>
      </w:tr>
      <w:tr>
        <w:trPr>
          <w:trHeight w:val="156"/>
        </w:trPr>
        <w:tc>
          <w:tcPr>
            <w:tcW w:w="7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11,896,500</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864</w:t>
            </w:r>
          </w:p>
        </w:tc>
        <w:tc>
          <w:tcPr>
            <w:tcW w:w="26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770</w:t>
            </w:r>
          </w:p>
        </w:tc>
        <w:tc>
          <w:tcPr>
            <w:tcW w:w="200" w:type="dxa"/>
            <w:vAlign w:val="bottom"/>
            <w:vMerge w:val="continue"/>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(41,540)</w:t>
            </w:r>
          </w:p>
        </w:tc>
        <w:tc>
          <w:tcPr>
            <w:tcW w:w="26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(39,909</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-2271395</wp:posOffset>
            </wp:positionV>
            <wp:extent cx="7132320" cy="22802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2280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300"/>
            <w:col w:w="6700"/>
          </w:cols>
          <w:pgMar w:left="320" w:top="455" w:right="3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200"/>
          </w:cols>
          <w:pgMar w:left="320" w:top="455" w:right="379" w:bottom="1440" w:gutter="0" w:footer="0" w:header="0"/>
          <w:type w:val="continuous"/>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(14,189)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(21,654)</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License expense in exchange for subsidiary common stock</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Dissolution of subsidiaries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0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8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rent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8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00" w:type="dxa"/>
            <w:vAlign w:val="bottom"/>
          </w:tcPr>
          <w:p>
            <w:pPr>
              <w:spacing w:after="0"/>
              <w:rPr>
                <w:sz w:val="20"/>
                <w:szCs w:val="20"/>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(35,380)</w:t>
            </w:r>
          </w:p>
        </w:tc>
      </w:tr>
      <w:tr>
        <w:trPr>
          <w:trHeight w:val="230"/>
        </w:trPr>
        <w:tc>
          <w:tcPr>
            <w:tcW w:w="88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100" w:type="dxa"/>
            <w:vAlign w:val="bottom"/>
          </w:tcPr>
          <w:p>
            <w:pPr>
              <w:spacing w:after="0"/>
              <w:rPr>
                <w:sz w:val="20"/>
                <w:szCs w:val="20"/>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Redeemable Preferred Units</w:t>
            </w:r>
          </w:p>
        </w:tc>
        <w:tc>
          <w:tcPr>
            <w:tcW w:w="20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84,250</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noncontrolling interests</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issuance costs related to Series B Redeemable Preferred Units</w:t>
            </w:r>
          </w:p>
        </w:tc>
        <w:tc>
          <w:tcPr>
            <w:tcW w:w="2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of subsidiary preferred stock</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subsidiary common stock</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85,715</w:t>
            </w:r>
          </w:p>
        </w:tc>
      </w:tr>
      <w:tr>
        <w:trPr>
          <w:trHeight w:val="223"/>
        </w:trPr>
        <w:tc>
          <w:tcPr>
            <w:tcW w:w="88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47,671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33,832</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63,250</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455" w:right="3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80" w:firstLine="449"/>
        <w:spacing w:after="0" w:line="312" w:lineRule="auto"/>
        <w:rPr>
          <w:sz w:val="20"/>
          <w:szCs w:val="20"/>
          <w:color w:val="auto"/>
        </w:rPr>
      </w:pPr>
      <w:r>
        <w:rPr>
          <w:rFonts w:ascii="Times New Roman" w:cs="Times New Roman" w:eastAsia="Times New Roman" w:hAnsi="Times New Roman"/>
          <w:sz w:val="17"/>
          <w:szCs w:val="17"/>
          <w:color w:val="auto"/>
        </w:rPr>
        <w:t>Cullinan Oncology, LLC (the LLC), together with its consolidated subsidiaries (Cullinan or the Company), is a biopharmaceutical company developing a diversified pipeline of targeted oncology and immuno-oncology therapies with transformative potential for cancer patients.</w:t>
      </w:r>
    </w:p>
    <w:p>
      <w:pPr>
        <w:spacing w:after="0" w:line="140" w:lineRule="exact"/>
        <w:rPr>
          <w:sz w:val="20"/>
          <w:szCs w:val="20"/>
          <w:color w:val="auto"/>
        </w:rPr>
      </w:pPr>
    </w:p>
    <w:p>
      <w:pPr>
        <w:ind w:right="400" w:firstLine="449"/>
        <w:spacing w:after="0" w:line="256" w:lineRule="auto"/>
        <w:rPr>
          <w:sz w:val="20"/>
          <w:szCs w:val="20"/>
          <w:color w:val="auto"/>
        </w:rPr>
      </w:pPr>
      <w:r>
        <w:rPr>
          <w:rFonts w:ascii="Times New Roman" w:cs="Times New Roman" w:eastAsia="Times New Roman" w:hAnsi="Times New Roman"/>
          <w:sz w:val="18"/>
          <w:szCs w:val="18"/>
          <w:color w:val="auto"/>
        </w:rPr>
        <w:t>Each therapeutic candidate is developed within a separate subsidiary of the LLC. At December 31, 2018, the LLC had three development subsidiaries: Cullinan Apollo Corp. (Apollo), Cullinan Pearl Corp. (Pearl) and Cullinan Polykine Corp. (Polykine), in addition to its wholly owned operating subsidiary, Cullinan Management, Inc. (Management). At December 31, 2019, the LLC had four development subsidiaries: Apollo, Pearl, Cullinan Amber Corp. (Amber), and Cullinan Florentine Corp. (Florentine), in addition to Management (together, the Subsidiaries). In 2018, Cullinan Alaras Corp. (Alaras), Cullinan Senovax Corp. (Senovax) and Cullinan Wittelsbach Corp. (Wittelsbach) were liquidated, and in 2019, Polykine was liquidated following management’s decision to terminate research and development. See Note 4 for further detail.</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new technological innovations, protection of proprietary technology, dependence on key personnel, compliance with government regulations and the ability to obtain additional capital to fund operations. The Company’s therapeutic programs will require significant additional research and development efforts, including pre-clinical and clinical testing and regulatory approval prior to commercialization. These efforts require additional capital, adequate personnel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Company has funded its operations primarily through the sale of redeemable preferred units. As of December 31, 2019, the LLC has received from investors $137.8 million in cumulative net proceeds. See Note 5 for further detail.</w:t>
      </w:r>
    </w:p>
    <w:p>
      <w:pPr>
        <w:spacing w:after="0" w:line="162"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and has had negative cash flows from operations since its inception. The Company’s net loss was $14.2 million and $21.7 million for the years ended December 31, 2018 and 2019, respectively. As of December 31, 2019, the Company has an accumulated deficit of $41.5 million. The Company expects to continue to generate operating losses for the foreseeable future. The Company expects that its cash, cash equivalents, and short term investments as of December 31, 2019 of $98.6 million, along with the $14.3 million received from the sale of its Series B Redeemable Preferred Units in February and March 2020 (see Notes 5 and 13) will be sufficient to fund its operating expenses and capital expenditure requirements through at least the next twelve months from the date of issuance of these consolidated financial statements. The future viability of the Company is dependent on the success of its research and development and its ability to access additional capital to fund its operations. There can be no assurance that the current operating plan will be achieved or that additional funding will be available on terms acceptable to the Company, or at all.</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00"/>
          </w:cols>
          <w:pgMar w:left="320" w:top="455" w:right="3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conformity with accounting principles generally accepted in the United States of America (GAAP) and include the accounts of the LLC and its consolidated subsidiaries. All intercompany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180"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Company’s management to make estimates and judgments that may affect the reported amounts of assets, liabilities, expenses, and related disclosure of contingent assets and liabilities. On an ongoing basis, the Company’s management evaluates the estimates, including those related to expenses and accruals. The Company’s management bases its estimates on historical experience, and on various other assumptions that are believed to be reasonable, the results of which form the basis for making judgments about the carrying values of assets and liabilities. Estimates and assumptions reflected in these consolidated financial statements include but are not limited to the fair value of the royalty transfer agreements, accrued research and development costs, the valuation of the non-voting incentive units, as well as restricted stock awards and common stock issued by the LLC’s subsidiaries. Actual results may differ from these estimates under different assumptions or conditions.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LLC consolidates entities in which it has a controlling financial interest. The LLC evaluates each of its subsidiaries to determine whether the entity represents a variable interest entity (VIE) for which consolidation should be evaluated under the VIE model, or alternatively, if the entity is a voting interest entity, for which consolidation should be evaluated using the voting interest model. The LLC has concluded that none of its subsidiaries is a VIE and has consolidated each subsidiary under the voting interest model. Under the voting interest model, the Company consolidates the entity if it determines</w:t>
      </w:r>
    </w:p>
    <w:p>
      <w:pPr>
        <w:spacing w:after="0" w:line="3" w:lineRule="exact"/>
        <w:rPr>
          <w:sz w:val="20"/>
          <w:szCs w:val="20"/>
          <w:color w:val="auto"/>
        </w:rPr>
      </w:pPr>
    </w:p>
    <w:p>
      <w:pPr>
        <w:jc w:val="both"/>
        <w:ind w:right="20" w:firstLine="8"/>
        <w:spacing w:after="0" w:line="255" w:lineRule="auto"/>
        <w:tabs>
          <w:tab w:leader="none" w:pos="1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directly, or indirectly, has greater than 50% of the voting shares or other equity holders do not have substantive voting, participation, or liquidation rights, or 2) when the company has a controlling financial interest through its control of the board of directors, and the significant decisions of the entity are made at the board level.</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either created or made investments in the following entities: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Entities</w:t>
            </w:r>
          </w:p>
        </w:tc>
        <w:tc>
          <w:tcPr>
            <w:tcW w:w="4720" w:type="dxa"/>
            <w:vAlign w:val="bottom"/>
            <w:vMerge w:val="restart"/>
          </w:tcPr>
          <w:p>
            <w:pPr>
              <w:spacing w:after="0"/>
              <w:rPr>
                <w:sz w:val="13"/>
                <w:szCs w:val="13"/>
                <w:color w:val="auto"/>
              </w:rPr>
            </w:pPr>
          </w:p>
        </w:tc>
        <w:tc>
          <w:tcPr>
            <w:tcW w:w="3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Relationship as of December 31,</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Control First</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6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9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0" w:type="dxa"/>
            <w:vAlign w:val="bottom"/>
          </w:tcPr>
          <w:p>
            <w:pPr>
              <w:spacing w:after="0"/>
              <w:rPr>
                <w:sz w:val="1"/>
                <w:szCs w:val="1"/>
                <w:color w:val="auto"/>
              </w:rPr>
            </w:pPr>
          </w:p>
        </w:tc>
      </w:tr>
      <w:tr>
        <w:trPr>
          <w:trHeight w:val="185"/>
        </w:trPr>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Cullinan Management, Inc.</w:t>
            </w:r>
          </w:p>
        </w:tc>
        <w:tc>
          <w:tcPr>
            <w:tcW w:w="26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Wholly-owned Subsidiary</w:t>
            </w:r>
          </w:p>
        </w:tc>
        <w:tc>
          <w:tcPr>
            <w:tcW w:w="900" w:type="dxa"/>
            <w:vAlign w:val="bottom"/>
          </w:tcPr>
          <w:p>
            <w:pPr>
              <w:spacing w:after="0"/>
              <w:rPr>
                <w:sz w:val="16"/>
                <w:szCs w:val="16"/>
                <w:color w:val="auto"/>
              </w:rPr>
            </w:pPr>
          </w:p>
        </w:tc>
        <w:tc>
          <w:tcPr>
            <w:tcW w:w="16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September 2016</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Apollo Corp.</w:t>
            </w:r>
          </w:p>
        </w:tc>
        <w:tc>
          <w:tcPr>
            <w:tcW w:w="35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2018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Pearl Corp.</w:t>
            </w:r>
          </w:p>
        </w:tc>
        <w:tc>
          <w:tcPr>
            <w:tcW w:w="35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2018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Amber Corp.</w:t>
            </w:r>
          </w:p>
        </w:tc>
        <w:tc>
          <w:tcPr>
            <w:tcW w:w="35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Florentine Corp.</w:t>
            </w:r>
          </w:p>
        </w:tc>
        <w:tc>
          <w:tcPr>
            <w:tcW w:w="35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To the extent that ownership interests in the Subsidiaries are held by entities other than the LLC, management reports these as noncontrolling interests on the consolidated balance sheets. Earnings or losses are attributed to noncontrolling interests under the hypothetical liquidation at book value (HLBV) method. The HLBV method is a point in time calculation that utilizes inputs to determine the amount that the Company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455" w:right="3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noncontrolling interest holders would receive upon a hypothetical liquidation at each balance sheet date based on the liquidation provisions of the respective articles of incorporation. At December 31, 2018, a licensor held a noncontrolling interest in Apollo, and at December 31, 2019, licensors held noncontrolling interests in Apollo and Pearl, as described further in Note 4. Under the HLBV method, $1.0 million of losses in Pearl were attributed to noncontrolling interests in 2019 because the licensor also owned preferred stock. In 2018 and 2019, no loss was allocated to the licensors or restricted stockholders that held noncontrolling interests in Apollo.</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For the year ended December 31, 2018, comprehensive loss was equal to net loss. For the year ended December 31, 2019, the Company recognized less than $0.1 million in unrealized loss on investments.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is the chief operating decision maker (CODM). The Company operates and manages the business as one reporting and one operating segment, which is the business of developing early stage cancer therapeutics. The Company’s CODM reviews financial information on an aggregate basis for purposes of allocating resources and evaluating financial performance. All of the Company’s assets are located in the United States.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Company has no significant off-balance sheet risk. Cash and cash equivalents are primarily maintained with two major financial institutions in the United States. Deposits at banks may exceed the insurance provided on such deposits. These deposits may be redeemed upon demand, and therefore, bear minimal risk.</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risks and uncertainties and believes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and the Company’s ability to attract and retain employees necessary to support its growth.</w:t>
      </w:r>
    </w:p>
    <w:p>
      <w:pPr>
        <w:spacing w:after="0" w:line="183"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drug substance and drug products related to these programs. These programs could be adversely affected by a significant interruption in the supply.</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 Term Investments</w:t>
      </w:r>
    </w:p>
    <w:p>
      <w:pPr>
        <w:spacing w:after="0" w:line="121"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time of purchase to be cash equivalents. Investments not classified as cash equivalents with maturities of less than twelve months are classified as short-term available-for-sale marketable securities. Available-for-sale marketable securities are carried at estimated fair value, with unrealized gains or losses included in accumulated other comprehensive loss in members’ deficit. The fair value of marketable securities is based on available market information. The amortized cost of debt securities is adjusted for amortization of premiums and accretion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455" w:right="3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discounts to maturity. Such amortization is included in interest income. Interest and dividends are also included in interest income. Declines in fair value judged to be other-than-temporary on available-for-sale securities, if any, are included in other income (expense),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Company’s financial assets were comprised entirely of cash and cash equivalents.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recognized its short term investment marketable securities by security type at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5"/>
          </w:tcPr>
          <w:p>
            <w:pPr>
              <w:jc w:val="right"/>
              <w:ind w:right="10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37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$ 19,718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$ 19,714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Commerical paper</w:t>
            </w:r>
          </w:p>
        </w:tc>
        <w:tc>
          <w:tcPr>
            <w:tcW w:w="37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5,571</w:t>
            </w: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7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notes</w:t>
            </w:r>
          </w:p>
        </w:tc>
        <w:tc>
          <w:tcPr>
            <w:tcW w:w="2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$ 35,384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$ 35,380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are carried at fair value under GAAP. The fair value hierarchy gives the highest priority to unadjusted quoted prices in active markets for identical assets (Level 1) and the lowest priority to unobservable inputs (Level 3). As required by FASB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(ASC Topic 820) the Company’s financial assets are classified within the fair value hierarchy based on the lowest level of input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measurement. The three levels of the fair value hierarchy under ASC Topic 820, and its applicability to the Company’s financial assets, are described below:</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1—Unadjusted quoted prices in active markets that are accessible at the measurement date of identical, unrestricted assets.</w:t>
      </w:r>
    </w:p>
    <w:p>
      <w:pPr>
        <w:spacing w:after="0" w:line="225" w:lineRule="exact"/>
        <w:rPr>
          <w:sz w:val="20"/>
          <w:szCs w:val="20"/>
          <w:color w:val="auto"/>
        </w:rPr>
      </w:pPr>
    </w:p>
    <w:p>
      <w:pPr>
        <w:ind w:right="88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2—Quoted prices for similar assets, or inputs that are observable, either directly or indirectly, for substantially the full term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corroboration with observable market data.</w:t>
      </w:r>
    </w:p>
    <w:p>
      <w:pPr>
        <w:spacing w:after="0" w:line="158" w:lineRule="exact"/>
        <w:rPr>
          <w:sz w:val="20"/>
          <w:szCs w:val="20"/>
          <w:color w:val="auto"/>
        </w:rPr>
      </w:pPr>
    </w:p>
    <w:p>
      <w:pPr>
        <w:ind w:right="54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3—Pricing inputs are unobservable for the asset, that is, inputs that reflect the reporting entity’s own assumptions about the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participants would use in pricing the asset.</w:t>
      </w:r>
    </w:p>
    <w:p>
      <w:pPr>
        <w:spacing w:after="0" w:line="16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Asset-backed securities, commercial paper, and corporate and U.S. government notes are primarily valued using market quotations or prices obtained from independent pricing sources which may employ various pricing methods to value the investments including matrix pricing.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Company’s financial assets, comprising of cash and cash equivalents, are classified as Level 1 assets.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455" w:right="3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as of December 31, 2019, allocated into Level 1, Level 2, and Level 3, that was measured on a recurring basis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8,240</w:t>
            </w:r>
          </w:p>
        </w:tc>
      </w:tr>
      <w:tr>
        <w:trPr>
          <w:trHeight w:val="216"/>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52,597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52,597</w:t>
            </w:r>
          </w:p>
        </w:tc>
      </w:tr>
      <w:tr>
        <w:trPr>
          <w:trHeight w:val="216"/>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2,413</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19,714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19,714</w:t>
            </w:r>
          </w:p>
        </w:tc>
      </w:tr>
      <w:tr>
        <w:trPr>
          <w:trHeight w:val="216"/>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5,571</w:t>
            </w:r>
          </w:p>
        </w:tc>
      </w:tr>
      <w:tr>
        <w:trPr>
          <w:trHeight w:val="216"/>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5,068</w:t>
            </w:r>
          </w:p>
        </w:tc>
      </w:tr>
      <w:tr>
        <w:trPr>
          <w:trHeight w:val="216"/>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5,027</w:t>
            </w:r>
          </w:p>
        </w:tc>
      </w:tr>
      <w:tr>
        <w:trPr>
          <w:trHeight w:val="223"/>
        </w:trPr>
        <w:tc>
          <w:tcPr>
            <w:tcW w:w="7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60,837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37,793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98,630</w:t>
            </w:r>
          </w:p>
        </w:tc>
        <w:tc>
          <w:tcPr>
            <w:tcW w:w="60" w:type="dxa"/>
            <w:vAlign w:val="bottom"/>
          </w:tcPr>
          <w:p>
            <w:pPr>
              <w:spacing w:after="0"/>
              <w:rPr>
                <w:sz w:val="19"/>
                <w:szCs w:val="19"/>
                <w:color w:val="auto"/>
              </w:rPr>
            </w:pPr>
          </w:p>
        </w:tc>
      </w:tr>
    </w:tbl>
    <w:p>
      <w:pPr>
        <w:spacing w:after="0" w:line="211" w:lineRule="exact"/>
        <w:rPr>
          <w:sz w:val="20"/>
          <w:szCs w:val="20"/>
          <w:color w:val="auto"/>
        </w:rPr>
      </w:pPr>
    </w:p>
    <w:p>
      <w:pPr>
        <w:jc w:val="both"/>
        <w:ind w:right="80" w:firstLine="44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accounts payable and accrued expenses and other current liabilities are carried at cost, which management believes approximates fair value due to their short term nature.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expense is recognized using the straight-line method over the estimated useful life of each asset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useful life of</w:t>
            </w:r>
          </w:p>
        </w:tc>
      </w:tr>
      <w:tr>
        <w:trPr>
          <w:trHeight w:val="234"/>
        </w:trPr>
        <w:tc>
          <w:tcPr>
            <w:tcW w:w="374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asset or the lease term</w:t>
            </w:r>
          </w:p>
        </w:tc>
      </w:tr>
    </w:tbl>
    <w:p>
      <w:pPr>
        <w:spacing w:after="0" w:line="198"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Maintenance and repairs that do not improve or extend the life of the assets are expensed when incurred. Upon sale or retirement of assets, the cost and accumulated depreciation and amortization are removed from the consolidated balance sheet and any resulting gain or loss is reflected in the consolidated statement of operations and comprehensive loss in the period realized.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20" w:type="dxa"/>
            <w:vAlign w:val="bottom"/>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10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(117)</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233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80" w:hanging="4999"/>
        <w:spacing w:after="0" w:line="454" w:lineRule="auto"/>
        <w:rPr>
          <w:sz w:val="20"/>
          <w:szCs w:val="20"/>
          <w:color w:val="auto"/>
        </w:rPr>
      </w:pPr>
      <w:r>
        <w:rPr>
          <w:rFonts w:ascii="Times New Roman" w:cs="Times New Roman" w:eastAsia="Times New Roman" w:hAnsi="Times New Roman"/>
          <w:sz w:val="18"/>
          <w:szCs w:val="18"/>
          <w:color w:val="auto"/>
        </w:rPr>
        <w:t>Depreciation and amortization expense were less than $0.1 million for each of the years ended December 31, 2018 and 2019. F-11</w:t>
      </w:r>
    </w:p>
    <w:p>
      <w:pPr>
        <w:sectPr>
          <w:pgSz w:w="11900" w:h="16838" w:orient="portrait"/>
          <w:cols w:equalWidth="0" w:num="1">
            <w:col w:w="11240"/>
          </w:cols>
          <w:pgMar w:left="320" w:top="455" w:right="3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Impairment charges are recognized at the amount by which the carrying amount of an asset exceeds the fair value of the asset. Assets to be disposed of are reported at the lower of the carrying amount or the fair value less costs to sell. There was no impairment of long-lived assets for any of the periods presented.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funds for employee wages and funds paid to third parties for the provision of services for product candidate development, clinical and preclinical development and related supply and manufacturing costs, and regulatory compliance costs.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w:t>
      </w:r>
    </w:p>
    <w:p>
      <w:pPr>
        <w:spacing w:after="0" w:line="187"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Costs incurred to obtain licenses are recognized as research and development expense as incurred if the technology licensed has no alternative future use. Advance payments for goods or services to be received in the future for use in research and development activities are recorded as prepaid expenses. The prepaid amounts are expensed as the related goods are received or services are performed.</w:t>
      </w:r>
    </w:p>
    <w:p>
      <w:pPr>
        <w:spacing w:after="0" w:line="176"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To date, there have been no material differences between the Company’s accrued costs and actual costs.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right="200" w:firstLine="449"/>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the Redeemable Preferred Units</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 has classified all of its outstanding redeemable Series Seed preferred units (the Series Seed Redeemable Preferred Units), redeemable Series A1 preferred units (the Series A Redeemable Preferred Units), redeemable Series B preferred units (the Series B Redeemable Preferred Units) or, collectively, the Redeemable Preferred Units, outside of members’ deficit in the accompanying consolidated balance sheets because these units contain certain redemption features that are not solely within the control of the Company. See Note 5. Once the redemption of the Redeemable Preferred Units becomes probable of occurring, the carrying amount of the Redeemable Preferred Units will be accreted to their redemption value.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455" w:right="3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Equity-based compensation is measured at the grant date for all equity-based awards made to employees and non-employees based on the fair value of the awards and is recognized as expense on a straight-line basis over the requisite service period, which is generally the vesting period. The Company has elected to recognize the actual forfeitures by reducing the equity-based compensation in the same period as the forfeitures occur.</w:t>
      </w:r>
    </w:p>
    <w:p>
      <w:pPr>
        <w:spacing w:after="0" w:line="176" w:lineRule="exact"/>
        <w:rPr>
          <w:sz w:val="20"/>
          <w:szCs w:val="20"/>
          <w:color w:val="auto"/>
        </w:rPr>
      </w:pPr>
    </w:p>
    <w:p>
      <w:pPr>
        <w:ind w:right="80" w:firstLine="449"/>
        <w:spacing w:after="0" w:line="281" w:lineRule="auto"/>
        <w:rPr>
          <w:sz w:val="20"/>
          <w:szCs w:val="20"/>
          <w:color w:val="auto"/>
        </w:rPr>
      </w:pPr>
      <w:r>
        <w:rPr>
          <w:rFonts w:ascii="Times New Roman" w:cs="Times New Roman" w:eastAsia="Times New Roman" w:hAnsi="Times New Roman"/>
          <w:sz w:val="17"/>
          <w:szCs w:val="17"/>
          <w:color w:val="auto"/>
        </w:rPr>
        <w:t>The LLC has granted non-voting incentive units to employees and non-employees. These awards generally have only a service condition and vest over a period of up to four years. The Company’s subsidiaries have granted stock options that are exercisable in the underlying entity’s common stock and have issued restricted stock awards in the underlying entity’s common stock to employees and non-employees. These awards generally have only a service condition and generally vest over a period of up to four years. None of the awards issued by the subsidiaries are issued for the LLC members’ capital.</w:t>
      </w:r>
    </w:p>
    <w:p>
      <w:pPr>
        <w:spacing w:after="0" w:line="164"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Because there is no public market for the Company’s non-voting incentive units or the Subsidiaries’ restricted stock awards, as it is a private company, the Company’s board of directors has determined the fair value of non-voting incentive units and restricted stock awards by considering a number of objective and subjective factors, including having contemporaneous and retrospective valuations of its equity performed by a third-party valuation specialist, valuations of comparable peer public companies, sales of its redeemable preferred units, operating and financial performance, the lack of liquidity of the Company’s common and non-voting incentive units, and general and industry-specific economic outlook. The fair value of the Company’s non-voting incentive units and restricted stock awards are determined by its board of directors.</w:t>
      </w:r>
    </w:p>
    <w:p>
      <w:pPr>
        <w:spacing w:after="0" w:line="187"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in its consolidated statements of operations and comprehensive loss in the same manner in which the award recipient’s payroll costs are classified or in which the award recipient’s service payments are classified.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LLC has elected to be treated under the Partnership provisions of the Internal Revenue Code. Accordingly, the Company is not viewed as a tax-paying entity in any jurisdiction and all income and deductions of the LLC are reported on the members’ individual income tax returns and no income taxes are recorded by the LLC. The LLC does not have any operations.</w:t>
      </w:r>
    </w:p>
    <w:p>
      <w:pPr>
        <w:spacing w:after="0" w:line="176"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Subsidiaries are taxed as corporations for federal and state income tax purposes. The Subsidiaries account for income taxes using the asset and liability method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Current income taxes are based on taxable income for federal and state reporting purposes. Deferred income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A valuation allowance is provided when it is more likely than not that some portion, or all of a deferred tax asset will not be realized. Due to the Subsidiaries’ lack of earnings history, the net deferred tax assets have been fully offset by a valuation allowance at both December 31, 2018 and 2019.</w:t>
      </w:r>
    </w:p>
    <w:p>
      <w:pPr>
        <w:spacing w:after="0" w:line="18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Subsidiaries recognize the effect of income tax positions only if those positions are more likely than not of being sustained. Recognized income tax positions are measured at the largest amount of benefit that is greater than fifty percent likely to be realized upon settlement. Changes in measurement are reflected in the period in which the change in judgment occurs.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455" w:right="3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As described in “Recently Adopted Accounting Pronouncements” below, the Company early adopted multiple accounting standards, as 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Unit</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The holders of the Company’s Redeemable Preferred Units are entitled to receive distributions, including cumulative returns on their units outstanding, prior and in preference to any distributions on any of the Company’s Common Units and Non-Voting Incentive Units, which are also entitled to cumulative returns. For the years ended December 31, 2018 and 2019, the Company determined that its common stock equivalents are its Common Units and vested Non-Voting Incentive Units.</w:t>
      </w:r>
    </w:p>
    <w:p>
      <w:pPr>
        <w:spacing w:after="0" w:line="180"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unit as the Company has issued units that meet the definition of participating securities. The two-class method determines net income (loss) per unit for each class of common and participating securities according to dividends declared or accumulated and participation rights in undistributed earnings. The two-class method requires income available to common unitholders for the period to be allocated between common and participating securities based upon their respective rights to receive dividends as if all income for the period had been distributed. For the years ended December 31, 2018 and 2019, the Company considers its Redeemable Preferred Units to be participating securities as they are entitled to participate in undistributed earnings along with Common Unit and vested Non-Voting Incentive Unit members. Unvested Non-Voting Incentive Units are not considered participating securities.</w:t>
      </w:r>
    </w:p>
    <w:p>
      <w:pPr>
        <w:spacing w:after="0" w:line="189"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Basic net loss per unit attributable to common non-voting incentive unit holders is computed by dividing the net loss attributable to common non-voting incentive unit holders by the weighted average number of common non-voting incentive units outstanding for the period. Diluted net loss attributable to common non-voting incentive unit holders is computed by adjusting net loss attributable to common non-voting incentive unit holders to reallocate undistributed earnings based on the potential impact of dilutive securities. Diluted net loss per unit attributable to common non-voting incentive unit holders is computed by dividing the diluted net loss attributable to common non-voting incentive unit holders by the weighted average number of common non-voting incentive unit units outstanding for the period, including potential dilutive common non-voting incentive unit units. For purposes of this calculation, unvested Non-Voting Incentive Units and Redeemable Preferred Units are considered potential dilutive common units.</w:t>
      </w:r>
    </w:p>
    <w:p>
      <w:pPr>
        <w:spacing w:after="0" w:line="18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Company’s Redeemable Preferred Units contractually entitle the holders of such units to participate in dividends but does not contractually require the holders of such units to participate in losses of the Company. Accordingly, in periods in which the Company reports a net loss attributable to common unit holders, such losses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5" w:right="3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are not allocated to such participating securities. In periods in which the Company reports a net loss attributable to common unitholders, diluted net loss per unit attributable to common unitholders is the same as basic net loss per unit attributable to common unit holders, since dilutive common units are not assumed to have been issued if their effect is anti-dilutive. The Company reported a net loss attributable to Common Unit holders for the years ended December 31, 2018 and 2019.</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Net Loss per Share</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for the year ended December 31, 2019 has been prepared to give effect to the exchange of all outstanding redeemable preferred units and vested non-voting incentive units of the LLC into shares of common stock of the Corporation upon the Reorganization as if the Reorganization had occurred on the later of the beginning of the period or the issuance date of the redeemable preferred units.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(ASU 2015-17), which simplifies the presentation of deferred taxes in a classified balance sheet by eliminating the requirement to separate deferred income tax liabilities and assets into current and noncurrent amounts. Instead, ASU 2015-17 requires that all deferred tax liabilities and assets be shown as noncurrent in a classified balance sheet. ASU 2015-17 is effective for fiscal years beginning after December 15, 2017 and may be applied either prospectively or retrospectively to all periods presented. The Company adopted this guidance on January 1, 2018. The consolidated balance sheets as of December 31, 2018 and 2019 are presented in accordance with this guidance.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to increase transparency and comparability among organizations by recognizing a right-of-use asset and a lease liability on the balance sheet for all leases with terms longer than 12 months. Leases will be classified as either operating or financing, with such classifications affecting the pattern of expense recognition in the income statement. ASU 2016-02 is effective for fiscal years beginning after December 15, 2019, and early adoption is permitted. ASU 2016-02 was recently delayed for emerging growth companies that elected to adopt new accounting standards on the adoption date required for private companies and will be effective for the Company’s annual reporting period beginning on January 1, 2022 and interim periods beginning first quarter of 2023. The Company is evaluating the impact ASU 2016-02 will have on its consolidated financial statements and associated disclosures.</w:t>
      </w:r>
    </w:p>
    <w:p>
      <w:pPr>
        <w:spacing w:after="0" w:line="183"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8"/>
          <w:szCs w:val="18"/>
          <w:color w:val="auto"/>
        </w:rPr>
        <w:t>In August 2018, the FASB issued ASU No. 2018-13</w:t>
      </w:r>
      <w:r>
        <w:rPr>
          <w:rFonts w:ascii="Times New Roman" w:cs="Times New Roman" w:eastAsia="Times New Roman" w:hAnsi="Times New Roman"/>
          <w:sz w:val="18"/>
          <w:szCs w:val="18"/>
          <w:i w:val="1"/>
          <w:iCs w:val="1"/>
          <w:color w:val="auto"/>
        </w:rPr>
        <w:t>, Disclosure Framework—Changes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which changes the fair value measurement disclosure requirements of ASC Topic 820. The updated guidance improves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on fair value measurements and is effective for fiscal years, and interim periods within those fiscal years, beginning after December 15, 2019. Early adoption is permitted upon issuance of the standard for disclosures modified or removed with a delay of adoption of the additional disclosures until their effective date. The adoption of ASU 2018-13 is not expected to materially impact the Company’s consolidated financial statements and associated disclosures.</w:t>
      </w:r>
    </w:p>
    <w:p>
      <w:pPr>
        <w:spacing w:after="0" w:line="182"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Clarifying the Interaction Between Topic 808 and Topic 606 (ASU 2018-18). The amendments in this update clarify that certain transactions between collaborative arrangement participants should be accounted for as revenue when the collaborative arrangement participant is a customer in the context of a unit of account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455" w:right="3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precludes recognizing as revenue consideration received from a collaborative arrangement participant if the participant is not a customer. The standard is effective for the Company beginning January 1, 2021. The Company is currently evaluating the potential impact ASU 2018-18 may have on its consolidated financial position and consolidated results of operations upon adoption.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(ASU 2019-12), which is intended to simplify the accounting for income taxes. ASU 2019-12 removes certain exceptions to the general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and also clarifies and amends existing guidance to improve consistent application. The new standard will be effective beginning January 1, 2022. The Company does not expect the adoption of ASU 2019-12 to have a material impact on its consolidated financial position and consolidated results of operations upon adoption.</w:t>
      </w:r>
    </w:p>
    <w:p>
      <w:pPr>
        <w:spacing w:after="0" w:line="187" w:lineRule="exact"/>
        <w:rPr>
          <w:sz w:val="20"/>
          <w:szCs w:val="20"/>
          <w:color w:val="auto"/>
        </w:rPr>
      </w:pPr>
    </w:p>
    <w:p>
      <w:pPr>
        <w:ind w:right="40" w:firstLine="449"/>
        <w:spacing w:after="0" w:line="268" w:lineRule="auto"/>
        <w:rPr>
          <w:sz w:val="20"/>
          <w:szCs w:val="20"/>
          <w:color w:val="auto"/>
        </w:rPr>
      </w:pPr>
      <w:r>
        <w:rPr>
          <w:rFonts w:ascii="Times New Roman" w:cs="Times New Roman" w:eastAsia="Times New Roman" w:hAnsi="Times New Roman"/>
          <w:sz w:val="17"/>
          <w:szCs w:val="17"/>
          <w:color w:val="auto"/>
        </w:rPr>
        <w:t>In August 2020, FASB issued ASU No. 2020-06</w:t>
      </w:r>
      <w:r>
        <w:rPr>
          <w:rFonts w:ascii="Times New Roman" w:cs="Times New Roman" w:eastAsia="Times New Roman" w:hAnsi="Times New Roman"/>
          <w:sz w:val="17"/>
          <w:szCs w:val="17"/>
          <w:i w:val="1"/>
          <w:iCs w:val="1"/>
          <w:color w:val="auto"/>
        </w:rPr>
        <w:t>, Debt—Debt with Conversion and Other Options (Subtopic 470-20) and 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7"/>
          <w:szCs w:val="17"/>
          <w:color w:val="auto"/>
        </w:rPr>
        <w:t>, which, among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things, provides guidance on how to account for contracts on an entity’s own equity. This ASU simplifies the accounting for certain financial instruments with characteristics of liabilities and equity. Specifically, the ASU eliminated the need for the Company to assess whether a contract on the entity’s own equity (1) permits settlement in unregistered shares, (2) whether counterparty rights rank higher than shareholder’s rights, and (3) whether collateral is required. In addition, the ASU requires incremental disclosure related to contracts on the entity’s own equity and clarifies the treatment of certain financial instruments accounted for under this ASU on earnings per share. This ASU may be applied on a full retrospective or modified retrospective basis.</w:t>
      </w:r>
    </w:p>
    <w:p>
      <w:pPr>
        <w:spacing w:after="0" w:line="4" w:lineRule="exact"/>
        <w:rPr>
          <w:sz w:val="20"/>
          <w:szCs w:val="20"/>
          <w:color w:val="auto"/>
        </w:rPr>
      </w:pPr>
    </w:p>
    <w:p>
      <w:pPr>
        <w:jc w:val="both"/>
        <w:ind w:right="560"/>
        <w:spacing w:after="0" w:line="290" w:lineRule="auto"/>
        <w:rPr>
          <w:sz w:val="20"/>
          <w:szCs w:val="20"/>
          <w:color w:val="auto"/>
        </w:rPr>
      </w:pPr>
      <w:r>
        <w:rPr>
          <w:rFonts w:ascii="Times New Roman" w:cs="Times New Roman" w:eastAsia="Times New Roman" w:hAnsi="Times New Roman"/>
          <w:sz w:val="17"/>
          <w:szCs w:val="17"/>
          <w:color w:val="auto"/>
        </w:rPr>
        <w:t>This ASU is effective January 1, 2022 including interim periods presented within that year. Early adoption of the ASU is permitted by the Company effective January 1, 2021. The Company is in the process of assessing the adoption of the ASU on the Company’s consolidated financial statements.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5"/>
                <w:szCs w:val="15"/>
                <w:color w:val="auto"/>
              </w:rPr>
            </w:pPr>
          </w:p>
        </w:tc>
      </w:tr>
      <w:tr>
        <w:trPr>
          <w:trHeight w:val="142"/>
        </w:trPr>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Consultants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1,028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1,589</w:t>
            </w:r>
          </w:p>
        </w:tc>
        <w:tc>
          <w:tcPr>
            <w:tcW w:w="60" w:type="dxa"/>
            <w:vAlign w:val="bottom"/>
          </w:tcPr>
          <w:p>
            <w:pPr>
              <w:spacing w:after="0"/>
              <w:rPr>
                <w:sz w:val="19"/>
                <w:szCs w:val="19"/>
                <w:color w:val="auto"/>
              </w:rPr>
            </w:pPr>
          </w:p>
        </w:tc>
      </w:tr>
      <w:tr>
        <w:trPr>
          <w:trHeight w:val="20"/>
        </w:trPr>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License and Collaboration Agreements (Subsidiary – Licensor/Collaborator)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Alaras—ADT Pharmaceuticals, Inc.</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 May 2017, Alaras entered into a license and collaboration agreement with ADT Pharmaceuticals, Inc. (ADT) to discover and develop a first-in-class pan-RAS inhibitor (ADT Agreement). Under the terms of the ADT Agreement, Alaras paid a nonrefundable up-front license fee and issued shares of common stock to ADT in exchange for the worldwide, exclusive rights to research and develop ADT’s RAS inhibitors. In addition, Alaras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455" w:right="33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agreed to pay ADT an annual research and consulting fee of $0.5 million, payable monthly in arrears, for a four-year period, unless otherwise terminated as specified in the ADT Agreement. Research and consulting fees totaling $0.1 million are recorded in research and development expenses in the accompanying consolidated statements of operations and comprehensive loss for the year ended December 31, 2018.</w:t>
      </w:r>
    </w:p>
    <w:p>
      <w:pPr>
        <w:spacing w:after="0" w:line="176"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In February 2018, research and development did not generate data to support further advancement of the program and Alaras provided notice of termination to ADT under the ADT Agreement. Following the required notice period and upon consent of the Alaras’ board of directors, Alaras was dissolved in June 2018.</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Senovax—Avidea Technologies, Inc.</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October 2017, Senovax entered into a research, option and license agreement with Avidea Technologies, Inc. (Avidea) for Avidea to perform contracted research for Senovax on its vaccine technology platform (Avidea Agreement). The Avidea Agreement provides Senovax with an exclusive right and option to acquire licenses at a future date. Under the terms of the Avidea Agreement, Senovax paid a nonrefundable up-front collaboration fee. Senovax also agreed to pay Avidea research and consulting fees of $0.3 million under the work plan specified in the Avidea Agreement. The up-front collaboration fee and the research and consulting fees were recorded as research and development expense in the accompanying consolidated statements of operations and comprehensive loss for the year ended December 31, 2018.</w:t>
      </w:r>
    </w:p>
    <w:p>
      <w:pPr>
        <w:spacing w:after="0" w:line="187" w:lineRule="exact"/>
        <w:rPr>
          <w:sz w:val="20"/>
          <w:szCs w:val="20"/>
          <w:color w:val="auto"/>
        </w:rPr>
      </w:pPr>
    </w:p>
    <w:p>
      <w:pPr>
        <w:ind w:firstLine="449"/>
        <w:spacing w:after="0" w:line="312" w:lineRule="auto"/>
        <w:rPr>
          <w:sz w:val="20"/>
          <w:szCs w:val="20"/>
          <w:color w:val="auto"/>
        </w:rPr>
      </w:pPr>
      <w:r>
        <w:rPr>
          <w:rFonts w:ascii="Times New Roman" w:cs="Times New Roman" w:eastAsia="Times New Roman" w:hAnsi="Times New Roman"/>
          <w:sz w:val="17"/>
          <w:szCs w:val="17"/>
          <w:color w:val="auto"/>
        </w:rPr>
        <w:t>Early research and development did not generate data to support further advancement of the program and, in September 2018, Senovax provided notice of termination to Avidea under the Avidea Agreement. In November 2018, upon consent of the Senovax’s board of directors, Senovax was dissolved.</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Wittelsbach—MAB Discovery GmbH</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In January 2018, Wittelsbach entered into an option and license agreement with MAB Discovery GmbH (MAB) to develop a novel agonistic antibody (MAB Agreement). Under the terms of the MAB Agreement, Wittelsbach paid a nonrefundable option fee and issued shares of its common stock to MAB in exchange for the worldwide, exclusive rights to research and develop the MAB antibody. The option fee of $0.6 million was recorded as research and development expense in the accompanying consolidated statement of operations and comprehensive loss for the year ended December 31, 2018.</w:t>
      </w:r>
    </w:p>
    <w:p>
      <w:pPr>
        <w:spacing w:after="0" w:line="183"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In September 2018, Wittelsbach decided the data did not support advancement of the program and provided notice of termination to MAB under the MAB Agreement. Following the required notice period and upon consent of the Wittelsbach’s board of directors, Wittelsbach was dissolved in December 2018.</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Management—Adimab</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November 2018, Management entered into a collaboration agreement with Adimab, LLC (Adimab) (the Adimab Collaboration Agreement). Pursuant to the Adimab Collaboration Agreement, Management selected a number of biological targets against which Adimab used its proprietary platform technology to discover and/or optimize antibodies based upon mutually agreed upon research plans. Under the Adimab Collaboration Agreement, Management has the ability to select a specified number of additional biological targets against which Adimab will provide additional antibody discovery and optimization services.</w:t>
      </w:r>
    </w:p>
    <w:p>
      <w:pPr>
        <w:spacing w:after="0" w:line="183"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During the research term and evaluation term for a given research program with Adimab, Management has a non-exclusive worldwide license under Adimab’s technology to perform certain research activities and to evaluate the program antibodies to determine whether Management wants to exercise its option to obtain a royalty-free, fully paid, non-exclusive license to exploit such antibodies and sublicense through multiple tiers.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455" w:right="3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Under the Adimab Collaboration Agreement, Management paid a one-time, non-creditable, non-refundable technology access fee. Management is also required to pay an annual access fee and research funding fees in connection with Adimab’s full-time employees’ compensation for performance of Adimab’s obligations under the Adimab Collaboration Agreement. Management is also obligated to make certain research delivery, clinical and sales milestone payments to Adimab on a program-by-program basis, subject to certain reductions and discounts. The Company recorded research and development expenses in the consolidated statements of operations and comprehensive loss related to the Adimab Collaboration Agreement of $0.1 million and $0.8 million for the years ended December 31, 2018 and 2019, respectively.</w:t>
      </w:r>
    </w:p>
    <w:p>
      <w:pPr>
        <w:spacing w:after="0" w:line="187"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t>Furthermore, Management is obligated to pay certain royalty payments on a product-by-product basis at a low single-digit percentage of annual aggregate worldwide net sales. Such royalty obligations will expire on a country-by-country and product-by-product basis upon the later of (a) a certain low double-digit number of years after the first commercial sale of such product in such country and (b) the expiration of the last issued and not expired, permanently revoked, or invalid claim within a program patent covering such product.</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Management may terminate the Adimab Collaboration Agreement at any time, for any reason, upon a specified period advance written notice. The term of the Adimab Collaboration Agreement expires upon the last research program’s evaluation term in the event no Adimab Option is exercised or in the event an Adimab Option is exercised, after the royalty term expires at the later of a specified period or invalid patent coverage of the relevant product.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Apollo—The Wistar Institute</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In December 2018, Apollo entered into a license agreement with The Wistar Institute (Wistar) to discover and develop a novel Epstein-Barr Nuclear Antigen 1 (EBNA1) inhibitor (the Wistar Agreement). Under the terms of the Wistar Agreement, Apollo paid a nonrefundable up-front option and license fee and issued shares of Apollo common stock to Wistar in exchange for the worldwide, exclusive rights to research and develop Wistar’s EBNA1 inhibitor. The up-front license fee and fair value of the common stock granted of $3.2 million are recorded as research and development expense in the accompanying consolidated statements of operations and comprehensive loss for the year ended December 31, 2018. The Wistar Agreement also provides for Wistar to receive milestone payments upon achievement of patent rights and product development targets and royalties on future sales of licensed products. In December 2018, the Company also entered into a Collaborative Research Agreement with Wistar to continue preclinical research and development with potential product candidate. These studies are budgeted to cost $1.5 million over a three-year timeline. The Company recorded research and development expenses of zero dollars and $0.5 million in the consolidated statements of operations and comprehensive loss related to these agreements for the years ended December 31, 2018 and 2019, respectively.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Pearl—Taiho Pharmaceuticals, Co. Ltd</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February 2019, Pearl entered into a license and collaboration agreement with Taiho Pharmaceuticals, Co. Ltd (Taiho Pharma) to develop a novel epidermal growth factor receptor (EGFR) inhibitor (the Taiho License Agreement).</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for worldwide exclusive development rights, excluding Japan, Pearl paid an initial, non-refundable, non-creditable license fee and issued an affiliate of Taiho Pharma a percentage of Pearl’s outstanding capital stock. In addition, Pearl is obligated to pay non-refundable, non-creditable research and development and regulatory milestone payments up to $44.5 million in aggregate and sales milestone payments up to $110.0 million in aggregate upon the occurrence of certain events. Each milestone is payable only once. No milestones have been achieved to date under the Taiho License Agreement. The up-front license fee and fair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455" w:right="3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value of the common stock granted are recorded as research and development expense in the accompanying consolidated statements of operations and comprehensive loss for the year ended December 31, 2019.</w:t>
      </w:r>
    </w:p>
    <w:p>
      <w:pPr>
        <w:spacing w:after="0" w:line="162"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Furthermore, Pearl is required to pay running low single digit to low double digit royalty percentages of annual aggregate net sales on a country-by-country and product-by-product basis during the royalty term, subject to certain offsets, deductions or reductions related to loss or impairment of exclusivity in the territory. The obligation to pay royalties is imposed only once with respect to net sales of the same unit of a licensed product. Such royalty obligations will expire on a country-by-country and product-by product basis upon the later of (a) the expiration of the last patent which covers a product in such country, (b) the expiration of any exclusivity granted by a regulatory authority and (c) a low double-digit anniversary following the first commercial sale of a product in such country.</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the event (i) Taiho Pharma does not exercise its right of negotiation with respect to a licensed product or (ii) Taiho Pharma does exercise its right of negotiation, but the parties do not consummate a transaction, then at the time Pearl enters into a subsequent transaction with a third party for (a) less than all or less than substantially all of Pearl’s rights in a licensed product, Pearl is also obligated to pay Taiho Pharma a mid single digit to low double digit percentage of revenue from such transactions or (b) all or substantially all of Pearl’s rights in a licensed product, Pearl is obligated to pay Taiho Pharma a low single digit to mid single digit percentage of revenue from such transactions, provided, however, that such payment under (b) shall not be required following the consummation of Pearl’s initial public offering.</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parallel with the execution of the Taiho License Agreement, Pearl entered into a Series A Preferred Stock Purchase Agreement with the LLC and Taiho Ventures, LLC (Taiho Ventures) to sell up to 23,000,000 shares of Pearl’s Series A Preferred Stock for $1.00 per share. The LLC and Taiho Ventures invested $14.0 million in the initial closing. The Series A Preferred Stock Purchase Agreement obligated Pearl to sell, and the LLC and Taiho Ventures to purchase, at $1.00 per share, an aggregate of 9,000,000 shares of Pearl’s Series A Preferred Stock at a subsequent closing, which shall occur on the approval of Pearl’s board of directors or if the cash balance of Pearl is below $1.0 million. The Company determined that Pearl’s second Series A Preferred Stock tranche is separable and therefore a freestanding instrument, but the fair value of the tranche right is not material as of and for the year ended December 31, 2019. Pearl completed the second closing in August 2020. See Note 13. The Company recorded research and development expenses of zero and $3.0 million in the consolidated statements of operations and comprehensive loss related to this license agreement, for the years ended December 31, 2018 and 2019, respectively.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Amber—Massachusetts Institute of Technology</w:t>
      </w:r>
    </w:p>
    <w:p>
      <w:pPr>
        <w:spacing w:after="0" w:line="121" w:lineRule="exact"/>
        <w:rPr>
          <w:sz w:val="20"/>
          <w:szCs w:val="20"/>
          <w:color w:val="auto"/>
        </w:rPr>
      </w:pPr>
    </w:p>
    <w:p>
      <w:pPr>
        <w:ind w:right="440" w:firstLine="449"/>
        <w:spacing w:after="0" w:line="261" w:lineRule="auto"/>
        <w:rPr>
          <w:sz w:val="20"/>
          <w:szCs w:val="20"/>
          <w:color w:val="auto"/>
        </w:rPr>
      </w:pPr>
      <w:r>
        <w:rPr>
          <w:rFonts w:ascii="Times New Roman" w:cs="Times New Roman" w:eastAsia="Times New Roman" w:hAnsi="Times New Roman"/>
          <w:sz w:val="18"/>
          <w:szCs w:val="18"/>
          <w:color w:val="auto"/>
        </w:rPr>
        <w:t>In December 2019, Amber entered into an Exclusive Patent License Agreement with Massachusetts Institute of Technology (MIT) to develop a cancer immunotherapy product worldwide (the MIT License Agreement). Under the terms of the MIT License Agreement, Amber paid an upfront nonrefundable license fee upon execution. Additionally, Amber issued shares of its common stock to MIT and founder upon execution of its Series A Preferred financing in April 2020 as consideration for the licenses granted.</w:t>
      </w:r>
    </w:p>
    <w:p>
      <w:pPr>
        <w:spacing w:after="0" w:line="180"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Amber is also responsible for paying non-refundable, creditable annual license maintenance fees in an increasing amount over a certain number of years and a fixed amount subsequent to this period of time. In addition, MIT granted to Amber an exclusive option to amend the initially determined field to include expansion fields, and such amendment would trigger the payment to MIT of an amendment fee. During the year ended December 31, 2019, the Company recognized research and development expense in the statements of operations and comprehensive loss of less than $0.1 million in connection with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20"/>
          </w:cols>
          <w:pgMar w:left="320" w:top="455" w:right="3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500" w:firstLine="449"/>
        <w:spacing w:after="0" w:line="261" w:lineRule="auto"/>
        <w:rPr>
          <w:sz w:val="20"/>
          <w:szCs w:val="20"/>
          <w:color w:val="auto"/>
        </w:rPr>
      </w:pPr>
      <w:r>
        <w:rPr>
          <w:rFonts w:ascii="Times New Roman" w:cs="Times New Roman" w:eastAsia="Times New Roman" w:hAnsi="Times New Roman"/>
          <w:sz w:val="18"/>
          <w:szCs w:val="18"/>
          <w:color w:val="auto"/>
        </w:rPr>
        <w:t>Additionally, Amber shall pay certain non-refundable, non-creditable milestone payments up to $7.0 million and $5.5 million to MIT upon the occurrence of certain clinical and regulatory events associated with its first and second indications, respectively, by product, and up to an additional $12.5 million upon the occurrence of cumulative net sales targets. Each milestone payment is paid one time only up to a certain payment amount. No milestones have been achieved to date under the MIT License Agreement.</w:t>
      </w:r>
    </w:p>
    <w:p>
      <w:pPr>
        <w:spacing w:after="0" w:line="180"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Under certain conditions upon a change in control, Amber is required to pay a specified change in control fee and Amber’s clinical and regulatory milestone payments shall be increased by 100%.</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Furthermore, Amber is required to pay running low single digit royalty percentage on net sales of all licensed products for each reporting period, subject to certain offsets or reductions. The royalties due to MIT for net sales of the licensed product shall not be reduced by more than a mid-double digit percentage. Amber is also required to share any income from sublicensing the licensed products, with the percentage to be determined by the clinical phase of the licensed product, no greater than low-to-mid double digit percentages. Such royalty obligations will expire on a country-by-country and product-by-product basis upon the expiration or abandonment of all issued patents and filed patent applications within the patent rights.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Redeemable Preferred Units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October 2016, the LLC issued 16,000,000 units of Series Seed Redeemable Preferred Units at a price of $0.25 per share, resulting in net proceeds of $4.0 million. In April 2017, the LLC issued 50,000,000 of Series A Redeemable Preferred Units at a price of $1.00 per share, resulting in net proceeds of $49.9 million. In 2019, the LLC authorized a $100.0 million Series B Redeemable Preferred Unit financing. Upon the first two closings during 2019, the LLC issued 54,006,407 of Series B Redeemable Preferred Units at $1.56 per share, resulting in net proceeds of $83.9 million. Two subsequent closings were completed in February and March 2020. See Note 13 for further detail.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Outstanding Redeemable Preferred Units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8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Units Issued</w:t>
            </w:r>
          </w:p>
        </w:tc>
        <w:tc>
          <w:tcPr>
            <w:tcW w:w="10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Original</w:t>
            </w: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60" w:type="dxa"/>
            <w:vAlign w:val="bottom"/>
          </w:tcPr>
          <w:p>
            <w:pPr>
              <w:spacing w:after="0"/>
              <w:rPr>
                <w:sz w:val="10"/>
                <w:szCs w:val="10"/>
                <w:color w:val="auto"/>
              </w:rPr>
            </w:pPr>
          </w:p>
        </w:tc>
      </w:tr>
      <w:tr>
        <w:trPr>
          <w:trHeight w:val="148"/>
        </w:trPr>
        <w:tc>
          <w:tcPr>
            <w:tcW w:w="48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4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73"/>
        </w:trPr>
        <w:tc>
          <w:tcPr>
            <w:tcW w:w="48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Redeemable Preferred Units</w:t>
            </w:r>
          </w:p>
        </w:tc>
        <w:tc>
          <w:tcPr>
            <w:tcW w:w="3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Preferred Units</w:t>
            </w:r>
          </w:p>
        </w:tc>
        <w:tc>
          <w:tcPr>
            <w:tcW w:w="3300" w:type="dxa"/>
            <w:vAlign w:val="bottom"/>
            <w:gridSpan w:val="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49,946</w:t>
            </w:r>
          </w:p>
        </w:tc>
      </w:tr>
      <w:tr>
        <w:trPr>
          <w:trHeight w:val="27"/>
        </w:trPr>
        <w:tc>
          <w:tcPr>
            <w:tcW w:w="4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Preferred Units as of December 31, 2018</w:t>
            </w:r>
          </w:p>
        </w:tc>
        <w:tc>
          <w:tcPr>
            <w:tcW w:w="3300" w:type="dxa"/>
            <w:vAlign w:val="bottom"/>
            <w:gridSpan w:val="2"/>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53,902</w:t>
            </w:r>
          </w:p>
        </w:tc>
      </w:tr>
      <w:tr>
        <w:trPr>
          <w:trHeight w:val="20"/>
        </w:trPr>
        <w:tc>
          <w:tcPr>
            <w:tcW w:w="4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48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Units Issued</w:t>
            </w:r>
          </w:p>
        </w:tc>
        <w:tc>
          <w:tcPr>
            <w:tcW w:w="10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Original</w:t>
            </w: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60" w:type="dxa"/>
            <w:vAlign w:val="bottom"/>
          </w:tcPr>
          <w:p>
            <w:pPr>
              <w:spacing w:after="0"/>
              <w:rPr>
                <w:sz w:val="10"/>
                <w:szCs w:val="10"/>
                <w:color w:val="auto"/>
              </w:rPr>
            </w:pPr>
          </w:p>
        </w:tc>
      </w:tr>
      <w:tr>
        <w:trPr>
          <w:trHeight w:val="148"/>
        </w:trPr>
        <w:tc>
          <w:tcPr>
            <w:tcW w:w="48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4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73"/>
        </w:trPr>
        <w:tc>
          <w:tcPr>
            <w:tcW w:w="48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Redeemable Preferred Units</w:t>
            </w:r>
          </w:p>
        </w:tc>
        <w:tc>
          <w:tcPr>
            <w:tcW w:w="3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Preferred Units</w:t>
            </w:r>
          </w:p>
        </w:tc>
        <w:tc>
          <w:tcPr>
            <w:tcW w:w="45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50,000,000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49,946</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Preferred Units</w:t>
            </w:r>
          </w:p>
        </w:tc>
        <w:tc>
          <w:tcPr>
            <w:tcW w:w="45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54,006,407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83,872</w:t>
            </w: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Preferred Units as of December 31, 2019</w:t>
            </w:r>
          </w:p>
        </w:tc>
        <w:tc>
          <w:tcPr>
            <w:tcW w:w="32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120,006,407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$ 137,774</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45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F-20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preferred unit holders are not liable for any debt, obligation, or liability of the LLC. The rights, preferences, and privileges of the Series Seed Redeemable Preferred Units, the Series A Redeemable Preferred Units, and the Series B Redeemable Preferred Units (collectively the Redeemable Preferred Units) are as follows: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holders of Redeemable Preferred Units vote together with the holders of the Common Units as a single class. Each holder is entitled to one vote per unit. The holders of the Redeemable Preferred Units must consent to certain material changes in the LLC entity. The LLC is managed by a board of directors which consists of seven members. At all times during which the Series A Redeemable Preferred Unit holders hold at least 10% of the originally issued Series A Redeemable Preferred Units, the Series A Redeemable Preferred unitholders are entitled to elect two directors. At all times during which certain Series B Redeemable Preferred unitholders hold at least 10% of the originally issued Series B Redeemable Preferred Units, the Series B Redeemable Preferred unitholders are entitled to elect one director. The three directors appointed by the Series A and Series B Redeemable Preferred unitholders are referred to as the Preferred Directors. The remaining board members consist of the LLC’s chief executive officer (CEO); two people mutually acceptable to a majority of the other members of the board, including each of the three Preferred Directors (the Independent Directors); and one independent person who shall be designated by a majority of the Preferred Directors and who does not have an affiliation with any of the board members or the Company.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holders of Redeemable Preferred Units are entitled to receive cumulative accruing dividends upon liquidation or redemption of the Company. Dividends accrue at the rate of 6% per annum of the original issuance price of the Redeemable Preferred Units commencing on the date of issuance of the Redeemable Preferred Units and ending at the date of liquidation. At December 31, 2019, $0.8 million, $8.0 million and $1.2 million of dividends have accrued on the Series Seed Redeemable Preferred Units, Series A Redeemable Preferred Units, and Series B Redeemable Preferred Units, respectively. At December 31, 2018, $0.5 million and $5.0 million of dividends were accrued on the Series Seed Redeemable Preferred Units and Series A Redeemable Preferred Units, respectively. The dividends are only payable upon liquidation or redemption of the LLC and therefore are not accrued on the consolidated balance sheets and are not a part of the net loss per unit calculation.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At the written consent of the board of directors and a vote of two-thirds of the outstanding majority interest of the holders of Redeemable Preferred Units, the Company may effect a merger or other change in control event, as defined, or may be liquidated and dissolved.</w:t>
      </w:r>
    </w:p>
    <w:p>
      <w:pPr>
        <w:spacing w:after="0" w:line="162"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Upon merger, change in control, liquidation, dissolution or winding-up of the Company, the holders of the Series B Redeemable Preferred Units are entitled to be paid first out of assets available for distribution for the amount equal to the Series B Redeemable Preferred Unit original issuance price per unit plus accrued, cumulative dividends. Second, the holders of the Series Seed Redeemable Preferred Units and Series A Redeemable Preferred Units are entitled to be paid on a pari pasu basis the amount equal to the Series Seed Redeemable Preferred Unit and Series A Redeemable Preferred Unit original issuance price per unit plus accrued, cumulative dividends. Third, the Common Unit and Non-Voting Incentive Unit holders are then entitled to be paid pro rata an amount equal to the Series Seed Redeemable Preferred Unit issuance price per unit. Fourth, the Common Unit holders, Non-Voting Incentive Unit holders and Series Seed Redeemable Preferred Unit holders are entitled to be paid pro rata an amount per unit such that cumulative proceeds upon liquidation equal the Series A Redeemable Preferred Unit issuance price per unit, subject to any adjustment ratios in effect, if any.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320" w:top="455" w:right="3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Fifth, the Common Unit holders, Non-Voting Incentive Unit holders, Series Seed Redeemable Preferred Unit holders and Series A Redeemable Preferred Unit holders are entitled to be paid pro rata an amount per unit such that cumulative proceeds upon liquidation equal the Series B Redeemable Preferred Unit issuance price per unit. Finally, all Redeemable Preferred Unit holders, Common Unit holders, and vested Non-Voting Incentive Unit holders share pro rata in any remaining proceeds.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Units, Non-Voting Incentive Units and Noncontrolling Interest in Subsidiaries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Units</w:t>
      </w:r>
    </w:p>
    <w:p>
      <w:pPr>
        <w:spacing w:after="0" w:line="121" w:lineRule="exact"/>
        <w:rPr>
          <w:sz w:val="20"/>
          <w:szCs w:val="20"/>
          <w:color w:val="auto"/>
        </w:rPr>
      </w:pPr>
    </w:p>
    <w:p>
      <w:pPr>
        <w:jc w:val="both"/>
        <w:ind w:right="58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2018 and 2019, per the Second Amended and Restated LLC Agreement (the LLC Agreement), no Common Units were authorized. Common Units are entitled to one vote per unit and to receive dividends when and if declared by the board of directors of the LLC. The Common Unit holders are not liable for any debt, obligation, or liability of the LLC.</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Non-Voting Incentive Units</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2019, the LLC Agreement provides for the issuance of up to 23,860,000 Non-Voting Incentive Units for grant under Amendment No. 1 of the 2016 Equity Incentive Plan (the Plan). In 2018, the LLC issued Non-Voting Incentive Units at a purchase price of $0.0001 per share under the Plan, as further detailed below in Note 7. In 2019, the LLC did not issue any Non-Voting Incentive Units. Non-Voting Incentive Units do not carry the right to vote.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Subsidiaries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Certain Subsidiaries issue common stock in connection with licensing agreements, as further detailed in Note 4, and to employees, directors and consultants pursuant to subsidiary equity incentive plans.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2018, upon inception, Apollo reserved 15,000,000 shares of common stock, Wittelsbach reserved 17,000,000 shares of common stock and Polykine reserved 50,000,000 shares of common stock for future issuances upon conversion of preferred shares and issuance of equity grants under the Subsidiaries’ respective equity incentive plans. In 2018, Apollo, Pearl, Polykine and Wittelsbach issued restricted shares of their common stock under their equity incentive plans at a purchase price of $0.0001 per share, as further detailed below in Note 7.</w:t>
      </w:r>
    </w:p>
    <w:p>
      <w:pPr>
        <w:spacing w:after="0" w:line="180"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In 2018, within one month of inception, Pearl reserved 2,800,000 shares of common stock for issuances upon equity grants under its 2018 Equity Incentive Plan and authorized 23,000,000 shares of Series A Preferred Stock. In 2019, Pearl issued shares of common stock to Taiho Pharma as compensation for the Taiho License Agreement and, to complete the initial close of its Series A Preferred Stock financing, issued 14,000,000 shares of Series A Preferred Stock, a portion of which were purchased by Taiho Ventures. In 2019, Pearl issued 93,000 common stock options to certain of its directors under its equity incentive plan at a fair value of $0.18 per share and recorded less than $0.1 million of stock compensation expense, recorded as general and administrative expense. Under the HLBV method, $1.0 million of losses were attributed to non-controlling interests in 2019 due to Taiho Ventures’ preferred stock ownership in Pearl, as further detailed in Note 4.</w:t>
      </w:r>
    </w:p>
    <w:p>
      <w:pPr>
        <w:spacing w:after="0" w:line="18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2019, upon inception, Amber reserved 2,400,200 shares of common stock and Florentine reserved 2,337,857 shares of common stock for future issuances upon equity grants under the Subsidiaries’ respective equity incentive plans.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holders of Subsidiary common stock are entitled to one vote per share. The holders of Subsidiary common stock are entitled to receive dividends when and if declared by the subsidiaries’ board of directors and distributions in either case only after the payment of all preferential amounts required to be paid to the holders of shares of Series A Preferred Stock.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455" w:right="3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Equity-Based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Non-Voting Incentive Units</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The LLC’s 2016 Equity Incentive Plan (the Plan) provides for the grant of Non-Voting Incentive Units to employees, consultants, advisors and directors, as determined by the board of directors. Vesting is determined by the board of directors. Awards typically provide for vesting of 25% of units at the end of the first year of service with the remaining 75% vesting ratably on a monthly basis over the following three-year period. Unvested Non-Voting Incentive Units may not be sold or transferred by the holder and are subject to repurchase by the LLC if service terminates prior to vesting at a price equal to the amount the recipient paid for the Non-Voting Incentive Units. These restrictions lapse according to the time-based vesting conditions of each award. Non-Voting Incentive Units are granted at a price of not less than the fair value of the Common Unit on the date of grant.</w:t>
      </w:r>
    </w:p>
    <w:p>
      <w:pPr>
        <w:spacing w:after="0" w:line="187"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the Company issued 1,188,000 Non-Voting Incentive Units. The Company did not issue any Non-Voting Incentive Units during the year ended December 31, 2019. On the grant date, the fair value of the LLC’s Common Units for accounting purposes is determined by the board of directors, with input from management. Compensation expense was recognized on the Non-Voting Incentive Units using the fair value on the date of grant of $0.0001 per unit. Given the early stage nature of the underlying technology and inherent risks associated with obtaining regulatory approval and achieving commercialization, the Company used the current value method to fair value the Non-Voting Incentive Units granted since inception and during the year ended December 31, 2018. As of December 31, 2019, there were 11,963,500 Non-Voting Incentive Units available for future grant under the Plan.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Non-Voting Incentive Unit activity for the years ended December 31, 2018 and 2019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4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8800" w:type="dxa"/>
            <w:vAlign w:val="bottom"/>
          </w:tcPr>
          <w:p>
            <w:pPr>
              <w:spacing w:after="0"/>
              <w:rPr>
                <w:sz w:val="15"/>
                <w:szCs w:val="15"/>
                <w:color w:val="auto"/>
              </w:rPr>
            </w:pPr>
          </w:p>
        </w:tc>
        <w:tc>
          <w:tcPr>
            <w:tcW w:w="14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1,188,000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(4,791,600)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(3,019,500)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(379,500)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vested as of December 31, 2019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7,811,100</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Grants</w:t>
      </w:r>
    </w:p>
    <w:p>
      <w:pPr>
        <w:spacing w:after="0" w:line="121"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The respective boards of directors of certain Subsidiaries have authorized equity incentive plans for the grant of stock options and restricted stock awards in the Subsidiaries to employees, consultants, advisors and directors. Vesting is determined by each Subsidiaries’ board of directors. Unvested restricted shares may not be sold or transferred by the holder and are subject to repurchase by the Subsidiaries if service terminates prior to vesting at a price equal to the amount the recipient paid for the restricted stock. These restrictions lapse according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5" w:right="33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time-based vesting conditions of each award. Awards typically provide for vesting of 25% of units at the end of the first year of service with the remaining 75% vesting ratably on a monthly basis over the following three-year period. Restricted common stock are granted at a price of not less than the fair value of the common stock on the date of grant.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Active Subsidiaries: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common stock and stock option award activity for the years ended December 31, 2018 and 2019 was: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Amber</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Apollo</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Florentine</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Pearl</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Pool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common stock granted</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(1,480,710)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(1,959,405)</w:t>
            </w:r>
          </w:p>
        </w:tc>
      </w:tr>
      <w:tr>
        <w:trPr>
          <w:trHeight w:val="27"/>
        </w:trPr>
        <w:tc>
          <w:tcPr>
            <w:tcW w:w="6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Pool</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639,290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840,595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Approved Pool 2019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2,400,200</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2,337,857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stock granted</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(511,530)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(728,678)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(93,000)</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67,690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89,573</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Available Pool</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1,888,670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706,980</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1,609,179</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837,168</w:t>
            </w:r>
          </w:p>
        </w:tc>
        <w:tc>
          <w:tcPr>
            <w:tcW w:w="1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fair values of Apollo and Pearl common stock in 2018, and of Amber and Florentine in 2019, for accounting purposes was determined by their respective boards of directors, with input from management, at $0.0001 per share. Refer to Note 6 for discussion of the fair value of awards issued from Pearl in 2019.</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restricted common stock activity for the years ended December 31, 2018 and 2019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Amber</w:t>
            </w: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Apollo</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Florentine</w:t>
            </w:r>
          </w:p>
        </w:tc>
        <w:tc>
          <w:tcPr>
            <w:tcW w:w="11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Pearl</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1,480,710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1,959,407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2018</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1,480,710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1,959,407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511,530</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728,678</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(353,257)</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(467,460)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(67,690)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(89,573)</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2019</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511,530</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1,059,763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728,678</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1,402,374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vested as of December 31, 2019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353,257</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467,460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Dissolved Subsidiaries:</w:t>
      </w:r>
    </w:p>
    <w:p>
      <w:pPr>
        <w:spacing w:after="0" w:line="119" w:lineRule="exact"/>
        <w:rPr>
          <w:sz w:val="20"/>
          <w:szCs w:val="20"/>
          <w:color w:val="auto"/>
        </w:rPr>
      </w:pPr>
    </w:p>
    <w:p>
      <w:pPr>
        <w:jc w:val="both"/>
        <w:ind w:right="320" w:firstLine="4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Polykine issued 4,040,000 restricted common stock, all of which were cancelled upon liquidation of Polykine in May 2019. During the year ended December 31, 2018, Wittelsbach issued 1,600,015 restricted common stock, all of which were cancelled upon liquidation of Wittelsbach in December 2018. During the year ended December 31, 2018, all restricted stock issued during 2017 were cancelled at Alaras and Senovax upon liquidation of the subsidiaries in 2018.</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455" w:right="3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104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recorded equity-based compensation in the following expense categories in the consolidated statement of operations and comprehensive loss: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10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58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5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the unrecognized equity-based compensation is nominal.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21"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t>MPM Capital is a significant investor in the Company through one of its managed funds. In October 2016, the Company also began receiving consulting and management services pursuant to agreements with a Managing Director at MPM Capital and a principal at F2 Ventures, also a significant investor in the Company. For the years ended December 31, 2018 and 2019, the Company incurred $0.2 million and $0.3 million, respectively, for management and advisory services in connection with those agreements and were recorded as general and administrative expense.</w:t>
      </w:r>
    </w:p>
    <w:p>
      <w:pPr>
        <w:spacing w:after="0" w:line="180"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In 2018, the Company paid MPM Capital less than $0.1 million for temporary office space and other operational support. For the year ended December 31, 2019, the Company paid MPM Capital less than $0.1 million for other operational support. These expenses were recorded as general and administrative expense.</w:t>
      </w:r>
    </w:p>
    <w:p>
      <w:pPr>
        <w:spacing w:after="0" w:line="176"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provided temporary office space to a private biotech company financed by MPM Capital. The Company charged the private biotech company for its desk and received $0.1 million and less than $0.1 million in payments from the private biotech company for the years ended December 31, 2018 and 2019, respectively, and were recorded as a reduction to general and administrative expense.</w:t>
      </w:r>
    </w:p>
    <w:p>
      <w:pPr>
        <w:spacing w:after="0" w:line="176"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 October and December 2019, the Company’s subsidiaries Amber, Apollo, Florentine, and Pearl entered into royalty transfer agreements with MPM Oncology Charitable Foundation, Inc. and UBS Optimus Foundation (together, the Foundations). Under these agreements, each Foundation is entitled to receive a royalty equal to 0.5% (1.0% in aggregate) of all global net sales of any products developed by the subsidiary, subject to limitations after patent expirations and on intellectual property developed after a change of control. The Company has deemed these royalty transfer agreements to be freestanding financial instruments that should be accounted for at fair value. Management has concluded that these instruments had no value at the inception of the agreements or at December 31, 2019.</w:t>
      </w:r>
    </w:p>
    <w:p>
      <w:pPr>
        <w:spacing w:after="0" w:line="187"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As of December 31, 2019, Amber and Florentine had options to programs in pre-clinical research, while Apollo and Pearl’s programs were in phase 1 clinical trials. Given that these programs are all still in early stages of development and face inherent technical, regulatory, and competitive risks associated with achieving approval and commercialization, the Company ascribed no value to the royalty agreement as of December 31, 2019. The Company currently does not have any net sales or license income and as a result has paid no royalties under these obligation as of December 31, 2019 nor has the Company accrued any liability as of December 31, 2019. The Company will monitor these instruments for changes in fair value at each reporting date.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455" w:right="3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financial reporting purposes, the Subsidiaries’ loss before taxes for the years ended December 31, 2018 and 2019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9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Alaras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Senovax</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Polykine</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Wittelsbach</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Apollo</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Pearl</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Amber</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Florentine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9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(14,314</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Company’s statutory income tax rate to the Company’s effective income tax rate is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gridSpan w:val="3"/>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Borders>
              <w:bottom w:val="single" w:sz="8" w:color="CCEEFF"/>
            </w:tcBorders>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4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44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5440" w:type="dxa"/>
            <w:vAlign w:val="bottom"/>
            <w:gridSpan w:val="3"/>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44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44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(15.37%)</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deferred taxes for Alaras, Senovax, and Wittelsbach</w:t>
            </w:r>
          </w:p>
        </w:tc>
        <w:tc>
          <w:tcPr>
            <w:tcW w:w="544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(12.74%)</w:t>
            </w: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44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(0.55%)</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54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F-26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components of the Company’s deferred tax assets and liabilities at December 31, 2018 and 2019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9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8,031</w:t>
            </w:r>
          </w:p>
        </w:tc>
      </w:tr>
      <w:tr>
        <w:trPr>
          <w:trHeight w:val="216"/>
        </w:trPr>
        <w:tc>
          <w:tcPr>
            <w:tcW w:w="9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organizational and start-up expenses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Licenses</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9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10,671</w:t>
            </w: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8"/>
              </w:rPr>
              <w:t>(4,110)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(10,653)</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asset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had federal and state net operating loss (NOL) carryforwards of $28.5 million and $32.5 million, respectively. The Company generated federal net operating losses of $3.0 million prior to 2018, which begin to expire in 2037. State losses also begin to expire in 2037. The Company generated combined federal NOLs of $25.5 million in 2018 and 2019 which can be carried forward indefinitely. As of December 31, 2019, the Company had federal and state research and development tax credit carryforwards of $0.6 million and $0.1 million, respectively, which begin to expire in 2037 and 2033, respectively.</w:t>
      </w:r>
    </w:p>
    <w:p>
      <w:pPr>
        <w:spacing w:after="0" w:line="183"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credits may be subject to a substantial annual limitation under Section 382 of the Internal Revenue Code of 1986 (Section 382) due to ownership change limitations that have occurred previously or that could occur in the future in accordance with Section 382, as well as similar state provisions. These ownership changes may limit the amount of NOL carryforwards that can be utilized annually to offset future taxable income. In general, an ownership change as defined by Section 382 results from transactions increasing the ownership of certain shareholders or public groups in the stock of a corporation by more than 50 percentage points over a three-year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455" w:right="3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Cullinan has evaluated the positive and negative evidence bearing upon its ability to realize the deferred tax assets, which are comprised principally of net operating loss carryforwards, licenses, and research and development credit carryforwards. Management has considered the Company’s history of net losses since inception and its lack of commercialization of any products and has concluded that it is more likely than not the Company will not realize the benefits of the deferred tax assets. The Company’s valuation allowance increased during the years ended December 31, 2018 and 2019 due primarily to the generation of net operating losses,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2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3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3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6,543</w:t>
            </w:r>
          </w:p>
        </w:tc>
      </w:tr>
      <w:tr>
        <w:trPr>
          <w:trHeight w:val="27"/>
        </w:trPr>
        <w:tc>
          <w:tcPr>
            <w:tcW w:w="6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3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2"/>
              </w:rPr>
              <w:t>$ 4,110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10,653</w:t>
            </w:r>
          </w:p>
        </w:tc>
      </w:tr>
      <w:tr>
        <w:trPr>
          <w:trHeight w:val="20"/>
        </w:trPr>
        <w:tc>
          <w:tcPr>
            <w:tcW w:w="6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calculation of the Company’s tax liabilities involves dealing with uncertainties in the application of complex tax laws and regulations for both federal taxes and the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as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the Company’s current estimate of the unrecognized tax benefit liabilities. These differences will be reflected as increases or decreases to income tax expense in the period in which new information is available. As of December 31, 2018 and 2019, the Company has not recorded any uncertain tax positions in its consolidated financial statements.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in the consolidated balance sheet.</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in the United States. There are currently no pending tax examinations. The Company thus is still open under the U.S. statute from 2016 to the present. To the extent that the Company has tax attribute carryforwards, the tax years in which the attribute was generated may still be adjusted upon examination by the Internal Revenue Service and the state tax authorities to the extent utilized in a future period. The Company had not, as yet, conducted a study of research and development tax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and comprehensive loss if an adjustment was required.</w:t>
      </w:r>
    </w:p>
    <w:p>
      <w:pPr>
        <w:spacing w:after="0" w:line="188"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(CARES Act). The CARES Act is an emergency economic stimulus package that includes spending and tax</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455" w:right="3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breaks to strengthen the United States economy and fund a nationwide effort to curtail the effect of COVID-19. While the CARES Act provides sweeping tax changes in response to the COVID-19 pandemic, some of the more significant provisions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The CARES Act does not have a material impact on the Company’s financial position, results of operations or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for each of the years ended December 31, 2018 and 2019 was $0.5 million.</w:t>
      </w:r>
    </w:p>
    <w:p>
      <w:pPr>
        <w:spacing w:after="0" w:line="225"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 December 2017, the LLC signed an operating lease for 7,531 rentable square feet of office space in Cambridge, Massachusetts to commence on February 1, 2018. The lease expires on June 30, 2024. Rent expense will be recorded ratably over the lease period. The lease includes escalating rental payments, which are also being charged to rent expense ratably over the lease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future minimum payments due under the operating lease as of December 31, 2019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10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9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2,728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12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in which employees may contribute a portion of their compensation, subject to statutory maximum contribution amounts. The Company assumes all administrative costs of the 401(k) Plan. For each of the years ended December 31, 2018 and 2019, the expense relating to the matching contribution was less than $0.1 million.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455" w:right="3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Unit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unit: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6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4"/>
          </w:tcPr>
          <w:p>
            <w:pPr>
              <w:spacing w:after="0"/>
              <w:rPr>
                <w:sz w:val="11"/>
                <w:szCs w:val="11"/>
                <w:color w:val="auto"/>
              </w:rPr>
            </w:pP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60" w:type="dxa"/>
            <w:vAlign w:val="bottom"/>
            <w:gridSpan w:val="4"/>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unit and per unit data)</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and Non-Voting Incentive unitholders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weighted-average Common and Non-Voting Incentive units used in computing net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unit, basic and diluted</w:t>
            </w:r>
          </w:p>
        </w:tc>
        <w:tc>
          <w:tcPr>
            <w:tcW w:w="240" w:type="dxa"/>
            <w:vAlign w:val="bottom"/>
          </w:tcPr>
          <w:p>
            <w:pPr>
              <w:spacing w:after="0"/>
              <w:rPr>
                <w:sz w:val="20"/>
                <w:szCs w:val="20"/>
                <w:color w:val="auto"/>
              </w:rPr>
            </w:pPr>
          </w:p>
        </w:tc>
        <w:tc>
          <w:tcPr>
            <w:tcW w:w="20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2,549,865</w:t>
            </w: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6,397,443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Unit: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(5.56)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units were excluded from the computation of the diluted net loss per unit for the periods presented because their effect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spacing w:after="0"/>
              <w:rPr>
                <w:sz w:val="15"/>
                <w:szCs w:val="15"/>
                <w:color w:val="auto"/>
              </w:rPr>
            </w:pPr>
          </w:p>
        </w:tc>
        <w:tc>
          <w:tcPr>
            <w:tcW w:w="24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7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120,006,407</w:t>
            </w:r>
          </w:p>
        </w:tc>
        <w:tc>
          <w:tcPr>
            <w:tcW w:w="8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Unvested Non-Voting Incentive Units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7,484,400</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4,085,400</w:t>
            </w:r>
          </w:p>
        </w:tc>
      </w:tr>
      <w:tr>
        <w:trPr>
          <w:trHeight w:val="27"/>
        </w:trPr>
        <w:tc>
          <w:tcPr>
            <w:tcW w:w="8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73,484,400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124,091,807</w:t>
            </w:r>
          </w:p>
        </w:tc>
      </w:tr>
      <w:tr>
        <w:trPr>
          <w:trHeight w:val="20"/>
        </w:trPr>
        <w:tc>
          <w:tcPr>
            <w:tcW w:w="8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Net Loss per Share</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for the year ended December 31, 2019 has been prepared to give effect to the exchange of all outstanding Redeemable Preferred Units and Non-Voting Incentive Units of the LLC into shares of common stock of the newly formed corporation upon the reorganization as if the reorganization had occurred on the later of the beginning of the period or the issuance date of the Redeemable Preferred Units.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455" w:right="3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Unaudited pro forma basic and diluted net loss per share attributable to common stockholders was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9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17"/>
        </w:trPr>
        <w:tc>
          <w:tcPr>
            <w:tcW w:w="9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r>
      <w:tr>
        <w:trPr>
          <w:trHeight w:val="148"/>
        </w:trPr>
        <w:tc>
          <w:tcPr>
            <w:tcW w:w="998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except share and</w:t>
            </w:r>
          </w:p>
        </w:tc>
      </w:tr>
      <w:tr>
        <w:trPr>
          <w:trHeight w:val="173"/>
        </w:trPr>
        <w:tc>
          <w:tcPr>
            <w:tcW w:w="9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 data)</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Common and Non-Voting Incentive units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(20,657)</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adjustments to loss attributable to Common stockholders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weighted-average Common and Non-Voting Incentive units outstanding—basic and diluted</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reflect the assumed exchange of outstanding units upon the reorganization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80,594,229</w:t>
            </w:r>
          </w:p>
        </w:tc>
      </w:tr>
      <w:tr>
        <w:trPr>
          <w:trHeight w:val="22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Pro forma total weighted-average common stock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80,594,229</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stockholders—basic and 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r>
      <w:tr>
        <w:trPr>
          <w:trHeight w:val="20"/>
        </w:trPr>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Preferred Unit—Financing</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of 2020, the Company received an additional $14.3 million of funding under its Series B Redeemable Preferred Unit purchase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Apollo—Wistar License Termination</w:t>
      </w:r>
    </w:p>
    <w:p>
      <w:pPr>
        <w:spacing w:after="0" w:line="121"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In May 2020, Apollo terminated the licensing and collaboration agreement with Wistar and decided to discontinue further development of the EBNA1 inhibitor associated with that agreement, VK-2019.</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Cullinan—Mica Acquisition</w:t>
      </w:r>
    </w:p>
    <w:p>
      <w:pPr>
        <w:spacing w:after="0" w:line="121" w:lineRule="exact"/>
        <w:rPr>
          <w:sz w:val="20"/>
          <w:szCs w:val="20"/>
          <w:color w:val="auto"/>
        </w:rPr>
      </w:pPr>
    </w:p>
    <w:p>
      <w:pPr>
        <w:ind w:right="260" w:firstLine="449"/>
        <w:spacing w:after="0" w:line="255" w:lineRule="auto"/>
        <w:rPr>
          <w:sz w:val="20"/>
          <w:szCs w:val="20"/>
          <w:color w:val="auto"/>
        </w:rPr>
      </w:pPr>
      <w:r>
        <w:rPr>
          <w:rFonts w:ascii="Times New Roman" w:cs="Times New Roman" w:eastAsia="Times New Roman" w:hAnsi="Times New Roman"/>
          <w:sz w:val="18"/>
          <w:szCs w:val="18"/>
          <w:color w:val="auto"/>
        </w:rPr>
        <w:t>On May 28, 2020 (the Acquisition Date), the Company purchased 5,385,787 shares of Series A Senior Preferred Stock of PDI Therapeutics, Inc., which was concurrently renamed Cullinan Mica (Mica) for $7.1 million. As part of the transaction, Mica increased the size of its board from four to five directors, including three Series A directors that would be designated by the Company. In addition to the equity purchase and board seats, the Company holds most of the key officer roles in Mica. Accordingly, the Company obtained a controlling interest in Mica on the Acquisition Date. Further, the Company evaluated the Mica transaction and determined that Mica is not a variable interest entity; however, due to the controlling interest in Mica, the Company will consolidate Mica under the voting interest model. In addition to acquiring the Series A Senior Preferred Stock, the Company could be required to participate in two subsequent closings of the Series A Senior Preferred Stock if certain clinical milestones are achieved by Mica.</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Amber—Series A Preferred Stock Financing</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In April 2020, Amber initially issued 3,000,000 shares of its Series A Preferred Stock to the LLC for gross proceeds of $3.0 million. At any time following the initial closing, upon election of Amber’s board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455" w:right="3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Amber shall sell, and each purchaser shall purchase, up to an aggregate of 9,000,000 shares of its Series A Preferred Stock at one or more subsequent closing.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Florentine—Series A Preferred Stock Financing</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In August 2020, Florentine entered into a Series A Preferred Stock purchase agreement with the LLC. The initial closing took place in August and Florentine sold 6,000,000 shares of its Series A Preferred stock for gross proceeds of $6.0 million. At any time following the initial closing, upon the election of Florentine’s board of directors, Florentine shall sell, and each purchaser shall purchase, up to an aggregate of 12,000,000 shares of its Series A Preferred Stock at one or more subsequent closings at $1.00 per share.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Florentine—Tübingen License Agreement</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August 2020, Florentine entered into an Exclusive License Agreement (the Tübingen License Agreement) with Deutsches Krebsforschungszentrum, (DKFZ), Eberhard Karls University of Tübingen Faculty of Medicine, (the University of Tübingen), and Universitätsmedizin Gesellschaft für Forschung und Entwicklung mbH, Tübingen, (UFE). Pursuant to the Tübingen License Agreement, DKFZ and the University of Tübingen, collectively referred to as the Licensor, granted to Florentine an exclusive (even as to Licensor, UFE and its and their affiliates), worldwide, milestone- and royalty-bearing, license under certain licensed patent rights, applications, technical information and know-how, with the right to grant sublicenses through multiple tiers to research, develop commercialize or otherwise exploit licensed products within the field.</w:t>
      </w:r>
    </w:p>
    <w:p>
      <w:pPr>
        <w:spacing w:after="0" w:line="187"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Florentine shall pay to the Licensor an upfront non-refundable, non-creditable option exercise fee and, as partial consideration for the licenses, has issued to DKFZ and UFE a certain number of shares of common stock that amount to a mid single-digit percentage of the total shares outstanding. DKFZ and UFE were also granted the right to appoint one representative to the board of directors of Florentine.</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Additionally, Florentine shall pay certain non-refundable, non-creditable milestone payments to the Licensor upon the occurrence of certain clinical and regulatory events by a licensed product. Each milestone payment is paid one time only up to a certain payment amount. No milestones have been achieved to date under the Tübingen License Agreement.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Pearl—Series A Preferred Stock Financing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August 2020, Pearl issued 9,000,000 additional shares of its Series A Preferred Stock for $9.0 million under the Series A Preferred Stock Agreement described in Note 4. Pursuant to the Series A Preferred Stock Agreement between Pearl and Taiho Pharma, Pearl issued additional shares of its common stock as anti-dilution shares, in exchange for no additional consideration as set forth in the license agreement.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LLC Equity Adoption of 2020 Unit Option and Grant Plan, Issuance of Options, and Contribution Agreement</w:t>
      </w:r>
    </w:p>
    <w:p>
      <w:pPr>
        <w:spacing w:after="0" w:line="121" w:lineRule="exact"/>
        <w:rPr>
          <w:sz w:val="20"/>
          <w:szCs w:val="20"/>
          <w:color w:val="auto"/>
        </w:rPr>
      </w:pPr>
    </w:p>
    <w:p>
      <w:pPr>
        <w:ind w:right="20" w:firstLine="449"/>
        <w:spacing w:after="0" w:line="277" w:lineRule="auto"/>
        <w:rPr>
          <w:sz w:val="20"/>
          <w:szCs w:val="20"/>
          <w:color w:val="auto"/>
        </w:rPr>
      </w:pPr>
      <w:r>
        <w:rPr>
          <w:rFonts w:ascii="Times New Roman" w:cs="Times New Roman" w:eastAsia="Times New Roman" w:hAnsi="Times New Roman"/>
          <w:sz w:val="17"/>
          <w:szCs w:val="17"/>
          <w:color w:val="auto"/>
        </w:rPr>
        <w:t>On October 29, 2020, the board of directors of the LLC Equity adopted the 2020 Unit Option and Grant Plan (the 2020 Plan), reserving 37.0 million common units for issuance pursuant to the 2020 Plan, and decreased the 2016 Equity Incentive Plan (the 2016 Plan) such that no more non-voting incentive units could be issued under the 2016 plan. In addition, the board of directors of the LLC Equity determined the fair market value of a common unit would be $0.61 based on a hybrid of market based and option pricing methods. Following the adoption of the 2020 Plan, the LLC Equity issued 32.5 million options to purchase common units to the LLC’s Equity employees, consultants, and directors, and reserved 4.5 million common units for future issuance.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455" w:right="33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December 2019, a novel strain of COVID-19 was reported in China. Since then, COVID-19 has spread globally. The spread of COVID-19 from China to other countries has resulted in the World Health Organization (WHO) declaring the outbreak of COVID-19 as a pandemic, or a worldwide spread of a new disease, on March 11, 2020. Many countries around the world have imposed quarantines and restrictions on travel and mass gatherings to slow the spread of the virus and have closed non-essential businesses, and many local jurisdictions continue to have such restrictions in place.</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As local jurisdictions continue to put restrictions in place, the Company’s ability to continue to operate its business may also be limited. Such events may result in a period of business, supply and drug product manufacturing disruption, and in reduced operations, any of which could materially affect the Company’s business, financial condition and results of operations. In response to COVID-19, the Company implemented remote working and thus far, has not experienced a significant disruption or delay in its operations as it relates to the clinical development or drug production of the Company’s product candidates.</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the Company economically. While the ultimate economic impact brought by, and the duration of, the COVID-19 pandemic may be difficult to assess or predict, including new information which may emerge concerning the severity of COVID-19 and the actions to contain COVID-19 or treat its impact, among others, the pandemic has resulted in significant disruptions in the general commercial activity and the global economy and caused financial market volatility and uncertainty in significant and unforeseen ways in the recent months. A continuation or worsening of the levels of market disruption and volatility seen in the recent past could have an adverse effect on the Company’s ability to access capital, which could in the future negatively affect the Company’s liquidity. In addition, a recession or market correction resulting from the spread of COVID-19 could materially affect the Company’s business.</w:t>
      </w:r>
    </w:p>
    <w:p>
      <w:pPr>
        <w:spacing w:after="0" w:line="18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To date, COVID-19 has not had a financial impact on the Company. However, COVID-19 has impacted the pace of our enrollment in our clinical trials and our preclinical studies. The full extent and duration of the impact of COVID-19 on the Company’s operations and financial performance is currently unknown and depends on future developments that are uncertain and unpredictable.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20"/>
          </w:cols>
          <w:pgMar w:left="320" w:top="455" w:right="35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units and per unit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63,250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41,297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165,997</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 term investments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53,595</w:t>
            </w:r>
          </w:p>
        </w:tc>
        <w:tc>
          <w:tcPr>
            <w:tcW w:w="0" w:type="dxa"/>
            <w:vAlign w:val="bottom"/>
          </w:tcPr>
          <w:p>
            <w:pPr>
              <w:spacing w:after="0"/>
              <w:rPr>
                <w:sz w:val="1"/>
                <w:szCs w:val="1"/>
                <w:color w:val="auto"/>
              </w:rPr>
            </w:pPr>
          </w:p>
        </w:tc>
      </w:tr>
      <w:tr>
        <w:trPr>
          <w:trHeight w:val="223"/>
        </w:trPr>
        <w:tc>
          <w:tcPr>
            <w:tcW w:w="7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97,317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222,017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Units and Members’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23"/>
        </w:trPr>
        <w:tc>
          <w:tcPr>
            <w:tcW w:w="7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Seed redeemable preferred units, $0.0001 par value: 16,000,000 units authorized, issued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at December 31, 2019 and September 30, 2020 (liquidation value: $4,949)</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A1 redeemable preferred units, $0.0001 par value: 50,000,000 units authorized,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2019 and September 30, 2020 (liquidation value: $60,282)</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49,946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49,946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redeemable preferred units, $0.0001 par value: 64,200,000 authorized at December 31,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 and September 30, 2020; 54,006,407 and 63,141,020 units issued and outstanding at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2019 and September 30, 2020, respectively (liquidation value $105,246)</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83,872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97,909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redeemable preferred units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Non-voting incentive units, $0.0001 par value: 23,860,000 units authorized, 11,896,500 units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December 31, 2019 and September 30, 2020</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units, $0.0001 par value: no shares authorized, issued and outstanding</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no shares authorized, issued or outstanding, actual;</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207,636,565 shares issued and outstanding, pro forma</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277,261</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(64,993)</w:t>
            </w:r>
          </w:p>
        </w:tc>
        <w:tc>
          <w:tcPr>
            <w:tcW w:w="0" w:type="dxa"/>
            <w:vAlign w:val="bottom"/>
          </w:tcPr>
          <w:p>
            <w:pPr>
              <w:spacing w:after="0"/>
              <w:rPr>
                <w:sz w:val="1"/>
                <w:szCs w:val="1"/>
                <w:color w:val="auto"/>
              </w:rPr>
            </w:pPr>
          </w:p>
        </w:tc>
      </w:tr>
      <w:tr>
        <w:trPr>
          <w:trHeight w:val="230"/>
        </w:trPr>
        <w:tc>
          <w:tcPr>
            <w:tcW w:w="7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members’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deficit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100,461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97,317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222,017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455" w:right="3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units and per unit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12,986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26,582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30"/>
        </w:trPr>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(31,162)</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(30,352)</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Cullinan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(16,088)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(23,453)</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unit attributable to common and non-voting incentive unit 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and non-voting incentive units used in computing net loss per unit, basic and</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6,017,973</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8,960,373</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(30,352)</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(30,289)</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Cullinan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(16,088)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(23,390)</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 (unaudited)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 weighted-average common stock outstanding used in computing pro forma net loss per share, basic and</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(unaudited)</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136,285,931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455" w:right="3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REDEEMABALE PREFERRED UNITS AND MEMBERS’ DEFICIT</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units and per unit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00"/>
          </w:cols>
          <w:pgMar w:left="320" w:top="455" w:right="379" w:bottom="1440" w:gutter="0" w:footer="0" w:header="0"/>
        </w:sect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32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2018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19"/>
        </w:trPr>
        <w:tc>
          <w:tcPr>
            <w:tcW w:w="3000" w:type="dxa"/>
            <w:vAlign w:val="bottom"/>
            <w:vMerge w:val="continue"/>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66,000,000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$ 53,902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costs of Series B preferred units</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30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subsidiary preferred stock</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subsidiary common stock</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Balances at September 30, 2019</w:t>
            </w:r>
          </w:p>
        </w:tc>
        <w:tc>
          <w:tcPr>
            <w:tcW w:w="7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66,000,000</w:t>
            </w: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$ 53,860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4"/>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0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gridSpan w:val="3"/>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7"/>
                <w:szCs w:val="7"/>
                <w:color w:val="auto"/>
              </w:rPr>
            </w:pPr>
          </w:p>
        </w:tc>
        <w:tc>
          <w:tcPr>
            <w:tcW w:w="11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200" w:type="dxa"/>
            <w:vAlign w:val="bottom"/>
            <w:gridSpan w:val="4"/>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Incentive Units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200" w:type="dxa"/>
            <w:vAlign w:val="bottom"/>
            <w:tcBorders>
              <w:bottom w:val="single" w:sz="8" w:color="auto"/>
            </w:tcBorders>
            <w:gridSpan w:val="4"/>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9"/>
                <w:szCs w:val="9"/>
                <w:color w:val="auto"/>
              </w:rPr>
            </w:pPr>
          </w:p>
        </w:tc>
        <w:tc>
          <w:tcPr>
            <w:tcW w:w="760" w:type="dxa"/>
            <w:vAlign w:val="bottom"/>
            <w:gridSpan w:val="2"/>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8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3"/>
        </w:trPr>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line="20" w:lineRule="exact"/>
              <w:rPr>
                <w:sz w:val="1"/>
                <w:szCs w:val="1"/>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6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12,276,000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0"/>
                <w:szCs w:val="10"/>
                <w:color w:val="auto"/>
              </w:rPr>
            </w:pPr>
          </w:p>
        </w:tc>
        <w:tc>
          <w:tcPr>
            <w:tcW w:w="1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214</w:t>
            </w:r>
          </w:p>
        </w:tc>
        <w:tc>
          <w:tcPr>
            <w:tcW w:w="20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ind w:left="7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(20,866)</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(20,650)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149"/>
        </w:trPr>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80" w:type="dxa"/>
            <w:vAlign w:val="bottom"/>
          </w:tcPr>
          <w:p>
            <w:pPr>
              <w:spacing w:after="0"/>
              <w:rPr>
                <w:sz w:val="12"/>
                <w:szCs w:val="12"/>
                <w:color w:val="auto"/>
              </w:rPr>
            </w:pP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71"/>
        </w:trPr>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(16,088)</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(16,923)</w:t>
            </w:r>
          </w:p>
        </w:tc>
        <w:tc>
          <w:tcPr>
            <w:tcW w:w="0" w:type="dxa"/>
            <w:vAlign w:val="bottom"/>
          </w:tcPr>
          <w:p>
            <w:pPr>
              <w:spacing w:after="0"/>
              <w:rPr>
                <w:sz w:val="1"/>
                <w:szCs w:val="1"/>
                <w:color w:val="auto"/>
              </w:rPr>
            </w:pPr>
          </w:p>
        </w:tc>
      </w:tr>
      <w:tr>
        <w:trPr>
          <w:trHeight w:val="156"/>
        </w:trPr>
        <w:tc>
          <w:tcPr>
            <w:tcW w:w="7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12,276,000</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1,026</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(36,971)</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(35,174</w:t>
            </w:r>
          </w:p>
        </w:tc>
        <w:tc>
          <w:tcPr>
            <w:tcW w:w="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-1087755</wp:posOffset>
            </wp:positionV>
            <wp:extent cx="7132320" cy="10972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240"/>
            <w:col w:w="6580"/>
          </w:cols>
          <w:pgMar w:left="320" w:top="455" w:right="379" w:bottom="1440" w:gutter="0" w:footer="0" w:header="0"/>
          <w:type w:val="continuous"/>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4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46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2019</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2800" w:type="dxa"/>
            <w:vAlign w:val="bottom"/>
            <w:vMerge w:val="continue"/>
          </w:tcPr>
          <w:p>
            <w:pPr>
              <w:spacing w:after="0"/>
              <w:rPr>
                <w:sz w:val="10"/>
                <w:szCs w:val="10"/>
                <w:color w:val="auto"/>
              </w:rPr>
            </w:pPr>
          </w:p>
        </w:tc>
        <w:tc>
          <w:tcPr>
            <w:tcW w:w="7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120,006,407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$137,774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Series B preferred units net</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9,134,613</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14,037</w:t>
            </w:r>
          </w:p>
        </w:tc>
        <w:tc>
          <w:tcPr>
            <w:tcW w:w="0" w:type="dxa"/>
            <w:vAlign w:val="bottom"/>
          </w:tcPr>
          <w:p>
            <w:pPr>
              <w:spacing w:after="0"/>
              <w:rPr>
                <w:sz w:val="1"/>
                <w:szCs w:val="1"/>
                <w:color w:val="auto"/>
              </w:rPr>
            </w:pPr>
          </w:p>
        </w:tc>
      </w:tr>
      <w:tr>
        <w:trPr>
          <w:trHeight w:val="149"/>
        </w:trPr>
        <w:tc>
          <w:tcPr>
            <w:tcW w:w="28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of issuance costs of $213</w:t>
            </w:r>
          </w:p>
        </w:tc>
        <w:tc>
          <w:tcPr>
            <w:tcW w:w="80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Noncontrolling interest acquired in</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Mica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subsidiary preferred stock</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Issuance of subsidiary common stock</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September 30, 2020</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129,141,020</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$ 151,811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5"/>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0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7"/>
                <w:szCs w:val="7"/>
                <w:color w:val="auto"/>
              </w:rPr>
            </w:pPr>
          </w:p>
        </w:tc>
        <w:tc>
          <w:tcPr>
            <w:tcW w:w="10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200" w:type="dxa"/>
            <w:vAlign w:val="bottom"/>
            <w:gridSpan w:val="5"/>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Incentive Units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200" w:type="dxa"/>
            <w:vAlign w:val="bottom"/>
            <w:tcBorders>
              <w:bottom w:val="single" w:sz="8" w:color="auto"/>
            </w:tcBorders>
            <w:gridSpan w:val="5"/>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9"/>
                <w:szCs w:val="9"/>
                <w:color w:val="auto"/>
              </w:rPr>
            </w:pPr>
          </w:p>
        </w:tc>
        <w:tc>
          <w:tcPr>
            <w:tcW w:w="760" w:type="dxa"/>
            <w:vAlign w:val="bottom"/>
            <w:gridSpan w:val="2"/>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2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gridSpan w:val="2"/>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80" w:type="dxa"/>
            <w:vAlign w:val="bottom"/>
            <w:tcBorders>
              <w:bottom w:val="single" w:sz="8" w:color="auto"/>
            </w:tcBorders>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11,896,500</w:t>
            </w: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(41,540)</w:t>
            </w:r>
          </w:p>
        </w:tc>
        <w:tc>
          <w:tcPr>
            <w:tcW w:w="2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5,673</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0" w:type="dxa"/>
            <w:vAlign w:val="bottom"/>
          </w:tcPr>
          <w:p>
            <w:pPr>
              <w:spacing w:after="0"/>
              <w:rPr>
                <w:sz w:val="1"/>
                <w:szCs w:val="1"/>
                <w:color w:val="auto"/>
              </w:rPr>
            </w:pPr>
          </w:p>
        </w:tc>
      </w:tr>
      <w:tr>
        <w:trPr>
          <w:trHeight w:val="148"/>
        </w:trPr>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49"/>
        </w:trPr>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(6,899)</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(23,453)</w:t>
            </w:r>
          </w:p>
        </w:tc>
        <w:tc>
          <w:tcPr>
            <w:tcW w:w="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(30,352)</w:t>
            </w:r>
          </w:p>
        </w:tc>
        <w:tc>
          <w:tcPr>
            <w:tcW w:w="0" w:type="dxa"/>
            <w:vAlign w:val="bottom"/>
          </w:tcPr>
          <w:p>
            <w:pPr>
              <w:spacing w:after="0"/>
              <w:rPr>
                <w:sz w:val="1"/>
                <w:szCs w:val="1"/>
                <w:color w:val="auto"/>
              </w:rPr>
            </w:pPr>
          </w:p>
        </w:tc>
      </w:tr>
      <w:tr>
        <w:trPr>
          <w:trHeight w:val="156"/>
        </w:trPr>
        <w:tc>
          <w:tcPr>
            <w:tcW w:w="7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11,896,500</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1,863</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(64,993)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(62,300</w:t>
            </w:r>
          </w:p>
        </w:tc>
        <w:tc>
          <w:tcPr>
            <w:tcW w:w="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-1482725</wp:posOffset>
            </wp:positionV>
            <wp:extent cx="7132320" cy="14916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280"/>
            <w:col w:w="6660"/>
          </w:cols>
          <w:pgMar w:left="320" w:top="455" w:right="3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00"/>
          </w:cols>
          <w:pgMar w:left="320" w:top="455" w:right="379" w:bottom="1440" w:gutter="0" w:footer="0" w:header="0"/>
          <w:type w:val="continuous"/>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3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3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9480" w:type="dxa"/>
            <w:vAlign w:val="bottom"/>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96"/>
        </w:trPr>
        <w:tc>
          <w:tcPr>
            <w:tcW w:w="9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$(16,923)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$ 30,352</w:t>
            </w:r>
          </w:p>
        </w:tc>
      </w:tr>
      <w:tr>
        <w:trPr>
          <w:trHeight w:val="216"/>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License expense in exchange for subsidiary common stock</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9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Acquired in-process research and development assets</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6,447</w:t>
            </w:r>
          </w:p>
        </w:tc>
      </w:tr>
      <w:tr>
        <w:trPr>
          <w:trHeight w:val="216"/>
        </w:trPr>
        <w:tc>
          <w:tcPr>
            <w:tcW w:w="9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Amortization/accretion on marketable securities</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acquired balances: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9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9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9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rent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9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(16,028)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(20,336)</w:t>
            </w: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acquired upon consolidation of Mica</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(48,264)</w:t>
            </w:r>
          </w:p>
        </w:tc>
      </w:tr>
      <w:tr>
        <w:trPr>
          <w:trHeight w:val="216"/>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29,965</w:t>
            </w:r>
          </w:p>
        </w:tc>
      </w:tr>
      <w:tr>
        <w:trPr>
          <w:trHeight w:val="27"/>
        </w:trPr>
        <w:tc>
          <w:tcPr>
            <w:tcW w:w="9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(16,860)</w:t>
            </w: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Redeemable Preferred Units</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w:t>
            </w:r>
          </w:p>
        </w:tc>
      </w:tr>
      <w:tr>
        <w:trPr>
          <w:trHeight w:val="216"/>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noncontrolling interest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1,860</w:t>
            </w: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related to Series B Redeemable Preferred Units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of subsidiary preferred equity</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00" w:type="dxa"/>
            <w:vAlign w:val="bottom"/>
            <w:shd w:val="clear" w:color="auto" w:fill="CCEEFF"/>
          </w:tcPr>
          <w:p>
            <w:pPr>
              <w:spacing w:after="0"/>
              <w:rPr>
                <w:sz w:val="18"/>
                <w:szCs w:val="18"/>
                <w:color w:val="auto"/>
              </w:rPr>
            </w:pPr>
          </w:p>
        </w:tc>
      </w:tr>
      <w:tr>
        <w:trPr>
          <w:trHeight w:val="223"/>
        </w:trPr>
        <w:tc>
          <w:tcPr>
            <w:tcW w:w="9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9"/>
                <w:szCs w:val="19"/>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33,832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63,250</w:t>
            </w: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$ 19,590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$ 41,297</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455" w:right="3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720" w:firstLine="449"/>
        <w:spacing w:after="0" w:line="312" w:lineRule="auto"/>
        <w:rPr>
          <w:sz w:val="20"/>
          <w:szCs w:val="20"/>
          <w:color w:val="auto"/>
        </w:rPr>
      </w:pPr>
      <w:r>
        <w:rPr>
          <w:rFonts w:ascii="Times New Roman" w:cs="Times New Roman" w:eastAsia="Times New Roman" w:hAnsi="Times New Roman"/>
          <w:sz w:val="17"/>
          <w:szCs w:val="17"/>
          <w:color w:val="auto"/>
        </w:rPr>
        <w:t>Cullinan Oncology, LLC (the LLC), together with its consolidated subsidiaries (Cullinan or the Company), is a biopharmaceutical company developing a diversified pipeline of targeted oncology and immuno-oncology therapies with transformative potential for cancer patients.</w:t>
      </w:r>
    </w:p>
    <w:p>
      <w:pPr>
        <w:spacing w:after="0" w:line="14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Each therapeutic candidate is developed within a separate subsidiary of the LLC. At September 30, 2020, the LLC had five development subsidiaries: Cullinan Amber Corp. (Amber), Cullinan Apollo Corp. (Apollo), Cullinan Florentine Corp. (Florentine), Mica Corp. and Cullinan Pearl Corp. (Pearl), in addition to its wholly owned management company, Cullinan Management, Inc. (Management) (together the Subsidiaries). At December 31, 2019, the LLC had four development subsidiaries: Amber, Apollo, Florentine, and Pearl, in addition to its wholly owned management company, Management.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The Company has funded its operations primarily through the sale of redeemable preferred units. As of September 30, 2020, the investors have provided $151.8 million in cumulative net proceeds.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and has had negative cash flows from operations since its inception. The Company’s net loss was $16.9 million and $30.4 million for the nine months ended September 30, 2019 and 2020, respectively. As of September 30, 2020, the Company has an accumulated deficit of $65.0 million. The Company expects to continue to generate operating losses for the foreseeable future. The Company expects that its cash, cash equivalents, and short term investments as of September 30, 2020 of $94.9 million will be sufficient to fund its operating expenses and capital expenditure requirements through at least the next twelve months from the date of issuance of these condensed consolidated financial statements. The future viability of the Company is dependent on the success of its research and development and its ability to access additional capital to fund its operations. There can be no assurance that the current operating plan will be achieved or that additional funding will be available on terms acceptable to the Company, or at all.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conformity with accounting principles generally accepted in the United States of America (GAAP) and include the accounts of the LLC and its consolidated subsidiaries. All intercompany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180"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Company’s management to make estimates and judgments that may affect the reported amounts of assets, liabilities, expenses, and related disclosure of contingent assets and liabilities. On an ongoing basis, the Company’s management evaluates the estimates, including those related to expenses and accruals. The Company’s management bases its estimates on historical experience, and on various other assumptions that are believed to be reasonable, the results of which form the basis for making judgments about the carrying values of assets and liabilities. Estimates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455" w:right="3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assumptions reflected in these condensed consolidated financial statements include but are not limited to the fair value of the royalty transfer agreements, accrued research and development costs, the valuation of the non-voting incentive units, as well as restricted stock awards and common stock issued by the LLC’s subsidiaries. Actual results may differ from these estimates under different assumptions or conditions.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Statements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30, 2020, and its results of operations and comprehensive loss, cash flows, redeemable preferred units and members’ deficit for the nine months ended September 30, 2019 and 2020. The financial data and the other financial information contained in these notes to the condensed consolidated financial statements related to the nine-month periods are also unaudited. The results of operations for the nine months ended September 30, 2020 are not necessarily indicative of the results to be expected for the year ending December 31, 2020 or for any other future annual or interim period. These unaudited interim condensed consolidated financial statements should be read in conjunction with the Company’s audited consolidated financial statements included elsewhere in this prospectus.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Balance Sheet</w:t>
      </w:r>
    </w:p>
    <w:p>
      <w:pPr>
        <w:spacing w:after="0" w:line="121"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Prior to the completion of an Initial Public Offering (IPO), the Company intends to engage in a series of transactions, which are referred to collectively as the Reorganization. As a result of the Reorganization, the LLC will merge with and into Cullinan Management, Inc., or the Corporation, with the Corporation being the surviving entity of such merger.</w:t>
      </w:r>
    </w:p>
    <w:p>
      <w:pPr>
        <w:spacing w:after="0" w:line="176" w:lineRule="exact"/>
        <w:rPr>
          <w:sz w:val="20"/>
          <w:szCs w:val="20"/>
          <w:color w:val="auto"/>
        </w:rPr>
      </w:pPr>
    </w:p>
    <w:p>
      <w:pPr>
        <w:ind w:right="740" w:firstLine="449"/>
        <w:spacing w:after="0" w:line="282" w:lineRule="auto"/>
        <w:rPr>
          <w:sz w:val="20"/>
          <w:szCs w:val="20"/>
          <w:color w:val="auto"/>
        </w:rPr>
      </w:pPr>
      <w:r>
        <w:rPr>
          <w:rFonts w:ascii="Times New Roman" w:cs="Times New Roman" w:eastAsia="Times New Roman" w:hAnsi="Times New Roman"/>
          <w:sz w:val="18"/>
          <w:szCs w:val="18"/>
          <w:color w:val="auto"/>
        </w:rPr>
        <w:t>As part of the Reorganization, the holders of existing units in the LLC will exchange those units for shares of stock of the Corporation as of immediately prior to the completion of the IPO.</w:t>
      </w:r>
    </w:p>
    <w:p>
      <w:pPr>
        <w:spacing w:after="0" w:line="162"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accompanying unaudited pro forma balance sheet as of September 30, 2020 has been prepared to give effect to (i) the issuance and sale of 66,599,045 Series C preferred units after September 30, 2020, and (ii) the exchange of all the outstanding redeemable preferred units and vested non-voting</w:t>
      </w:r>
    </w:p>
    <w:p>
      <w:pPr>
        <w:ind w:right="240"/>
        <w:spacing w:after="0" w:line="260" w:lineRule="auto"/>
        <w:rPr>
          <w:sz w:val="20"/>
          <w:szCs w:val="20"/>
          <w:color w:val="auto"/>
        </w:rPr>
      </w:pPr>
      <w:r>
        <w:rPr>
          <w:rFonts w:ascii="Times New Roman" w:cs="Times New Roman" w:eastAsia="Times New Roman" w:hAnsi="Times New Roman"/>
          <w:sz w:val="18"/>
          <w:szCs w:val="18"/>
          <w:color w:val="auto"/>
        </w:rPr>
        <w:t>incentive units into shares of common stock of the Company upon the Reorganization as if the Reorganization had occurred on September 30, 2020 based on an IPO price of $ per share.</w:t>
      </w:r>
    </w:p>
    <w:p>
      <w:pPr>
        <w:spacing w:after="0" w:line="18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Non-Voting Incentive Units that have not vested as of the Reorganization will be exchanged for shares of the Corporation’s restricted common stock, which will be subject to time-based vesting conditions in accordance with the terms and conditions of the Non-Voting Incentive Units of the LLC from which such shares are exchanged. As such, these units have been excluded from this calculation.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LLC consolidates entities in which it has a controlling financial interest. The LLC evaluates each of its subsidiaries to determine whether the entity represents a variable interest entity (VIE) for which consolidation should be evaluated under the VIE model, or alternatively, if the entity is a voting interest entity, for which consolidation should be evaluated using the voting interest model (VOE). The LLC has concluded that none of its subsidiaries is a VIE and has consolidated each subsidiary under the voting interest model.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455" w:right="33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either created or made investments in the following entities: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Entities</w:t>
            </w:r>
          </w:p>
        </w:tc>
        <w:tc>
          <w:tcPr>
            <w:tcW w:w="3600" w:type="dxa"/>
            <w:vAlign w:val="bottom"/>
            <w:vMerge w:val="restart"/>
          </w:tcPr>
          <w:p>
            <w:pPr>
              <w:spacing w:after="0"/>
              <w:rPr>
                <w:sz w:val="13"/>
                <w:szCs w:val="13"/>
                <w:color w:val="auto"/>
              </w:rPr>
            </w:pPr>
          </w:p>
        </w:tc>
        <w:tc>
          <w:tcPr>
            <w:tcW w:w="4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Relationship as of September 30, 2020</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Control First</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1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0" w:type="dxa"/>
            <w:vAlign w:val="bottom"/>
          </w:tcPr>
          <w:p>
            <w:pPr>
              <w:spacing w:after="0"/>
              <w:rPr>
                <w:sz w:val="1"/>
                <w:szCs w:val="1"/>
                <w:color w:val="auto"/>
              </w:rPr>
            </w:pPr>
          </w:p>
        </w:tc>
      </w:tr>
      <w:tr>
        <w:trPr>
          <w:trHeight w:val="185"/>
        </w:trPr>
        <w:tc>
          <w:tcPr>
            <w:tcW w:w="49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Cullinan Management, Inc.</w:t>
            </w:r>
          </w:p>
        </w:tc>
        <w:tc>
          <w:tcPr>
            <w:tcW w:w="46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Wholly-owned Subsidiary</w:t>
            </w:r>
          </w:p>
        </w:tc>
        <w:tc>
          <w:tcPr>
            <w:tcW w:w="100" w:type="dxa"/>
            <w:vAlign w:val="bottom"/>
          </w:tcPr>
          <w:p>
            <w:pPr>
              <w:spacing w:after="0"/>
              <w:rPr>
                <w:sz w:val="16"/>
                <w:szCs w:val="16"/>
                <w:color w:val="auto"/>
              </w:rPr>
            </w:pPr>
          </w:p>
        </w:tc>
        <w:tc>
          <w:tcPr>
            <w:tcW w:w="16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September 2016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Apollo Corp.</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2018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Pearl Corp.</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2018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Amber Corp.</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Florentine Corp.</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0" w:type="dxa"/>
            <w:vAlign w:val="bottom"/>
          </w:tcPr>
          <w:p>
            <w:pPr>
              <w:spacing w:after="0"/>
              <w:rPr>
                <w:sz w:val="1"/>
                <w:szCs w:val="1"/>
                <w:color w:val="auto"/>
              </w:rPr>
            </w:pPr>
          </w:p>
        </w:tc>
      </w:t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Mica Corp.</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Partially-owned Subsidiary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has noncontrolling interests in certain of its consolidated subsidiaries. These balances are reported as separate components as part of members’ deficit in the condensed consolidated balance sheets.</w:t>
      </w:r>
    </w:p>
    <w:p>
      <w:pPr>
        <w:spacing w:after="0" w:line="16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adjusts the carrying value of noncontrolling interest to reflect the book value attributable to noncontrolling shareholders of consolidated partially-owned entities when there is a change in the hypothetical liquidation at book value (HLBV) during the respective reporting period. During the nine months ended September 30, 2019 and 2020, such adjustments in the aggregate amounts of $0.8 million and $6.9 million, respectively, were recorded as a net loss and disclosed within the noncontrolling interest in subsidiaries column in the condensed consolidated statements of redeemable preferred units and members’ deficit.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For the nine months ended September 30, 2019, comprehensive loss was equal to net loss. For the nine months ended September 30, 2020, the Company recognized less than $0.1 million in unrealized gains on short term investments.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 Term Investments</w:t>
      </w:r>
    </w:p>
    <w:p>
      <w:pPr>
        <w:spacing w:after="0" w:line="12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 Investments not classified as cash equivalents with maturities of less than twelve months are classified as short term, available-for-sale marketable securities. Available-for-sale marketable securities are carried at estimated fair value, with unrealized gains or losses included in accumulated other comprehensive loss in members’ deficit. The fair value of marketable securities is based on available market information. The amortized cost of debt securities is adjusted for amortization of premiums and accretion of discounts to maturity. Such amortization is included in interest income. Interest and dividends are included in interest income. Declines in fair value judged to be other-than-temporary on available-for-sale securities, if any, are included in other income, net.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455" w:right="33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recognized its short-term investment marketable securities by security type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8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6"/>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$ 19,718</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$ 19,714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2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notes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7"/>
        </w:trPr>
        <w:tc>
          <w:tcPr>
            <w:tcW w:w="68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$ 35,384</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$ 35,380</w:t>
            </w:r>
          </w:p>
        </w:tc>
        <w:tc>
          <w:tcPr>
            <w:tcW w:w="0" w:type="dxa"/>
            <w:vAlign w:val="bottom"/>
          </w:tcPr>
          <w:p>
            <w:pPr>
              <w:spacing w:after="0"/>
              <w:rPr>
                <w:sz w:val="1"/>
                <w:szCs w:val="1"/>
                <w:color w:val="auto"/>
              </w:rPr>
            </w:pPr>
          </w:p>
        </w:tc>
      </w:tr>
      <w:tr>
        <w:trPr>
          <w:trHeight w:val="20"/>
        </w:trPr>
        <w:tc>
          <w:tcPr>
            <w:tcW w:w="68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88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96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6"/>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$ 23,802</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$ 23,832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15,875</w:t>
            </w:r>
          </w:p>
        </w:tc>
        <w:tc>
          <w:tcPr>
            <w:tcW w:w="0" w:type="dxa"/>
            <w:vAlign w:val="bottom"/>
          </w:tcPr>
          <w:p>
            <w:pPr>
              <w:spacing w:after="0"/>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6,354</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notes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$ 53,536</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$ 53,595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December 31, 2019 and September 30,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8,240</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52,597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52,597</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2,413</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19,714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19,714</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5,571</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5,069</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notes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5,026</w:t>
            </w:r>
          </w:p>
        </w:tc>
      </w:tr>
      <w:tr>
        <w:trPr>
          <w:trHeight w:val="223"/>
        </w:trPr>
        <w:tc>
          <w:tcPr>
            <w:tcW w:w="37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60,837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37,793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98,630</w:t>
            </w:r>
          </w:p>
        </w:tc>
        <w:tc>
          <w:tcPr>
            <w:tcW w:w="60" w:type="dxa"/>
            <w:vAlign w:val="bottom"/>
          </w:tcPr>
          <w:p>
            <w:pPr>
              <w:spacing w:after="0"/>
              <w:rPr>
                <w:sz w:val="19"/>
                <w:szCs w:val="19"/>
                <w:color w:val="auto"/>
              </w:rPr>
            </w:pPr>
          </w:p>
        </w:tc>
      </w:tr>
      <w:tr>
        <w:trPr>
          <w:trHeight w:val="372"/>
        </w:trPr>
        <w:tc>
          <w:tcPr>
            <w:tcW w:w="3760" w:type="dxa"/>
            <w:vAlign w:val="bottom"/>
          </w:tcPr>
          <w:p>
            <w:pPr>
              <w:spacing w:after="0"/>
              <w:rPr>
                <w:sz w:val="24"/>
                <w:szCs w:val="24"/>
                <w:color w:val="auto"/>
              </w:rPr>
            </w:pPr>
          </w:p>
        </w:tc>
        <w:tc>
          <w:tcPr>
            <w:tcW w:w="4160" w:type="dxa"/>
            <w:vAlign w:val="bottom"/>
            <w:gridSpan w:val="2"/>
          </w:tcPr>
          <w:p>
            <w:pPr>
              <w:jc w:val="right"/>
              <w:ind w:right="2039"/>
              <w:spacing w:after="0"/>
              <w:rPr>
                <w:sz w:val="20"/>
                <w:szCs w:val="20"/>
                <w:color w:val="auto"/>
              </w:rPr>
            </w:pPr>
            <w:r>
              <w:rPr>
                <w:rFonts w:ascii="Times New Roman" w:cs="Times New Roman" w:eastAsia="Times New Roman" w:hAnsi="Times New Roman"/>
                <w:sz w:val="18"/>
                <w:szCs w:val="18"/>
                <w:color w:val="auto"/>
              </w:rPr>
              <w:t>F-41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$24,164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$24,164</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17,133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23,832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23,832</w:t>
            </w: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8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15,875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15,875</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6,361</w:t>
            </w: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notes</w:t>
            </w:r>
          </w:p>
        </w:tc>
        <w:tc>
          <w:tcPr>
            <w:tcW w:w="2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7,527</w:t>
            </w:r>
          </w:p>
        </w:tc>
      </w:tr>
      <w:tr>
        <w:trPr>
          <w:trHeight w:val="27"/>
        </w:trPr>
        <w:tc>
          <w:tcPr>
            <w:tcW w:w="49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41,297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53,595</w:t>
            </w:r>
          </w:p>
        </w:tc>
        <w:tc>
          <w:tcPr>
            <w:tcW w:w="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94,892</w:t>
            </w:r>
          </w:p>
        </w:tc>
      </w:tr>
      <w:tr>
        <w:trPr>
          <w:trHeight w:val="20"/>
        </w:trPr>
        <w:tc>
          <w:tcPr>
            <w:tcW w:w="4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 are carried at cost, which management believes approximates fair value.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42"/>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transactions costs. Goodwill is not recognized in asset acquisitions. In an asset acquisition, the cost allocated to acquire in-process research and development (IPR&amp;D) with no alternative future use is charged to research and development expense at the acquisition date.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Unit</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unit as the Company has issued units that meet the definition of participating securities. The two-class method determines net income (loss) per unit for each class of common and participating securities according to dividends declared or accumulated and participation rights in undistributed earnings. The two-class method requires income available to common unit 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Basic net income (loss) per unit attributable to common unit holders is computed by dividing the net income (loss) attributable to common and non-voting incentive unit holders by the weighted average number of common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455" w:right="3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and non-voting incentive units outstanding for the period. Diluted net income (loss) attributable to common and non-voting incentive unit holders is computed by adjusting net income (loss) attributable to common unit holders to reallocate undistributed earnings based on the potential impact of dilutive securities. Diluted net income (loss) per unit attributable to common and non-voting incentive unit holders is computed by dividing the diluted net income (loss) attributable to common and non-voting incentive unit holders by the weighted average number of common and non-voting incentive units outstanding for the period, including potential dilutive common and non-voting incentive units. For purposes of this calculation, unvested non-voting incentive units, and Redeemable Preferred Units are considered potential dilutive common units.</w:t>
      </w:r>
    </w:p>
    <w:p>
      <w:pPr>
        <w:spacing w:after="0" w:line="187"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Company’s Redeemable Preferred Units contractually entitles the holders of such units to participate in dividends but does not contractually require the holders of such units to participate in losses of the Company. Accordingly, in periods in which the Company reports a net loss attributable to common and non-voting incentive unit holders, such losses are not allocated to such participating securities. In periods in which the Company reports a net loss attributable to common and non-voting incentive unit holders, diluted net loss per unit attributable to common and non-voting incentive unit holders is the same as basic net loss per unit attributable to common and non-voting incentive unit holders, since dilutive common and non-voting incentive units are not assumed to have been issued if their effect is anti-dilutive. The Company reported a net loss attributable to common and non-voting incentive unit holders for the nine months ended September 30, 2019 and 2020.</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Net Loss per Share</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for the nine months ended September 30, 2020 has been prepared to give effect to the exchange of all outstanding redeemable preferred units and vested non-voting incentive units of the LLC into shares of common stock of the Corporation upon the Reorganization as if the Reorganization had occurred on the later of the beginning of the period or the issuance date of the redeemable preferred units.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142"/>
        </w:trPr>
        <w:tc>
          <w:tcPr>
            <w:tcW w:w="8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3,003</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Consultants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6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License and Collaboration Agreements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impact of the research and development costs related to the collaboration and license agreements on the Company’s condensed consolidated statements of operations and comprehensive loss for the nine months ended September 30, 2019 and 2020. For details on the structure and accounting treatment for the Company’s collaboration and license agreements, refer to the annual consolidated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455" w:right="33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included elsewhere in this prospectus.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 Adimab</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11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Apollo - Wistar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Pearl - Taiho</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3,039</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Amber - MIT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Florentine - Tubingen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 license and collaboration fees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6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Florentine—Tübingen License Agreement</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In August 2020, Florentine entered into an Exclusive License Agreement, or the Tübingen License Agreement, with Deutsches Krebsforschungszentrum, or DKFZ, Eberhard Karls University of Tübingen, Faculty of Medicine, or University of Tübingen, and Universitätsmedizin Gesellschaft für Forschung und Entwicklung mbH, Tübingen, or UFE. Pursuant to the Tübingen License Agreement, DKFZ and University of Tübingen, collectively referred to as the Licensor, granted to Florentine an exclusive worldwide, milestone- and royalty-bearing license under certain licensed patent rights, applications, technical information and know-how, with the right to grant sublicenses through multiple tiers to research, develop, commercialize or otherwise exploit licensed products within the field.</w:t>
      </w:r>
    </w:p>
    <w:p>
      <w:pPr>
        <w:spacing w:after="0" w:line="187" w:lineRule="exact"/>
        <w:rPr>
          <w:sz w:val="20"/>
          <w:szCs w:val="20"/>
          <w:color w:val="auto"/>
        </w:rPr>
      </w:pPr>
    </w:p>
    <w:p>
      <w:pPr>
        <w:ind w:right="460" w:firstLine="449"/>
        <w:spacing w:after="0" w:line="266" w:lineRule="auto"/>
        <w:rPr>
          <w:sz w:val="20"/>
          <w:szCs w:val="20"/>
          <w:color w:val="auto"/>
        </w:rPr>
      </w:pPr>
      <w:r>
        <w:rPr>
          <w:rFonts w:ascii="Times New Roman" w:cs="Times New Roman" w:eastAsia="Times New Roman" w:hAnsi="Times New Roman"/>
          <w:sz w:val="18"/>
          <w:szCs w:val="18"/>
          <w:color w:val="auto"/>
        </w:rPr>
        <w:t>Florentine shall pay to Licensor an upfront, non-refundable, non-creditable option exercise fee and, as partial consideration for the licenses, has issued to DKFZ and UFE a certain number of shares of common stock that amount to a mid single-digit percentage of the total Florentine shares outstanding. DKFZ and UFE were also granted the right to appoint one representative to the board of directors of Florentine.</w:t>
      </w:r>
    </w:p>
    <w:p>
      <w:pPr>
        <w:spacing w:after="0" w:line="176"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Additionally, Florentine shall pay certain non-refundable, non-creditable milestone payments to Tübingen Licensor upon the occurrence of certain clinical and regulatory events related to a licensed product. Each milestone payment is paid one time only up to a certain payment amount. No milestones have been achieved to date under the Tübingen License Agreement.</w:t>
      </w:r>
    </w:p>
    <w:p>
      <w:pPr>
        <w:spacing w:after="0" w:line="280" w:lineRule="exact"/>
        <w:rPr>
          <w:sz w:val="20"/>
          <w:szCs w:val="20"/>
          <w:color w:val="auto"/>
        </w:rPr>
      </w:pPr>
    </w:p>
    <w:p>
      <w:pPr>
        <w:ind w:right="8780" w:firstLine="8"/>
        <w:spacing w:after="0" w:line="378" w:lineRule="auto"/>
        <w:tabs>
          <w:tab w:leader="none" w:pos="255"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Cullinan—Mica Transaction Asset Acquisition</w:t>
      </w: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On May 28, 2020 (the Acquisition Date), in accordance with the Series A Senior Preferred Stock Purchase Agreement (the Purchase Agreement), the LLC purchased 5,385,787 shares of Series A Senior Preferred Stock (the Series A Senior Preferred Stock) of PDI Therapeutics, Inc. (PDI Therapeutics), for $7.1 million, and certain existing PDI Therapeutics shareholders purchased approximately 702,495 shares of the Series A Senior Preferred Stock for $0.9 million. Concurrently with the Series A Senior Preferred Stock purchase, PDI Therapeutics was renamed Mica Corp. The terms of the Purchase Agreement included two additional milestone-dependent closings for total proceeds of up to $26.0 million. Each additional closing is based on clinical development milestones of Mica’s lead candidate, CLN-619. Neither milestone occurred as of September 30, 2020.</w:t>
      </w:r>
    </w:p>
    <w:p>
      <w:pPr>
        <w:spacing w:after="0" w:line="187"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On the Acquisition Date, PDI Therapeutics authorized the issuance of 72,890,797 shares, of which 39,000,000 was designated as common stock and 33,890,797 was designated as preferred stock.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455" w:right="3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authorized preferred stock, PDI Therapeutics designated 1,999,998 shares as Series A Junior Preferred Stock, 652,371 shares as Series A-1 Junior Preferred Stock, 11,451,514 shares as Series A-2 Junior Preferred Stock, and 19,786,914 as Series A Senior Preferred Stock (collectively the Series Preferred Stock). Following the initial close in May 2020, Mica had 22,829,406 shares outstanding, including 6,088,282 shares of Series A Senior Preferred Stock (of which the LLC held 5,385,787 shares), 602,784 shares of common stock, 2,034,457 shares of common stock underlying options (of which 1,826,402 was reserved for future issuances to Mica’s directors and officers, as well as former employees of PDI Therapeutics), and the 14,103,883 shares of Series A, A-1, and A2 Junior Preferred Stock described above.</w:t>
      </w:r>
    </w:p>
    <w:p>
      <w:pPr>
        <w:spacing w:after="0" w:line="187"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Other than the Series A-1 Junior Preferred Stock, which shares are non-voting, the Series Preferred Stock vote equally with the shares of Common Stock. In addition to any other vote or consent, the vote or written consent of a majority of the holders of Series A Senior Preferred Stock is required for certain actions, including redemptions, dividends, distributions, dissolutions, creation of new classes of stock, mergers, sale of Mica or its assets, and amendments to the certificate of incorporation, as well as other actions. The other classes of Series Preferred Stock have voting rights pertaining to the increase or decrease in the authorized number of shares of their respective classes.</w:t>
      </w:r>
    </w:p>
    <w:p>
      <w:pPr>
        <w:spacing w:after="0" w:line="183"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LLC’s initial purchase represented approximately 23.6% of Mica’s fully diluted shares outstanding, including shares reserved for future issuance, and 88.5% of the Series A Senior Preferred Stock outstanding. The LLC can increase its ownership to approximately 48% of Mica’s fully diluted shares outstanding by participating in the additional milestone-dependent closings. Additionally, as part of the transaction and as outlined in the Voting Agreement dated May 28, 2020, among the LLC and other stockholders of Mica, Mica increased the size of its board of directors from four to five directors, of which three directors are designated by the LLC.</w:t>
      </w:r>
    </w:p>
    <w:p>
      <w:pPr>
        <w:spacing w:after="0" w:line="183" w:lineRule="exact"/>
        <w:rPr>
          <w:sz w:val="20"/>
          <w:szCs w:val="20"/>
          <w:color w:val="auto"/>
        </w:rPr>
      </w:pPr>
    </w:p>
    <w:p>
      <w:pPr>
        <w:ind w:right="800" w:firstLine="449"/>
        <w:spacing w:after="0" w:line="282" w:lineRule="auto"/>
        <w:rPr>
          <w:sz w:val="20"/>
          <w:szCs w:val="20"/>
          <w:color w:val="auto"/>
        </w:rPr>
      </w:pPr>
      <w:r>
        <w:rPr>
          <w:rFonts w:ascii="Times New Roman" w:cs="Times New Roman" w:eastAsia="Times New Roman" w:hAnsi="Times New Roman"/>
          <w:sz w:val="18"/>
          <w:szCs w:val="18"/>
          <w:color w:val="auto"/>
        </w:rPr>
        <w:t>The LLC also entered into a Services Agreement with Mica under which Cullinan Management will perform functions required for Mica’s operations, including accounts payable, cash management, record keeping, research and development, and accounting services.</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Given the LLC’s ownership of the Series A Senior Preferred Stock and its majority representation on Mica’s board of directors, the LLC obtained a controlling interest in Mica on the Acquisition Date. Further, the LLC evaluated the Mica transaction and determined that Mica is not a variable interest entity; however, due to the controlling interest in Mica, the LLC will consolidate Mica under the voting interest model.</w:t>
      </w:r>
    </w:p>
    <w:p>
      <w:pPr>
        <w:spacing w:after="0" w:line="176"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LLC evaluated the change in control of Mica and concluded that the change in control is an asset acquisition rather than a business combination as substantially all of the value in Mica resides in CLN-619, the in-process research and development IPR&amp;D asset developed by Mica. The cost of the assets was calculated as the sum of the fair value of the LLC’s investment in Mica, the fair value of the noncontrolling interests in Mica and the LLC’s transaction costs. This cost was allocated to the assets acquired and liabilities assumed in the transaction based on their relative fair values. The amount allocated to the IPR&amp;D acquired was $6.4 million and was charged to research and development expense within the condensed consolidated statements of operations and comprehensive loss during the nine months ended September 30, 2020 as it had no alternative future use at the time of the acquisition.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455" w:right="3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Preferred Units</w:t>
      </w:r>
    </w:p>
    <w:p>
      <w:pPr>
        <w:spacing w:after="0" w:line="121"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the LLC Agreement provided for the issuance of Seed Redeemable Preferred Units, Series A Redeemable Preferred Units, and Series B Redeemable Preferred Units. Outstanding redeemable preferred units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21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Original</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Issue</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8320" w:type="dxa"/>
            <w:vAlign w:val="bottom"/>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Unit</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Redeemable Preferred Units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Preferred Units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49,946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Preferred Units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54,006,407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83,872</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Preferred Units as of December 31, 2019</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120,006,407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20" w:type="dxa"/>
            <w:vAlign w:val="bottom"/>
          </w:tcPr>
          <w:p>
            <w:pPr>
              <w:spacing w:after="0"/>
              <w:rPr>
                <w:sz w:val="24"/>
                <w:szCs w:val="24"/>
                <w:color w:val="auto"/>
              </w:rPr>
            </w:pPr>
          </w:p>
        </w:tc>
        <w:tc>
          <w:tcPr>
            <w:tcW w:w="292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17"/>
        </w:trPr>
        <w:tc>
          <w:tcPr>
            <w:tcW w:w="83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Original</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Issue</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8320" w:type="dxa"/>
            <w:vAlign w:val="bottom"/>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Unit</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Redeemable Preferred Units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Preferred Units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49,946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Preferred Units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63,141,020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97,909</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Preferred Units as of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129,141,020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Non-Voting Incentive Units and Noncontrolling Interest in Subsidiaries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Non-Voting Incentive Units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As of September 30, 2020, the LLC Agreement provides for the issuance of up to 23,860,000 non-voting incentive units for grant under Amendment No. 1 of the 2016 Equity Incentive Plan (the Plan). During the nine months ended September 30, 2019 and 2020, the LLC did not issue any non-voting incentive units. Non-voting incentive units do not carry the right to vote. As of September 30, 2020, there were 11,963,500 incentive units available for future grant under the plan.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Subsidiaries</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Certain Subsidiaries issue common stock in connection with licensing agreements, as further detailed in Note 4, and to its employees, directors and consultants pursuant to subsidiary equity incentive plans.</w:t>
      </w:r>
    </w:p>
    <w:p>
      <w:pPr>
        <w:spacing w:after="0" w:line="16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In 2018, Apollo reserved 2,120,000 shares of common stock for future issuances of equity grants under its 2018 equity incentive plan. In December 2018, Apollo entered into a Series A Preferred Stock purchase agreement with Cullinan Oncology, LLC. The initial closing took place in December and Apollo sold 7,000,000 subsidiary shares of Series A Preferred Stock for gross proceeds of $7.0 million. At any time following the initial closing, upon the election of the Apollo’s Board of Directors, Apollo may sell up to an aggregate of 11,000,000 Series A Preferred Stock shares at one or more subsequent closings at $1.00 per share.</w:t>
      </w:r>
    </w:p>
    <w:p>
      <w:pPr>
        <w:spacing w:after="0" w:line="183"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In 2019, upon inception, Amber reserved 2,400,200 shares of common stock for future issuances of equity grants under its 2019 equity incentive plan. In 2020, in connection with its Series A Preferred Stock financing,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455" w:right="3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Amber authorized a total of 16,001,332 shares of common stock for issuance pursuant to preferred stock conversions and issuances related to equity grants, and issued 3,000,000 shares of its Series A Preferred Stock to the LLC for gross proceeds of $3.0 million. At any time following the initial closing, upon election of Amber’s Board of Directors, Amber may sell up to an aggregate of 9,000,000 shares of Amber’s Series A Preferred Stock at one or more subsequent closings at $1.00 per share.</w:t>
      </w:r>
    </w:p>
    <w:p>
      <w:pPr>
        <w:spacing w:after="0" w:line="180"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In April 2020, pursuant to the license agreement between Amber and the Massachusetts Institute of Technology, Amber issued 400,132 shares of its common stock, in exchange for no additional consideration as set forth in the license agreement. Accordingly, under the HLBV method, $0.2 million of Amber’s net loss was attributed to noncontrolling interests and $0.4 million of net loss was attributed to the LLC for the nine months ended September 30, 2020.</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In 2019, upon inception, Florentine reserved 2,337,857 shares of common stock for future issuances of equity grants under its 2019 equity incentive plan. In August 2020, Florentine entered into a Series A Preferred Stock purchase agreement with the LLC. The initial closing took place in August 2020 and Florentine sold 6,000,000 subsidiary shares of Series A Preferred Stock for gross proceeds of $6.0 million. At any time following the initial closing, upon the election of the Florentine’s Board of Directors, Florentine may sell up to an aggregate of 12,000,000 shares of Series A Preferred Stock at one or more subsequent closings at $1.00 per share.</w:t>
      </w:r>
    </w:p>
    <w:p>
      <w:pPr>
        <w:spacing w:after="0" w:line="18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August 2020, pursuant to the Tübingen License Agreement, Florentine issued 725,118 shares of its common stock, in exchange for no additional consideration as set forth in the license agreement. Accordingly, under the HLBV method, $0.3 million of Florentine’s net loss was attributed to noncontrolling interests and $7.3 million of net loss was attributed to the LLC for the nine months ended September 30, 2020.</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As described further in Note 5 to the condensed consolidated financial statements, in May 2020, Mica issued 6,088,282 million shares of Series A Senior Preferred Stock, including 5,385,787 to the LLC, at $1.31 per share. Following the transaction, Mica had 22,829,406 shares outstanding, which, in addition to the Series A Senior Preferred Stock, included the following:</w:t>
      </w:r>
    </w:p>
    <w:p>
      <w:pPr>
        <w:spacing w:after="0" w:line="203" w:lineRule="exact"/>
        <w:rPr>
          <w:sz w:val="20"/>
          <w:szCs w:val="20"/>
          <w:color w:val="auto"/>
        </w:rPr>
      </w:pPr>
    </w:p>
    <w:p>
      <w:pPr>
        <w:ind w:left="1000" w:hanging="547"/>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1,999,998 shares as Series A Junior Preferred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652,371 shares as Series A-1 Junior Preferred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11,451,514 shares as Series A-2 Junior Preferred Stock</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2,637,241 shares of common stock (of which 1,826,402 was reserved for future issuances to Mica’s directors and officers, as well as former employees of PDI Therapeutics)</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Using a market-based approach and an option-pricing allocation method, Mica determined the fair market value of Mica’s equity at acquisition was $12.8 million, of which $7.1 million was allocated to the LLC’s Series A Senior Preferred Stock position, and $5.7 million was allocated to noncontrolling interests, including the Junior Preferred and Common Stock holders. Further, Mica had $4.7 million of net assets as of September 30, 2020. Given this value was below the liquidation preference of the Series A Senior Preferred Stock, the noncontrolling interest claim on the net assets was $0.6 million as of September 30, 2020, which represented the pro-rata portion of Series A Senior Preferred Stock not held by the LLC. Accordingly, under the HLBV method, $6.1 million of Mica’s net loss was attributed to noncontrolling interests and $3.8 million of net loss was attributed to the LLC for the nine months ended September 30, 2020.</w:t>
      </w:r>
    </w:p>
    <w:p>
      <w:pPr>
        <w:spacing w:after="0" w:line="18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August 2020, Pearl issued 9,000,000 additional subsidiary shares of Series A Preferred Stock for $9.0 million pursuant to a purchase agreement with the LLC, and Taiho Ventures, LLC (Taiho Ventures). Pearl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455" w:right="3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issued 1,206,000 additional shares of its common stock as anti-dilution shares, in exchange for no additional consideration as set forth in the license agreement.</w:t>
      </w:r>
    </w:p>
    <w:p>
      <w:pPr>
        <w:spacing w:after="0" w:line="162"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In 2019, Pearl provided Taiho Pharmaceuticals, Co. Ltd. (Taiho Pharma) with 1,860,000 shares of common stock as compensation for a license and collaboration agreement with Taiho Pharma (the Taiho License Agreement). In 2019, Pearl increased the reserved shares of common stock to 31,000,000. Further in 2019, Pearl issued 93,000 options under its equity incentive plan at a fair market value of $0.18 per share and recorded less than $0.1 million of stock compensation expense. In August 31, 2020, Pearl increased its shares available for issuance under the Plan from 2,800,000 shares to 4,600,059 shares. For the nine months ended September 30, 2019 and 2020, under the HLBV method, $0.8 million and $1.3 million, respectively, of losses were attributed to noncontrolling interests due to the preferred ownership of Taiho Ventures in Pearl.</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holders of Subsidiary common stock are entitled to one vote per share. The holders of Subsidiary common stock are entitled to receive dividends when and if declared by the subsidiaries’ board of directors and distributions in either case only after the payment of all preferential amounts required to be paid to the holders of shares of Series A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Equity-Based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Non-Voting Incentive Units</w:t>
      </w:r>
    </w:p>
    <w:p>
      <w:pPr>
        <w:spacing w:after="0" w:line="121" w:lineRule="exact"/>
        <w:rPr>
          <w:sz w:val="20"/>
          <w:szCs w:val="20"/>
          <w:color w:val="auto"/>
        </w:rPr>
      </w:pPr>
    </w:p>
    <w:p>
      <w:pPr>
        <w:ind w:right="460" w:firstLine="449"/>
        <w:spacing w:after="0" w:line="266" w:lineRule="auto"/>
        <w:rPr>
          <w:sz w:val="20"/>
          <w:szCs w:val="20"/>
          <w:color w:val="auto"/>
        </w:rPr>
      </w:pPr>
      <w:r>
        <w:rPr>
          <w:rFonts w:ascii="Times New Roman" w:cs="Times New Roman" w:eastAsia="Times New Roman" w:hAnsi="Times New Roman"/>
          <w:sz w:val="18"/>
          <w:szCs w:val="18"/>
          <w:color w:val="auto"/>
        </w:rPr>
        <w:t>The LLC’s 2016 Equity Incentive Plan (the Plan) provides for the grant of non-voting incentive units to employees, consultants, advisors and directors, as determined by the Board of Directors. During the nine months ended September 30, 2019 and 2020, the Company did not issue any LLC non-voting incentive units.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LLC’s non-voting incentive unit activity for the nine months ended September 30, 2020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9000" w:type="dxa"/>
            <w:vAlign w:val="bottom"/>
          </w:tcPr>
          <w:p>
            <w:pPr>
              <w:spacing w:after="0"/>
              <w:rPr>
                <w:sz w:val="12"/>
                <w:szCs w:val="12"/>
                <w:color w:val="auto"/>
              </w:rPr>
            </w:pPr>
          </w:p>
        </w:tc>
        <w:tc>
          <w:tcPr>
            <w:tcW w:w="12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90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9000" w:type="dxa"/>
            <w:vAlign w:val="bottom"/>
          </w:tcPr>
          <w:p>
            <w:pPr>
              <w:spacing w:after="0"/>
              <w:rPr>
                <w:sz w:val="15"/>
                <w:szCs w:val="15"/>
                <w:color w:val="auto"/>
              </w:rPr>
            </w:pPr>
          </w:p>
        </w:tc>
        <w:tc>
          <w:tcPr>
            <w:tcW w:w="12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09"/>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(2,153,250)</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unvested as of September 30,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vested as of September 30, 2020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9,964,350</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recorded a nominal amount of equity-based compensation in the condensed consolidated statement of operations and comprehensive loss for the nine months ended September 30, 2019 and 2020. As of September 30, 2020, the unrecognized equity-based compensation is nominal.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MPM Capital is a significant investor in the Company through one of its managed funds. In October 2016, the Company also began receiving consulting and management services pursuant to agreements with a Managing Director at MPM Capital and a principal at F2 Ventures, also a significant investor in the Company. For the nine months ended September 30, 2019 and 2020, the Company incurred $0.2 million and $0.1 million, respectively, for management and advisory services, in addition to their director compensation, in connection with those agreements.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455" w:right="33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On April 1, 2020, the Company entered into a consulting agreement, or the 2020 Consulting Agreement, with Globeways Holdings Limited, or Globeways. Globeways and entities affiliated with F2 Ventures beneficially own in the aggregate greater than five percent of the Company’s outstanding units and Globeways is beneficially owned by a member of the LLC’s board of directors. Pursuant to the 2020 Consulting Agreement, the board member provides leadership and advice regarding the Company’s scientific, clinical, product development and related activities and operations. Pursuant to the 2020 Consulting Agreement, the LLC pays Globeways a consulting fee at a monthly rate of $25,000. As the sole beneficial owner of Globeways, this board member receives all of the compensation paid to Globeways under the Globeways Agreements. For the nine months ended September 30, 2020, the Company incurred $0.2 million in costs related to this agreement.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Royalty Transfer Agreements</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October and December 2019, May 2020 the Company’s subsidiaries Amber, Apollo, Florentine, Mica, and Pearl entered into royalty transfer agreements with MPM Oncology Charitable Foundation, Inc. and UBS Optimus Foundation. Under these agreements, each investor is entitled to receive a royalty equal to 0.5% (1.0% in aggregate) of all global net sales of any products developed by the subsidiary, subject to limitations after patent expirations and on intellectual property developed after a change of control. The Company has deemed these royalty transfer agreements to be freestanding financial instruments that should be accounted for at fair value.</w:t>
      </w:r>
    </w:p>
    <w:p>
      <w:pPr>
        <w:spacing w:after="0" w:line="183"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As of September 30, 2020, Amber and Florentine had options to programs in pre-clinical research, while Apollo and Pearl’s programs were in phase 1 clinical trials. Given that these programs are all still in early stages of development and face inherent technical, regulatory, and competitive risks associated with achieving approval and commercialization, the Company ascribed no value to the royalty agreement as of September 30, 2020. The Company currently does not have any net sales or license income and as a result has paid no royalties under this obligation as of September 30, 2020 nor has the Company accrued any liability as of September 30, 2020. The Company will monitor these instruments for changes in fair value at each reporting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for the nine months ended September 30, 2019 and 2020 was $0.4 million and $0.4 million, respectively.</w:t>
      </w:r>
    </w:p>
    <w:p>
      <w:pPr>
        <w:spacing w:after="0" w:line="225"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 December 2017, the LLC signed an operating lease for 7,531 rentable square feet of office space in Cambridge, Massachusetts to commence on February 1, 2018. The lease expires on June 30, 2024. Rent expense will be recorded ratably over the lease period. The lease includes escalating rental payments, which are also being charged to rent expense ratably over the lease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12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in which employees may contribute a portion of their compensation, subject to statutory maximum contribution amounts. The Company assumes all administrative costs of the 401(k) Plan. For the nine months ended September 30, 2019 and 2020, the expense relating to the matching contribution was less than $0.1 million and $0.1 million,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455" w:right="3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Unit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unit: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7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gridSpan w:val="4"/>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unit and per unit data)</w:t>
            </w:r>
          </w:p>
        </w:tc>
        <w:tc>
          <w:tcPr>
            <w:tcW w:w="100" w:type="dxa"/>
            <w:vAlign w:val="bottom"/>
          </w:tcPr>
          <w:p>
            <w:pPr>
              <w:spacing w:after="0"/>
              <w:rPr>
                <w:sz w:val="12"/>
                <w:szCs w:val="12"/>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and vested non-voting incentive unit 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(16,088)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(23,453)</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weighted-average common and vested non-voting incentive units used in computing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unit, basic and diluted</w:t>
            </w:r>
          </w:p>
        </w:tc>
        <w:tc>
          <w:tcPr>
            <w:tcW w:w="24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6,017,973</w:t>
            </w:r>
          </w:p>
        </w:tc>
        <w:tc>
          <w:tcPr>
            <w:tcW w:w="3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8,960,373</w:t>
            </w:r>
          </w:p>
        </w:tc>
      </w:tr>
      <w:tr>
        <w:trPr>
          <w:trHeight w:val="20"/>
        </w:trPr>
        <w:tc>
          <w:tcPr>
            <w:tcW w:w="7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unit: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7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units were excluded from the computation of the diluted net loss per unit for the periods presented because their effect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26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86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129,141,020</w:t>
            </w:r>
          </w:p>
        </w:tc>
        <w:tc>
          <w:tcPr>
            <w:tcW w:w="6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Unvested non-voting incentive units</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4,803,150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1,932,150</w:t>
            </w:r>
          </w:p>
        </w:tc>
      </w:tr>
      <w:tr>
        <w:trPr>
          <w:trHeight w:val="27"/>
        </w:trPr>
        <w:tc>
          <w:tcPr>
            <w:tcW w:w="86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70,803,150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131,073,170</w:t>
            </w:r>
          </w:p>
        </w:tc>
      </w:tr>
      <w:tr>
        <w:trPr>
          <w:trHeight w:val="20"/>
        </w:trPr>
        <w:tc>
          <w:tcPr>
            <w:tcW w:w="8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Net Loss per Share</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for the nine months ended September 30, 2020 has been prepared to give effect to the exchange of all outstanding redeemable preferred units and vested non-voting incentive units of the LLC into shares of common stock of the Company upon the reorganization as if the reorganization had occurred on the later of the beginning of the period or the issuance date of the redeemable preferred units.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455" w:right="3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Unaudited pro forma basic and diluted net loss per share attributable to common stockholders was calculated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r>
      <w:tr>
        <w:trPr>
          <w:trHeight w:val="117"/>
        </w:trPr>
        <w:tc>
          <w:tcPr>
            <w:tcW w:w="8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 per</w:t>
            </w:r>
          </w:p>
        </w:tc>
        <w:tc>
          <w:tcPr>
            <w:tcW w:w="100" w:type="dxa"/>
            <w:vAlign w:val="bottom"/>
          </w:tcPr>
          <w:p>
            <w:pPr>
              <w:spacing w:after="0"/>
              <w:rPr>
                <w:sz w:val="10"/>
                <w:szCs w:val="10"/>
                <w:color w:val="auto"/>
              </w:rPr>
            </w:pPr>
          </w:p>
        </w:tc>
      </w:tr>
      <w:tr>
        <w:trPr>
          <w:trHeight w:val="173"/>
        </w:trPr>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share data)</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common and non-voting incentive units</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(23,453)</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adjustments to loss attributable to common and non-voting incentive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and non-voting incentive units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weighted-average common and non-voting incentive units outstanding—basic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adjustment to reflect the assumed exchange of outstanding units upon the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136,285,931</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 forma total weighted-average common stock outstanding—basic and diluted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136,285,931</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stockholders—basic and diluted</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LLC Entity Adoption of 2020 Unit Option and Grant Plan, Issuance of Options and Contribution Agreement</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On October 29, 2020, the Company adopted the 2020 Unit Option and Grant Plan, reserving 36,972,854 common units for issuance and decreased the 2016 Equity Incentive Plan such that no more non-voting incentive units could be issued under that plan. These options have an exercise price of $0.61 per common unit and vest as to 25% of the number of common units subject to the award on the first anniversary of the vesting commencement date, with the remaining portion of the award vesting over the following 36 months in equal monthly installments. Following the plan adoption, the LLC issued 32,493,491 options.</w:t>
      </w:r>
    </w:p>
    <w:p>
      <w:pPr>
        <w:spacing w:after="0" w:line="183"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addition, in November 2020, the LLC entered into a Contribution Agreement (the Restricted Stock Contribution Agreement), with each holder of restricted stock of Amber, Pearl, and Florentine. Pursuant to the Restricted Stock Contribution Agreement, each holder contributed their respective shares of restricted stock and in exchange received a number of authorized but unissued restricted common units of the LLC entity under the 2020 Unit Plan with an aggregate value equal to the value of the restricted stock contributed to the LLC (the Restricted Stock Contribution).</w:t>
      </w:r>
    </w:p>
    <w:p>
      <w:pPr>
        <w:spacing w:after="0" w:line="180"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A total of 2,231,363 restricted common units of the LLC were issued pursuant to the Restricted Stock Contribution Agreement. Simultaneous with the Restricted Stock Contribution, the board of directors of Amber, Pearl, and Florentine determined to accelerate the vesting of the shares of unvested restricted stock immediately prior to the contribution of such stock pursuant to the Restricted Stock Contribution Agreement described above and then terminated their respective stock option and grant plans and the remaining shares reserved for issuance under each respective stock option and grant plan were retired to the status of authorized and unissued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455" w:right="33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board of directors of Cullinan Pearl further authorized the entry into a Common Unit Purchase Agreement with the LLC pursuant to which Pearl purchased 22,868 common units of the LLC for a purchase price of $0.61 per common unit, for an aggregate of $14 thousand (the Unit Purchase). Pearl then transferred those common units to two directors of Pearl in exchange for the cancellation of 46,500 stock options issued to those Directors. In addition, the LLC entered into subscription agreements with Pearl pursuant to which the LLC purchased an aggregate of 2,730,225 shares of Pearl’s common stock at a purchase price of $0.44 per share, for an aggregate amount of $1.2 million. The intent of each transaction was for the LLC entity to increase its ownership in Pearl.</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C Redeemable Preferred Unit - Financing</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December 2020, the LLC entered into a Series C Preferred Unit Purchase Agreement to issued up to $132 million Series C Redeemable Preferred Units. On December 16, 2020, the LLC issued 66,599,045 of Series C Redeemable Preferred Units at $1.97 per unit, resulting in net proceeds of $124.7 million. Upon the closing of the Series C Preferred Unit Purchase Agreement, the Series B Preferred Unit Purchase Agreement, dated as of October 4, 2019, was terminated and the LLC will not issue any additional Series B Preferred Units.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Florentine – Series A Preferred Financing</w:t>
      </w:r>
    </w:p>
    <w:p>
      <w:pPr>
        <w:spacing w:after="0" w:line="121" w:lineRule="exact"/>
        <w:rPr>
          <w:sz w:val="20"/>
          <w:szCs w:val="20"/>
          <w:color w:val="auto"/>
        </w:rPr>
      </w:pPr>
    </w:p>
    <w:p>
      <w:pPr>
        <w:jc w:val="both"/>
        <w:ind w:right="360" w:firstLine="449"/>
        <w:spacing w:after="0" w:line="289" w:lineRule="auto"/>
        <w:rPr>
          <w:sz w:val="20"/>
          <w:szCs w:val="20"/>
          <w:color w:val="auto"/>
        </w:rPr>
      </w:pPr>
      <w:r>
        <w:rPr>
          <w:rFonts w:ascii="Times New Roman" w:cs="Times New Roman" w:eastAsia="Times New Roman" w:hAnsi="Times New Roman"/>
          <w:sz w:val="17"/>
          <w:szCs w:val="17"/>
          <w:color w:val="auto"/>
        </w:rPr>
        <w:t>In December 2020, Florentine issued 6,000,000 additional shares of its Series A Preferred Stock for proceeds of $6,000,000 under the Florentine Series A Preferred Stock purchase agreement described in Note 7. Pursuant to the Series A Preferred Stock Agreement, Florentine will issue additional shares of its common stock to DFKZ and UFE as anti-dilution shares, in exchange for no additional consideration as set forth in the license agreement.</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December 2019, a novel strain of COVID-19 was reported in China. Since then, COVID-19 has spread globally. The spread of COVID-19 from China to other countries has resulted in the World Health Organization (WHO) declaring the outbreak of COVID-19 as a pandemic, or a worldwide spread of a new disease, on March 11, 2020. Many countries around the world have imposed quarantines and restrictions on travel and mass gatherings to slow the spread of the virus and have closed non-essential businesses, and many local jurisdictions continue to have such restrictions in place.</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As local jurisdictions continue to put restrictions in place, the Company’s ability to continue to operate its business may also be limited. Such events may result in a period of business, supply and drug product manufacturing disruption, and in reduced operations, any of which could materially affect the Company’s business, financial condition and results of operations. In response to COVID-19, the Company implemented remote working and thus far, has not experienced a significant disruption or delay in its operations as it relates to the clinical development or drug production of the Company’s product candidates.</w:t>
      </w:r>
    </w:p>
    <w:p>
      <w:pPr>
        <w:spacing w:after="0" w:line="18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the Company economically. While the ultimate economic impact brought by, and the duration of, the COVID-19 pandemic may be difficult to assess or predict, including new information which may emerge concerning the severity of COVID-19 and the actions to contain COVID-19 or treat its impact, among others, the pandemic has resulted in significant disruptions in the general commercial activity and the global economy and caused financial market volatility and uncertainty in significant and unforeseen ways in the recent months. A continuation or worsening of the levels of market disruption and volatility seen in the recent past could have an adverse effect on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455" w:right="33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Company’s ability to access capital, which could in the future negatively affect the Company’s liquidity. In addition, a recession or market correction resulting from the spread of COVID-19 could materially affect the Company’s business.</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To date, COVID-19 has not had a financial impact on the Company. However, COVID-19 has impacted the pace of our enrollment in our clinical trials and our preclinical studies. The full extent and duration of the impact of COVID-19 on the Company’s operations and financial performance is currently unknown and depends on future developments that are uncertain and unpredictable.</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0920"/>
          </w:cols>
          <w:pgMar w:left="320" w:top="455" w:right="65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31290" cy="6597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4312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PRELIMINARY PROSPECTUS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ectPr>
          <w:pgSz w:w="11900" w:h="16838" w:orient="portrait"/>
          <w:cols w:equalWidth="0" w:num="1">
            <w:col w:w="11240"/>
          </w:cols>
          <w:pgMar w:left="320" w:top="455" w:right="3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MORGAN STANLEY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21"/>
          <w:szCs w:val="21"/>
          <w:i w:val="1"/>
          <w:iCs w:val="1"/>
          <w:color w:val="auto"/>
        </w:rPr>
        <w:t>SVB LEERINK</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EVERCORE ISI</w:t>
      </w:r>
    </w:p>
    <w:p>
      <w:pPr>
        <w:spacing w:after="0" w:line="94" w:lineRule="exact"/>
        <w:rPr>
          <w:sz w:val="20"/>
          <w:szCs w:val="20"/>
          <w:color w:val="auto"/>
        </w:rPr>
      </w:pPr>
    </w:p>
    <w:p>
      <w:pPr>
        <w:sectPr>
          <w:pgSz w:w="11900" w:h="16838" w:orient="portrait"/>
          <w:cols w:equalWidth="0" w:num="3">
            <w:col w:w="4380" w:space="720"/>
            <w:col w:w="4020" w:space="720"/>
            <w:col w:w="1400"/>
          </w:cols>
          <w:pgMar w:left="320" w:top="45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Lead-Manager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H.C. WAINWRIGHT &amp; CO.</w:t>
      </w:r>
    </w:p>
    <w:p>
      <w:pPr>
        <w:spacing w:after="0" w:line="2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i w:val="1"/>
          <w:iCs w:val="1"/>
          <w:color w:val="auto"/>
        </w:rPr>
        <w:t>Until</w:t>
      </w:r>
      <w:r>
        <w:rPr>
          <w:sz w:val="20"/>
          <w:szCs w:val="20"/>
          <w:color w:val="auto"/>
        </w:rPr>
        <w:tab/>
      </w:r>
      <w:r>
        <w:rPr>
          <w:rFonts w:ascii="Times New Roman" w:cs="Times New Roman" w:eastAsia="Times New Roman" w:hAnsi="Times New Roman"/>
          <w:sz w:val="17"/>
          <w:szCs w:val="17"/>
          <w:i w:val="1"/>
          <w:iCs w:val="1"/>
          <w:color w:val="auto"/>
        </w:rPr>
        <w:t>, 2021, all dealers that effect transactions in these securities, whether or not participating in this offering, may be required to deliver a</w:t>
      </w:r>
    </w:p>
    <w:p>
      <w:pPr>
        <w:sectPr>
          <w:pgSz w:w="11900" w:h="16838" w:orient="portrait"/>
          <w:cols w:equalWidth="0" w:num="1">
            <w:col w:w="11240"/>
          </w:cols>
          <w:pgMar w:left="320" w:top="455" w:right="339" w:bottom="1440" w:gutter="0" w:footer="0" w:header="0"/>
          <w:type w:val="continuous"/>
        </w:sectPr>
      </w:pPr>
    </w:p>
    <w:p>
      <w:pPr>
        <w:spacing w:after="0" w:line="4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prospectus. This is in addition to the dealers’ obligation to deliver a prospectus when acting as underwriters and with respect to their unsold allotments or subscriptions.</w:t>
      </w:r>
    </w:p>
    <w:p>
      <w:pPr>
        <w:sectPr>
          <w:pgSz w:w="11900" w:h="16838" w:orient="portrait"/>
          <w:cols w:equalWidth="0" w:num="1">
            <w:col w:w="11240"/>
          </w:cols>
          <w:pgMar w:left="320" w:top="455" w:right="339" w:bottom="1440" w:gutter="0" w:footer="0" w:header="0"/>
          <w:type w:val="continuous"/>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8"/>
        </w:trPr>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r>
      <w:tr>
        <w:trPr>
          <w:trHeight w:val="148"/>
        </w:trPr>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to be</w:t>
            </w:r>
          </w:p>
        </w:tc>
      </w:tr>
      <w:tr>
        <w:trPr>
          <w:trHeight w:val="173"/>
        </w:trPr>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10"/>
        </w:trPr>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be provided by amendment</w:t>
            </w: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1" w:lineRule="exact"/>
        <w:rPr>
          <w:sz w:val="20"/>
          <w:szCs w:val="20"/>
          <w:color w:val="auto"/>
        </w:rPr>
      </w:pPr>
    </w:p>
    <w:p>
      <w:pPr>
        <w:ind w:left="1000" w:hanging="547"/>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rFonts w:ascii="Times New Roman" w:cs="Times New Roman" w:eastAsia="Times New Roman" w:hAnsi="Times New Roman"/>
          <w:sz w:val="18"/>
          <w:szCs w:val="18"/>
          <w:color w:val="auto"/>
        </w:rPr>
      </w:pPr>
    </w:p>
    <w:p>
      <w:pPr>
        <w:ind w:left="102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455" w:right="33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sz w:val="20"/>
          <w:szCs w:val="20"/>
          <w:color w:val="auto"/>
        </w:rPr>
      </w:pPr>
    </w:p>
    <w:p>
      <w:pPr>
        <w:ind w:left="1000" w:right="140" w:hanging="547"/>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ind w:left="1000" w:hanging="547"/>
        <w:spacing w:after="0" w:line="312" w:lineRule="auto"/>
        <w:tabs>
          <w:tab w:leader="none" w:pos="10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40" w:lineRule="exact"/>
        <w:rPr>
          <w:sz w:val="20"/>
          <w:szCs w:val="20"/>
          <w:color w:val="auto"/>
        </w:rPr>
      </w:pPr>
    </w:p>
    <w:p>
      <w:pPr>
        <w:ind w:right="40" w:firstLine="449"/>
        <w:spacing w:after="0" w:line="271" w:lineRule="auto"/>
        <w:rPr>
          <w:sz w:val="20"/>
          <w:szCs w:val="20"/>
          <w:color w:val="auto"/>
        </w:rPr>
      </w:pPr>
      <w:r>
        <w:rPr>
          <w:rFonts w:ascii="Times New Roman" w:cs="Times New Roman" w:eastAsia="Times New Roman" w:hAnsi="Times New Roman"/>
          <w:sz w:val="17"/>
          <w:szCs w:val="17"/>
          <w:color w:val="auto"/>
        </w:rPr>
        <w:t>We intend to enter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3"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information regarding securities we have issued within the past three years that were not registered under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below do not give effect to the Reorganization.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Issuances of Capital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April 2017, certain investors purchased an aggregate of 50,000,000 of our Series A Preferred Units for $50,000,000.00 at a price of $1.00 per unit.</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October 2019, certain investors purchased an aggregate of 30,128,204 of our Series B Preferred Units for $46,999,998.24 at a price of $1.56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2019, certain investors purchased an aggregate of 23,878,203 of our Series B Preferred Units for $37,249,996.68 at a price of $1.56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February 2020, certain investors purchased an aggregate of 6,891,025 of our Series B Preferred Units for $10,749,999.00 at a price of $1.56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March 2020, certain investors purchased an aggregate of 2,243,584 of our Series B Preferred Units for $3,499,997.28 at a price of $1.56 per unit.</w:t>
      </w:r>
    </w:p>
    <w:p>
      <w:pPr>
        <w:spacing w:after="0" w:line="225"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December 2020, certain investors purchased an aggregate of 66,599,045 of our Series C Preferred Units for $131,200,118.65 at a price of $1.97 per unit.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20" w:top="455" w:right="37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No underwriters were involved in the foregoing sales of securities. Unless otherwise stated,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Grants and Exercises of Stock Options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Through November 30, 2020, we have granted an aggregate of 12,276,000 nonvoting incentive units, with a grant date fair value of $0.0001 per unit, 2,254,231 restricted common units with a grant date fair value of $0.61 per unit, and 32,493,491 common unit options with a strike price of $0.61 per unit, to employees, directors and consultants pursuant to the 2016 Equity Incentive Plan and 2020 Unit Option and Grant Plan. Of those awards, 379,500 have been forfeited and 46,644,222 remain outstanding. There have been no option exercises as of November 30, 2020.</w:t>
      </w:r>
    </w:p>
    <w:p>
      <w:pPr>
        <w:spacing w:after="0" w:line="180"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220" w:type="dxa"/>
            <w:vAlign w:val="bottom"/>
            <w:gridSpan w:val="5"/>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Agreement and Plan of Merger by and between Cullinan Oncology, LLC and Cullinan Management, Inc.</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10040" w:type="dxa"/>
            <w:vAlign w:val="bottom"/>
            <w:gridSpan w:val="7"/>
          </w:tcPr>
          <w:p>
            <w:pPr>
              <w:spacing w:after="0"/>
              <w:rPr>
                <w:rFonts w:ascii="Times New Roman" w:cs="Times New Roman" w:eastAsia="Times New Roman" w:hAnsi="Times New Roman"/>
                <w:sz w:val="18"/>
                <w:szCs w:val="18"/>
                <w:color w:val="0000EE"/>
              </w:rPr>
            </w:pPr>
            <w:hyperlink w:anchor="page307">
              <w:r>
                <w:rPr>
                  <w:rFonts w:ascii="Times New Roman" w:cs="Times New Roman" w:eastAsia="Times New Roman" w:hAnsi="Times New Roman"/>
                  <w:sz w:val="18"/>
                  <w:szCs w:val="18"/>
                  <w:u w:val="single" w:color="auto"/>
                  <w:color w:val="0000EE"/>
                </w:rPr>
                <w:t>Certificate of Incorporation of the Registrant, as currently in effect</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06"/>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immediately prior to completion of this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offering.</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24"/>
                <w:szCs w:val="24"/>
                <w:color w:val="auto"/>
              </w:rPr>
            </w:pPr>
          </w:p>
        </w:tc>
        <w:tc>
          <w:tcPr>
            <w:tcW w:w="10040" w:type="dxa"/>
            <w:vAlign w:val="bottom"/>
            <w:gridSpan w:val="7"/>
          </w:tcPr>
          <w:p>
            <w:pPr>
              <w:spacing w:after="0"/>
              <w:rPr>
                <w:rFonts w:ascii="Times New Roman" w:cs="Times New Roman" w:eastAsia="Times New Roman" w:hAnsi="Times New Roman"/>
                <w:sz w:val="18"/>
                <w:szCs w:val="18"/>
                <w:u w:val="single" w:color="auto"/>
                <w:color w:val="0000EE"/>
              </w:rPr>
            </w:pPr>
            <w:hyperlink w:anchor="page310">
              <w:r>
                <w:rPr>
                  <w:rFonts w:ascii="Times New Roman" w:cs="Times New Roman" w:eastAsia="Times New Roman" w:hAnsi="Times New Roman"/>
                  <w:sz w:val="18"/>
                  <w:szCs w:val="18"/>
                  <w:u w:val="single" w:color="auto"/>
                  <w:color w:val="0000EE"/>
                </w:rPr>
                <w:t>Bylaws of the Registrant, as currently in effect.</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immediately prior to completion of this offering.</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Common Stock Certificate.</w:t>
            </w:r>
          </w:p>
        </w:tc>
        <w:tc>
          <w:tcPr>
            <w:tcW w:w="0" w:type="dxa"/>
            <w:vAlign w:val="bottom"/>
          </w:tcPr>
          <w:p>
            <w:pPr>
              <w:spacing w:after="0"/>
              <w:rPr>
                <w:sz w:val="1"/>
                <w:szCs w:val="1"/>
                <w:color w:val="auto"/>
              </w:rPr>
            </w:pPr>
          </w:p>
        </w:tc>
      </w:tr>
      <w:tr>
        <w:trPr>
          <w:trHeight w:val="283"/>
        </w:trPr>
        <w:tc>
          <w:tcPr>
            <w:tcW w:w="5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4"/>
                <w:szCs w:val="24"/>
                <w:color w:val="auto"/>
              </w:rPr>
            </w:pPr>
          </w:p>
        </w:tc>
        <w:tc>
          <w:tcPr>
            <w:tcW w:w="10040" w:type="dxa"/>
            <w:vAlign w:val="bottom"/>
            <w:gridSpan w:val="7"/>
          </w:tcPr>
          <w:p>
            <w:pPr>
              <w:spacing w:after="0"/>
              <w:rPr>
                <w:rFonts w:ascii="Times New Roman" w:cs="Times New Roman" w:eastAsia="Times New Roman" w:hAnsi="Times New Roman"/>
                <w:sz w:val="18"/>
                <w:szCs w:val="18"/>
                <w:color w:val="0000EE"/>
              </w:rPr>
            </w:pPr>
            <w:hyperlink w:anchor="page325">
              <w:r>
                <w:rPr>
                  <w:rFonts w:ascii="Times New Roman" w:cs="Times New Roman" w:eastAsia="Times New Roman" w:hAnsi="Times New Roman"/>
                  <w:sz w:val="18"/>
                  <w:szCs w:val="18"/>
                  <w:color w:val="0000EE"/>
                </w:rPr>
                <w:t>Third Amended and Restated Limited Liability Company Agreement, dated December 16, 2020, by and among Cullinan Oncology, LLC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325">
              <w:r>
                <w:rPr>
                  <w:rFonts w:ascii="Times New Roman" w:cs="Times New Roman" w:eastAsia="Times New Roman" w:hAnsi="Times New Roman"/>
                  <w:sz w:val="18"/>
                  <w:szCs w:val="18"/>
                  <w:color w:val="0000EE"/>
                </w:rPr>
                <w:t>and its members.</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Registration Rights Agreement, among the Registrant and certain of its stockholders, to be in effect immediately prior to completion of this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offering.</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2021 Stock Option and Incentive Plan and form of award agreements thereunder.</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10.2#*</w:t>
            </w:r>
          </w:p>
        </w:tc>
        <w:tc>
          <w:tcPr>
            <w:tcW w:w="5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8"/>
              </w:rPr>
              <w:t>10.3#</w:t>
            </w:r>
          </w:p>
        </w:tc>
        <w:tc>
          <w:tcPr>
            <w:tcW w:w="580" w:type="dxa"/>
            <w:vAlign w:val="bottom"/>
          </w:tcPr>
          <w:p>
            <w:pPr>
              <w:spacing w:after="0"/>
              <w:rPr>
                <w:sz w:val="24"/>
                <w:szCs w:val="24"/>
                <w:color w:val="auto"/>
              </w:rPr>
            </w:pPr>
          </w:p>
        </w:tc>
        <w:tc>
          <w:tcPr>
            <w:tcW w:w="10040" w:type="dxa"/>
            <w:vAlign w:val="bottom"/>
            <w:gridSpan w:val="7"/>
          </w:tcPr>
          <w:p>
            <w:pPr>
              <w:spacing w:after="0"/>
              <w:rPr>
                <w:rFonts w:ascii="Times New Roman" w:cs="Times New Roman" w:eastAsia="Times New Roman" w:hAnsi="Times New Roman"/>
                <w:sz w:val="18"/>
                <w:szCs w:val="18"/>
                <w:u w:val="single" w:color="auto"/>
                <w:color w:val="0000EE"/>
              </w:rPr>
            </w:pPr>
            <w:hyperlink w:anchor="page394">
              <w:r>
                <w:rPr>
                  <w:rFonts w:ascii="Times New Roman" w:cs="Times New Roman" w:eastAsia="Times New Roman" w:hAnsi="Times New Roman"/>
                  <w:sz w:val="18"/>
                  <w:szCs w:val="18"/>
                  <w:u w:val="single" w:color="auto"/>
                  <w:color w:val="0000EE"/>
                </w:rPr>
                <w:t>Senior Executive Cash Incentive Bonus Plan.</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8"/>
              </w:rPr>
              <w:t>10.4#</w:t>
            </w:r>
          </w:p>
        </w:tc>
        <w:tc>
          <w:tcPr>
            <w:tcW w:w="580" w:type="dxa"/>
            <w:vAlign w:val="bottom"/>
          </w:tcPr>
          <w:p>
            <w:pPr>
              <w:spacing w:after="0"/>
              <w:rPr>
                <w:sz w:val="24"/>
                <w:szCs w:val="24"/>
                <w:color w:val="auto"/>
              </w:rPr>
            </w:pPr>
          </w:p>
        </w:tc>
        <w:tc>
          <w:tcPr>
            <w:tcW w:w="10040" w:type="dxa"/>
            <w:vAlign w:val="bottom"/>
            <w:gridSpan w:val="7"/>
          </w:tcPr>
          <w:p>
            <w:pPr>
              <w:spacing w:after="0"/>
              <w:rPr>
                <w:rFonts w:ascii="Times New Roman" w:cs="Times New Roman" w:eastAsia="Times New Roman" w:hAnsi="Times New Roman"/>
                <w:sz w:val="18"/>
                <w:szCs w:val="18"/>
                <w:u w:val="single" w:color="auto"/>
                <w:color w:val="0000EE"/>
              </w:rPr>
            </w:pPr>
            <w:hyperlink w:anchor="page397">
              <w:r>
                <w:rPr>
                  <w:rFonts w:ascii="Times New Roman" w:cs="Times New Roman" w:eastAsia="Times New Roman" w:hAnsi="Times New Roman"/>
                  <w:sz w:val="18"/>
                  <w:szCs w:val="18"/>
                  <w:u w:val="single" w:color="auto"/>
                  <w:color w:val="0000EE"/>
                </w:rPr>
                <w:t>Form of Indemnification Agreement, between the Registrant and each of its directors.</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8"/>
              </w:rPr>
              <w:t>10.5#</w:t>
            </w:r>
          </w:p>
        </w:tc>
        <w:tc>
          <w:tcPr>
            <w:tcW w:w="580" w:type="dxa"/>
            <w:vAlign w:val="bottom"/>
          </w:tcPr>
          <w:p>
            <w:pPr>
              <w:spacing w:after="0"/>
              <w:rPr>
                <w:sz w:val="24"/>
                <w:szCs w:val="24"/>
                <w:color w:val="auto"/>
              </w:rPr>
            </w:pPr>
          </w:p>
        </w:tc>
        <w:tc>
          <w:tcPr>
            <w:tcW w:w="10040" w:type="dxa"/>
            <w:vAlign w:val="bottom"/>
            <w:gridSpan w:val="7"/>
          </w:tcPr>
          <w:p>
            <w:pPr>
              <w:spacing w:after="0"/>
              <w:rPr>
                <w:rFonts w:ascii="Times New Roman" w:cs="Times New Roman" w:eastAsia="Times New Roman" w:hAnsi="Times New Roman"/>
                <w:sz w:val="18"/>
                <w:szCs w:val="18"/>
                <w:u w:val="single" w:color="auto"/>
                <w:color w:val="0000EE"/>
              </w:rPr>
            </w:pPr>
            <w:hyperlink w:anchor="page414">
              <w:r>
                <w:rPr>
                  <w:rFonts w:ascii="Times New Roman" w:cs="Times New Roman" w:eastAsia="Times New Roman" w:hAnsi="Times New Roman"/>
                  <w:sz w:val="18"/>
                  <w:szCs w:val="18"/>
                  <w:u w:val="single" w:color="auto"/>
                  <w:color w:val="0000EE"/>
                </w:rPr>
                <w:t>Form of Indemnification Agreement, between the Registrant and each of its executive officers.</w:t>
              </w:r>
            </w:hyperlink>
          </w:p>
        </w:tc>
        <w:tc>
          <w:tcPr>
            <w:tcW w:w="0" w:type="dxa"/>
            <w:vAlign w:val="bottom"/>
          </w:tcPr>
          <w:p>
            <w:pPr>
              <w:spacing w:after="0"/>
              <w:rPr>
                <w:sz w:val="1"/>
                <w:szCs w:val="1"/>
                <w:color w:val="auto"/>
              </w:rPr>
            </w:pPr>
          </w:p>
        </w:tc>
      </w:tr>
      <w:tr>
        <w:trPr>
          <w:trHeight w:val="284"/>
        </w:trPr>
        <w:tc>
          <w:tcPr>
            <w:tcW w:w="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8"/>
              </w:rPr>
              <w:t>10.6†</w:t>
            </w:r>
          </w:p>
        </w:tc>
        <w:tc>
          <w:tcPr>
            <w:tcW w:w="58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31">
              <w:r>
                <w:rPr>
                  <w:rFonts w:ascii="Times New Roman" w:cs="Times New Roman" w:eastAsia="Times New Roman" w:hAnsi="Times New Roman"/>
                  <w:sz w:val="18"/>
                  <w:szCs w:val="18"/>
                  <w:color w:val="0000EE"/>
                  <w:w w:val="99"/>
                </w:rPr>
                <w:t>Exclusive Patent License Agreement, dated December 12, 2019, as amended on April 3, 2020, by and between Massachusetts Institute of</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31">
              <w:r>
                <w:rPr>
                  <w:rFonts w:ascii="Times New Roman" w:cs="Times New Roman" w:eastAsia="Times New Roman" w:hAnsi="Times New Roman"/>
                  <w:sz w:val="18"/>
                  <w:szCs w:val="18"/>
                  <w:color w:val="0000EE"/>
                  <w:w w:val="99"/>
                </w:rPr>
                <w:t>Technology and Cullinan Amber Corp.</w:t>
              </w:r>
            </w:hyperlink>
          </w:p>
        </w:tc>
        <w:tc>
          <w:tcPr>
            <w:tcW w:w="7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20"/>
          </w:cols>
          <w:pgMar w:left="320" w:top="455" w:right="35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60" w:type="dxa"/>
            <w:vAlign w:val="bottom"/>
            <w:gridSpan w:val="4"/>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480">
              <w:r>
                <w:rPr>
                  <w:rFonts w:ascii="Times New Roman" w:cs="Times New Roman" w:eastAsia="Times New Roman" w:hAnsi="Times New Roman"/>
                  <w:sz w:val="18"/>
                  <w:szCs w:val="18"/>
                  <w:u w:val="single" w:color="auto"/>
                  <w:color w:val="0000EE"/>
                </w:rPr>
                <w:t>Collaboration Agreement, dated November 28, 2018, by and between Adimab, LLC and Cullinan Management, Inc.</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528">
              <w:r>
                <w:rPr>
                  <w:rFonts w:ascii="Times New Roman" w:cs="Times New Roman" w:eastAsia="Times New Roman" w:hAnsi="Times New Roman"/>
                  <w:sz w:val="18"/>
                  <w:szCs w:val="18"/>
                  <w:u w:val="single" w:color="auto"/>
                  <w:color w:val="0000EE"/>
                </w:rPr>
                <w:t>License and Collaboration Agreement, dated February 4, 2019, by and between Taiho Pharmaceutical, Co., Ltd. and Cullinan Pearl Corp.</w:t>
              </w:r>
            </w:hyperlink>
          </w:p>
        </w:tc>
        <w:tc>
          <w:tcPr>
            <w:tcW w:w="0" w:type="dxa"/>
            <w:vAlign w:val="bottom"/>
          </w:tcPr>
          <w:p>
            <w:pPr>
              <w:spacing w:after="0"/>
              <w:rPr>
                <w:sz w:val="1"/>
                <w:szCs w:val="1"/>
                <w:color w:val="auto"/>
              </w:rPr>
            </w:pPr>
          </w:p>
        </w:tc>
      </w:tr>
      <w:tr>
        <w:trPr>
          <w:trHeight w:val="283"/>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9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620">
              <w:r>
                <w:rPr>
                  <w:rFonts w:ascii="Times New Roman" w:cs="Times New Roman" w:eastAsia="Times New Roman" w:hAnsi="Times New Roman"/>
                  <w:sz w:val="18"/>
                  <w:szCs w:val="18"/>
                  <w:color w:val="0000EE"/>
                </w:rPr>
                <w:t>Exclusive License Agreement, dated August 31, 2020, by and among Deutsches Krebsforschungszentrum, Eberhard Karls University of</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20">
              <w:r>
                <w:rPr>
                  <w:rFonts w:ascii="Times New Roman" w:cs="Times New Roman" w:eastAsia="Times New Roman" w:hAnsi="Times New Roman"/>
                  <w:sz w:val="18"/>
                  <w:szCs w:val="18"/>
                  <w:color w:val="0000EE"/>
                  <w:w w:val="99"/>
                </w:rPr>
                <w:t>Tuebingen, Faculty of Medicine, Universitätsmedizin Gesellschaft für Forschung und Entwicklung mbH, Tübingen and Cullinan Florentine</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60" w:type="dxa"/>
            <w:vAlign w:val="bottom"/>
            <w:gridSpan w:val="5"/>
          </w:tcPr>
          <w:p>
            <w:pPr>
              <w:spacing w:after="0" w:line="196" w:lineRule="exact"/>
              <w:rPr>
                <w:rFonts w:ascii="Times New Roman" w:cs="Times New Roman" w:eastAsia="Times New Roman" w:hAnsi="Times New Roman"/>
                <w:sz w:val="18"/>
                <w:szCs w:val="18"/>
                <w:color w:val="0000EE"/>
              </w:rPr>
            </w:pPr>
            <w:hyperlink w:anchor="page620">
              <w:r>
                <w:rPr>
                  <w:rFonts w:ascii="Times New Roman" w:cs="Times New Roman" w:eastAsia="Times New Roman" w:hAnsi="Times New Roman"/>
                  <w:sz w:val="18"/>
                  <w:szCs w:val="18"/>
                  <w:color w:val="0000EE"/>
                </w:rPr>
                <w:t>Corp.</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663">
              <w:r>
                <w:rPr>
                  <w:rFonts w:ascii="Times New Roman" w:cs="Times New Roman" w:eastAsia="Times New Roman" w:hAnsi="Times New Roman"/>
                  <w:sz w:val="18"/>
                  <w:szCs w:val="18"/>
                  <w:u w:val="single" w:color="auto"/>
                  <w:color w:val="0000EE"/>
                </w:rPr>
                <w:t>Offer Letter, dated June 16, 2017, by and between Cullinan Management, Inc. and Leigh Zawel.</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color w:val="0000EE"/>
              </w:rPr>
            </w:pPr>
            <w:hyperlink w:anchor="page666">
              <w:r>
                <w:rPr>
                  <w:rFonts w:ascii="Times New Roman" w:cs="Times New Roman" w:eastAsia="Times New Roman" w:hAnsi="Times New Roman"/>
                  <w:sz w:val="18"/>
                  <w:szCs w:val="18"/>
                  <w:u w:val="single" w:color="auto"/>
                  <w:color w:val="0000EE"/>
                </w:rPr>
                <w:t>Offer Letter, dated May 1, 2017, by and between Cullinan Management, Inc. and Owen Hughes</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669">
              <w:r>
                <w:rPr>
                  <w:rFonts w:ascii="Times New Roman" w:cs="Times New Roman" w:eastAsia="Times New Roman" w:hAnsi="Times New Roman"/>
                  <w:sz w:val="18"/>
                  <w:szCs w:val="18"/>
                  <w:u w:val="single" w:color="auto"/>
                  <w:color w:val="0000EE"/>
                </w:rPr>
                <w:t>Offer Letter, dated August 25, 2020, by and between Cullinan Management, Inc. and Jeffrey Trigilio.</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672">
              <w:r>
                <w:rPr>
                  <w:rFonts w:ascii="Times New Roman" w:cs="Times New Roman" w:eastAsia="Times New Roman" w:hAnsi="Times New Roman"/>
                  <w:sz w:val="18"/>
                  <w:szCs w:val="18"/>
                  <w:u w:val="single" w:color="auto"/>
                  <w:color w:val="0000EE"/>
                </w:rPr>
                <w:t>Form of Executive Employment Agreement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687">
              <w:r>
                <w:rPr>
                  <w:rFonts w:ascii="Times New Roman" w:cs="Times New Roman" w:eastAsia="Times New Roman" w:hAnsi="Times New Roman"/>
                  <w:sz w:val="18"/>
                  <w:szCs w:val="18"/>
                  <w:u w:val="single" w:color="auto"/>
                  <w:color w:val="0000EE"/>
                </w:rPr>
                <w:t>Consulting Agreement, dated January 1, 2019, by and between Cullinan Management, Inc. and Corinne Savill.</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695">
              <w:r>
                <w:rPr>
                  <w:rFonts w:ascii="Times New Roman" w:cs="Times New Roman" w:eastAsia="Times New Roman" w:hAnsi="Times New Roman"/>
                  <w:sz w:val="18"/>
                  <w:szCs w:val="18"/>
                  <w:u w:val="single" w:color="auto"/>
                  <w:color w:val="0000EE"/>
                </w:rPr>
                <w:t>Consulting Agreement, dated January 1, 2019, by and between Cullinan Management, Inc. and Patrick Baeuerle.</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703">
              <w:r>
                <w:rPr>
                  <w:rFonts w:ascii="Times New Roman" w:cs="Times New Roman" w:eastAsia="Times New Roman" w:hAnsi="Times New Roman"/>
                  <w:sz w:val="18"/>
                  <w:szCs w:val="18"/>
                  <w:u w:val="single" w:color="auto"/>
                  <w:color w:val="0000EE"/>
                </w:rPr>
                <w:t>Consulting Agreement, dated April 1, 2020, by and between Cullinan Management, Inc. and Globeways Holdings Limited.</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710">
              <w:r>
                <w:rPr>
                  <w:rFonts w:ascii="Times New Roman" w:cs="Times New Roman" w:eastAsia="Times New Roman" w:hAnsi="Times New Roman"/>
                  <w:sz w:val="18"/>
                  <w:szCs w:val="18"/>
                  <w:u w:val="single" w:color="auto"/>
                  <w:color w:val="0000EE"/>
                </w:rPr>
                <w:t>Sublease, effective as of December 14, 2017, by and between Teva Pharmaceuticals USA, Inc. and Cullinan Management, Inc.</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726">
              <w:r>
                <w:rPr>
                  <w:rFonts w:ascii="Times New Roman" w:cs="Times New Roman" w:eastAsia="Times New Roman" w:hAnsi="Times New Roman"/>
                  <w:sz w:val="18"/>
                  <w:szCs w:val="18"/>
                  <w:u w:val="single" w:color="auto"/>
                  <w:color w:val="0000EE"/>
                </w:rPr>
                <w:t>Form of Voting Agreement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751">
              <w:r>
                <w:rPr>
                  <w:rFonts w:ascii="Times New Roman" w:cs="Times New Roman" w:eastAsia="Times New Roman" w:hAnsi="Times New Roman"/>
                  <w:sz w:val="18"/>
                  <w:szCs w:val="18"/>
                  <w:u w:val="single" w:color="auto"/>
                  <w:color w:val="0000EE"/>
                </w:rPr>
                <w:t>Form of Investors Rights Agreement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781">
              <w:r>
                <w:rPr>
                  <w:rFonts w:ascii="Times New Roman" w:cs="Times New Roman" w:eastAsia="Times New Roman" w:hAnsi="Times New Roman"/>
                  <w:sz w:val="18"/>
                  <w:szCs w:val="18"/>
                  <w:u w:val="single" w:color="auto"/>
                  <w:color w:val="0000EE"/>
                </w:rPr>
                <w:t>Form of Services Agreement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791">
              <w:r>
                <w:rPr>
                  <w:rFonts w:ascii="Times New Roman" w:cs="Times New Roman" w:eastAsia="Times New Roman" w:hAnsi="Times New Roman"/>
                  <w:sz w:val="18"/>
                  <w:szCs w:val="18"/>
                  <w:u w:val="single" w:color="auto"/>
                  <w:color w:val="0000EE"/>
                </w:rPr>
                <w:t>Form of Royalty Transfer Agreements</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5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Contribution Agreement by and between Cullinan Oncology, LLC and Cullinan Management, Inc.</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color w:val="0000EE"/>
              </w:rPr>
            </w:pPr>
            <w:hyperlink w:anchor="page798">
              <w:r>
                <w:rPr>
                  <w:rFonts w:ascii="Times New Roman" w:cs="Times New Roman" w:eastAsia="Times New Roman" w:hAnsi="Times New Roman"/>
                  <w:sz w:val="18"/>
                  <w:szCs w:val="18"/>
                  <w:u w:val="single" w:color="auto"/>
                  <w:color w:val="0000EE"/>
                </w:rPr>
                <w:t>Non-Employee Director Compensation Policy</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u w:val="single" w:color="auto"/>
                <w:color w:val="0000EE"/>
              </w:rPr>
            </w:pPr>
            <w:hyperlink w:anchor="page802">
              <w:r>
                <w:rPr>
                  <w:rFonts w:ascii="Times New Roman" w:cs="Times New Roman" w:eastAsia="Times New Roman" w:hAnsi="Times New Roman"/>
                  <w:sz w:val="18"/>
                  <w:szCs w:val="18"/>
                  <w:u w:val="single" w:color="auto"/>
                  <w:color w:val="0000EE"/>
                </w:rPr>
                <w:t>List of Subsidiaries of the Registrant.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10060" w:type="dxa"/>
            <w:vAlign w:val="bottom"/>
            <w:gridSpan w:val="5"/>
          </w:tcPr>
          <w:p>
            <w:pPr>
              <w:spacing w:after="0"/>
              <w:rPr>
                <w:rFonts w:ascii="Times New Roman" w:cs="Times New Roman" w:eastAsia="Times New Roman" w:hAnsi="Times New Roman"/>
                <w:sz w:val="18"/>
                <w:szCs w:val="18"/>
                <w:color w:val="0000EE"/>
              </w:rPr>
            </w:pPr>
            <w:hyperlink w:anchor="page801">
              <w:r>
                <w:rPr>
                  <w:rFonts w:ascii="Times New Roman" w:cs="Times New Roman" w:eastAsia="Times New Roman" w:hAnsi="Times New Roman"/>
                  <w:sz w:val="18"/>
                  <w:szCs w:val="18"/>
                  <w:u w:val="single" w:color="auto"/>
                  <w:color w:val="0000EE"/>
                </w:rPr>
                <w:t>Consent of KPMG LLP independent registered public accounting firm</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Consent of Goodwin Procter LLP (included in Exhibit 5.1).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40" w:hanging="1132"/>
        <w:spacing w:after="0"/>
        <w:tabs>
          <w:tab w:leader="none" w:pos="1140" w:val="left"/>
        </w:tabs>
        <w:numPr>
          <w:ilvl w:val="0"/>
          <w:numId w:val="138"/>
        </w:numPr>
        <w:rPr>
          <w:rFonts w:ascii="Times New Roman" w:cs="Times New Roman" w:eastAsia="Times New Roman" w:hAnsi="Times New Roman"/>
          <w:sz w:val="18"/>
          <w:szCs w:val="18"/>
          <w:u w:val="single" w:color="auto"/>
          <w:color w:val="0000EE"/>
        </w:rPr>
      </w:pPr>
      <w:hyperlink w:anchor="page305">
        <w:r>
          <w:rPr>
            <w:rFonts w:ascii="Times New Roman" w:cs="Times New Roman" w:eastAsia="Times New Roman" w:hAnsi="Times New Roman"/>
            <w:sz w:val="18"/>
            <w:szCs w:val="18"/>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460" w:hanging="452"/>
        <w:spacing w:after="0"/>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9" w:lineRule="exact"/>
        <w:rPr>
          <w:sz w:val="20"/>
          <w:szCs w:val="20"/>
          <w:color w:val="auto"/>
        </w:rPr>
      </w:pPr>
    </w:p>
    <w:p>
      <w:pPr>
        <w:ind w:left="460" w:hanging="452"/>
        <w:spacing w:after="0"/>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the rules of the Securities and Exchange Commission.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00"/>
          </w:cols>
          <w:pgMar w:left="320" w:top="455" w:right="37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sz w:val="20"/>
          <w:szCs w:val="20"/>
          <w:color w:val="auto"/>
        </w:rPr>
      </w:pPr>
    </w:p>
    <w:p>
      <w:pPr>
        <w:ind w:right="40" w:firstLine="457"/>
        <w:spacing w:after="0" w:line="266" w:lineRule="auto"/>
        <w:tabs>
          <w:tab w:leader="none" w:pos="69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ind w:right="20" w:firstLine="457"/>
        <w:spacing w:after="0" w:line="266" w:lineRule="auto"/>
        <w:tabs>
          <w:tab w:leader="none" w:pos="70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80"/>
          </w:cols>
          <w:pgMar w:left="320" w:top="455" w:right="39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Cambridge, Massachusetts on December 18, 2020.</w:t>
      </w:r>
    </w:p>
    <w:p>
      <w:pPr>
        <w:spacing w:after="0" w:line="1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Owen Hughes</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Owen Hughes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Owen Hughes and Jeffrey Trigilio his true and lawful attorney-in-fact and agent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any of them, or his or their substitute or substitutes, may lawfully do or cause to be done by virtue hereof.</w:t>
      </w:r>
    </w:p>
    <w:p>
      <w:pPr>
        <w:spacing w:after="0" w:line="188"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60" w:type="dxa"/>
            <w:vAlign w:val="bottom"/>
          </w:tcPr>
          <w:p>
            <w:pPr>
              <w:spacing w:after="0"/>
              <w:rPr>
                <w:sz w:val="15"/>
                <w:szCs w:val="15"/>
                <w:color w:val="auto"/>
              </w:rPr>
            </w:pPr>
          </w:p>
        </w:tc>
        <w:tc>
          <w:tcPr>
            <w:tcW w:w="8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Owen Hughes</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9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Owen Hughes</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Trigilio</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Jeffrey Trigilio</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Tim Anderson</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 Anderson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Thomas Ebeling</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Ebeling</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Ansbert Gadicke</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Ansbert Gadicke, M.D.</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Morana Jovan-Embiricos</w:t>
            </w: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Morana Jovan-Embiricos, Ph.D.</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0"/>
        </w:trPr>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5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II-6</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8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80" w:type="dxa"/>
            <w:vAlign w:val="bottom"/>
          </w:tcPr>
          <w:p>
            <w:pPr>
              <w:spacing w:after="0"/>
              <w:rPr>
                <w:sz w:val="15"/>
                <w:szCs w:val="15"/>
                <w:color w:val="auto"/>
              </w:rPr>
            </w:pPr>
          </w:p>
        </w:tc>
        <w:tc>
          <w:tcPr>
            <w:tcW w:w="8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Anthony Rosenberg</w:t>
            </w:r>
          </w:p>
        </w:tc>
        <w:tc>
          <w:tcPr>
            <w:tcW w:w="38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Anthony Rosenberg</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Stephen Webster</w:t>
            </w:r>
          </w:p>
        </w:tc>
        <w:tc>
          <w:tcPr>
            <w:tcW w:w="38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December 18, 2020</w:t>
            </w:r>
          </w:p>
        </w:tc>
      </w:tr>
      <w:tr>
        <w:trPr>
          <w:trHeight w:val="228"/>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Stephen Webster</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0"/>
        </w:trPr>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II-7</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920"/>
          </w:cols>
          <w:pgMar w:left="320" w:top="455" w:right="65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5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name of this corporation shall be: Cullinan Management, Inc.</w:t>
      </w:r>
    </w:p>
    <w:p>
      <w:pPr>
        <w:spacing w:after="0" w:line="25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Its registered office in the State of Delaware is to be located at:</w:t>
      </w:r>
    </w:p>
    <w:p>
      <w:pPr>
        <w:spacing w:after="0" w:line="225" w:lineRule="exact"/>
        <w:rPr>
          <w:sz w:val="20"/>
          <w:szCs w:val="20"/>
          <w:color w:val="auto"/>
        </w:rPr>
      </w:pPr>
    </w:p>
    <w:p>
      <w:pPr>
        <w:ind w:left="1200" w:right="800"/>
        <w:spacing w:after="0" w:line="282" w:lineRule="auto"/>
        <w:rPr>
          <w:sz w:val="20"/>
          <w:szCs w:val="20"/>
          <w:color w:val="auto"/>
        </w:rPr>
      </w:pPr>
      <w:r>
        <w:rPr>
          <w:rFonts w:ascii="Times New Roman" w:cs="Times New Roman" w:eastAsia="Times New Roman" w:hAnsi="Times New Roman"/>
          <w:sz w:val="18"/>
          <w:szCs w:val="18"/>
          <w:color w:val="auto"/>
        </w:rPr>
        <w:t>1209 Orange Street, in the City of Wilmington, County of New Castle, 19801, and its registered agent at such address is: The Corporation Trust Company.</w:t>
      </w:r>
    </w:p>
    <w:p>
      <w:pPr>
        <w:spacing w:after="0" w:line="18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purpose or purposes of the corporation shall be:</w:t>
      </w:r>
    </w:p>
    <w:p>
      <w:pPr>
        <w:spacing w:after="0" w:line="225" w:lineRule="exact"/>
        <w:rPr>
          <w:sz w:val="20"/>
          <w:szCs w:val="20"/>
          <w:color w:val="auto"/>
        </w:rPr>
      </w:pPr>
    </w:p>
    <w:p>
      <w:pPr>
        <w:ind w:left="1200" w:right="80"/>
        <w:spacing w:after="0" w:line="282" w:lineRule="auto"/>
        <w:rPr>
          <w:sz w:val="20"/>
          <w:szCs w:val="20"/>
          <w:color w:val="auto"/>
        </w:rPr>
      </w:pPr>
      <w:r>
        <w:rPr>
          <w:rFonts w:ascii="Times New Roman" w:cs="Times New Roman" w:eastAsia="Times New Roman" w:hAnsi="Times New Roman"/>
          <w:sz w:val="18"/>
          <w:szCs w:val="18"/>
          <w:color w:val="auto"/>
        </w:rPr>
        <w:t>To carry on any and all business and to engage in any lawful act or activity for which corporations may be organized under the General Corporation Law of Delaware.</w:t>
      </w:r>
    </w:p>
    <w:p>
      <w:pPr>
        <w:spacing w:after="0" w:line="18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total number of shares of stock which this corporation is authorized to issue is:</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One Hundred (100) shares of Common Stock, par value $0.0001 per share.</w:t>
      </w:r>
    </w:p>
    <w:p>
      <w:pPr>
        <w:spacing w:after="0" w:line="25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name and mailing address of the sole incorporator is as follows: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MAILING ADDRESS</w:t>
            </w:r>
          </w:p>
        </w:tc>
        <w:tc>
          <w:tcPr>
            <w:tcW w:w="220" w:type="dxa"/>
            <w:vAlign w:val="bottom"/>
          </w:tcPr>
          <w:p>
            <w:pPr>
              <w:spacing w:after="0"/>
              <w:rPr>
                <w:sz w:val="14"/>
                <w:szCs w:val="14"/>
                <w:color w:val="auto"/>
              </w:rPr>
            </w:pPr>
          </w:p>
        </w:tc>
      </w:tr>
      <w:tr>
        <w:trPr>
          <w:trHeight w:val="191"/>
        </w:trPr>
        <w:tc>
          <w:tcPr>
            <w:tcW w:w="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3"/>
              </w:rPr>
              <w:t>Ian K.</w:t>
            </w:r>
          </w:p>
        </w:tc>
        <w:tc>
          <w:tcPr>
            <w:tcW w:w="9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Peck</w:t>
            </w:r>
          </w:p>
        </w:tc>
        <w:tc>
          <w:tcPr>
            <w:tcW w:w="540" w:type="dxa"/>
            <w:vAlign w:val="bottom"/>
          </w:tcPr>
          <w:p>
            <w:pPr>
              <w:spacing w:after="0"/>
              <w:rPr>
                <w:sz w:val="16"/>
                <w:szCs w:val="16"/>
                <w:color w:val="auto"/>
              </w:rPr>
            </w:pPr>
          </w:p>
        </w:tc>
        <w:tc>
          <w:tcPr>
            <w:tcW w:w="1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100 Northern Avenue</w:t>
            </w:r>
          </w:p>
        </w:tc>
      </w:t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Boston, MA 02210</w:t>
            </w:r>
          </w:p>
        </w:tc>
      </w:tr>
    </w:tbl>
    <w:p>
      <w:pPr>
        <w:spacing w:after="0" w:line="238" w:lineRule="exact"/>
        <w:rPr>
          <w:sz w:val="20"/>
          <w:szCs w:val="20"/>
          <w:color w:val="auto"/>
        </w:rPr>
      </w:pPr>
    </w:p>
    <w:p>
      <w:pPr>
        <w:ind w:left="1200" w:right="280" w:hanging="1200"/>
        <w:spacing w:after="0" w:line="282" w:lineRule="auto"/>
        <w:tabs>
          <w:tab w:leader="none" w:pos="1180" w:val="left"/>
        </w:tabs>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furtherance and not in limitation of the powers conferred by the laws of the State of Delaware, the Board of Directors is expressly authorized to adopt, amend or repeal the by-laws of the corporation.</w:t>
      </w:r>
    </w:p>
    <w:p>
      <w:pPr>
        <w:spacing w:after="0" w:line="18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Elections of directors need not be by written ballot unless the by-laws of the corporation shall so provide.</w:t>
      </w:r>
    </w:p>
    <w:p>
      <w:pPr>
        <w:spacing w:after="0" w:line="252" w:lineRule="exact"/>
        <w:rPr>
          <w:sz w:val="20"/>
          <w:szCs w:val="20"/>
          <w:color w:val="auto"/>
        </w:rPr>
      </w:pPr>
    </w:p>
    <w:p>
      <w:pPr>
        <w:ind w:left="1200" w:right="140" w:hanging="1200"/>
        <w:spacing w:after="0" w:line="276" w:lineRule="auto"/>
        <w:tabs>
          <w:tab w:leader="none" w:pos="1180" w:val="left"/>
        </w:tabs>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spacing w:after="0" w:line="1" w:lineRule="exact"/>
        <w:rPr>
          <w:sz w:val="20"/>
          <w:szCs w:val="20"/>
          <w:color w:val="auto"/>
        </w:rPr>
      </w:pPr>
    </w:p>
    <w:p>
      <w:pPr>
        <w:ind w:left="1460" w:hanging="263"/>
        <w:spacing w:after="0"/>
        <w:tabs>
          <w:tab w:leader="none" w:pos="14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w:t>
      </w:r>
    </w:p>
    <w:p>
      <w:pPr>
        <w:spacing w:after="0" w:line="9" w:lineRule="exact"/>
        <w:rPr>
          <w:rFonts w:ascii="Times New Roman" w:cs="Times New Roman" w:eastAsia="Times New Roman" w:hAnsi="Times New Roman"/>
          <w:sz w:val="18"/>
          <w:szCs w:val="18"/>
          <w:color w:val="auto"/>
        </w:rPr>
      </w:pPr>
    </w:p>
    <w:p>
      <w:pPr>
        <w:ind w:left="1200"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174 of the Delaware General Corporation Law, or (iv) for any transaction from which the director derived any improper personal benefit. If the Delaware General Corporation Law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General Corporation Law of the State of Delaware. No amendment, modification or repeal of this Article EIGHTH shall adversely affect the rights and protection afforded to a director of the corporation under this Article EIGHTH for acts or omissions occurring prior to such amendment, modification or repeal.</w:t>
      </w:r>
    </w:p>
    <w:p>
      <w:pPr>
        <w:sectPr>
          <w:pgSz w:w="11900" w:h="16838" w:orient="portrait"/>
          <w:cols w:equalWidth="0" w:num="1">
            <w:col w:w="11020"/>
          </w:cols>
          <w:pgMar w:left="440" w:top="117" w:right="439" w:bottom="1440" w:gutter="0" w:footer="0" w:header="0"/>
        </w:sectPr>
      </w:pPr>
    </w:p>
    <w:bookmarkStart w:id="307" w:name="page308"/>
    <w:bookmarkEnd w:id="307"/>
    <w:p>
      <w:pPr>
        <w:ind w:left="1200" w:right="40" w:hanging="1200"/>
        <w:spacing w:after="0" w:line="258" w:lineRule="auto"/>
        <w:tabs>
          <w:tab w:leader="none" w:pos="118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NINTH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 Certificate of Incorporation, and to add or insert other provisions authorized by the laws of the State of Delaware at the time in force,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rights reserved in this Article NINTH.</w:t>
      </w:r>
    </w:p>
    <w:p>
      <w:pPr>
        <w:spacing w:after="0" w:line="210" w:lineRule="exact"/>
        <w:rPr>
          <w:sz w:val="20"/>
          <w:szCs w:val="20"/>
          <w:color w:val="auto"/>
        </w:rPr>
      </w:pPr>
    </w:p>
    <w:p>
      <w:pPr>
        <w:ind w:left="1200" w:hanging="1200"/>
        <w:spacing w:after="0" w:line="253" w:lineRule="auto"/>
        <w:tabs>
          <w:tab w:leader="none" w:pos="1180" w:val="left"/>
        </w:tabs>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08" w:name="page309"/>
    <w:bookmarkEnd w:id="30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being the incorporator hereinbefore named, has executed, signed, and acknowledged this Certificate of Incorporation this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2016.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Ian K.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Ian K. Peck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Certificate of Incorporation – Cullinan Management, Inc.]</w:t>
      </w:r>
    </w:p>
    <w:p>
      <w:pPr>
        <w:sectPr>
          <w:pgSz w:w="11900" w:h="16838" w:orient="portrait"/>
          <w:cols w:equalWidth="0" w:num="1">
            <w:col w:w="10860"/>
          </w:cols>
          <w:pgMar w:left="440" w:top="270" w:right="59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9" w:lineRule="exact"/>
        <w:rPr>
          <w:sz w:val="20"/>
          <w:szCs w:val="20"/>
          <w:color w:val="auto"/>
        </w:rPr>
      </w:pPr>
    </w:p>
    <w:p>
      <w:pPr>
        <w:ind w:left="760" w:hanging="324"/>
        <w:spacing w:after="0"/>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w:t>
      </w:r>
    </w:p>
    <w:p>
      <w:pPr>
        <w:spacing w:after="0" w:line="117" w:lineRule="exact"/>
        <w:rPr>
          <w:rFonts w:ascii="Times New Roman" w:cs="Times New Roman" w:eastAsia="Times New Roman" w:hAnsi="Times New Roman"/>
          <w:sz w:val="18"/>
          <w:szCs w:val="18"/>
          <w:color w:val="auto"/>
        </w:rPr>
      </w:pPr>
    </w:p>
    <w:p>
      <w:pPr>
        <w:ind w:right="40" w:firstLine="987"/>
        <w:spacing w:after="0" w:line="258" w:lineRule="auto"/>
        <w:tabs>
          <w:tab w:leader="none" w:pos="137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38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179" w:lineRule="exact"/>
        <w:rPr>
          <w:rFonts w:ascii="Times New Roman" w:cs="Times New Roman" w:eastAsia="Times New Roman" w:hAnsi="Times New Roman"/>
          <w:sz w:val="18"/>
          <w:szCs w:val="18"/>
          <w:color w:val="auto"/>
        </w:rPr>
      </w:pPr>
    </w:p>
    <w:p>
      <w:pPr>
        <w:ind w:right="100" w:firstLine="987"/>
        <w:spacing w:after="0" w:line="254" w:lineRule="auto"/>
        <w:tabs>
          <w:tab w:leader="none" w:pos="137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1020"/>
          </w:cols>
          <w:pgMar w:left="440" w:top="117" w:right="439" w:bottom="1440" w:gutter="0" w:footer="0" w:header="0"/>
        </w:sectPr>
      </w:pPr>
    </w:p>
    <w:bookmarkStart w:id="310" w:name="page311"/>
    <w:bookmarkEnd w:id="310"/>
    <w:p>
      <w:pPr>
        <w:ind w:left="4" w:firstLine="987"/>
        <w:spacing w:after="0" w:line="261" w:lineRule="auto"/>
        <w:tabs>
          <w:tab w:leader="none" w:pos="138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Quorum</w:t>
      </w:r>
      <w:r>
        <w:rPr>
          <w:rFonts w:ascii="Times New Roman" w:cs="Times New Roman" w:eastAsia="Times New Roman" w:hAnsi="Times New Roman"/>
          <w:sz w:val="18"/>
          <w:szCs w:val="18"/>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179"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37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188"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35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183"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38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179"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385"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w:t>
      </w:r>
    </w:p>
    <w:p>
      <w:pPr>
        <w:spacing w:after="0" w:line="4" w:lineRule="exact"/>
        <w:rPr>
          <w:rFonts w:ascii="Times New Roman" w:cs="Times New Roman" w:eastAsia="Times New Roman" w:hAnsi="Times New Roman"/>
          <w:sz w:val="17"/>
          <w:szCs w:val="17"/>
          <w:color w:val="auto"/>
        </w:rPr>
      </w:pPr>
    </w:p>
    <w:p>
      <w:pPr>
        <w:ind w:left="4" w:right="280" w:hanging="4"/>
        <w:spacing w:after="0" w:line="253" w:lineRule="auto"/>
        <w:tabs>
          <w:tab w:leader="none" w:pos="3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11" w:name="page312"/>
    <w:bookmarkEnd w:id="311"/>
    <w:p>
      <w:pPr>
        <w:ind w:firstLine="987"/>
        <w:spacing w:after="0" w:line="253" w:lineRule="auto"/>
        <w:tabs>
          <w:tab w:leader="none" w:pos="13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 without a Meeting</w:t>
      </w:r>
      <w:r>
        <w:rPr>
          <w:rFonts w:ascii="Times New Roman" w:cs="Times New Roman" w:eastAsia="Times New Roman" w:hAnsi="Times New Roman"/>
          <w:sz w:val="18"/>
          <w:szCs w:val="18"/>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194" w:lineRule="exact"/>
        <w:rPr>
          <w:rFonts w:ascii="Times New Roman" w:cs="Times New Roman" w:eastAsia="Times New Roman" w:hAnsi="Times New Roman"/>
          <w:sz w:val="18"/>
          <w:szCs w:val="18"/>
          <w:color w:val="auto"/>
        </w:rPr>
      </w:pPr>
    </w:p>
    <w:p>
      <w:pPr>
        <w:ind w:right="80" w:firstLine="987"/>
        <w:spacing w:after="0" w:line="256" w:lineRule="auto"/>
        <w:tabs>
          <w:tab w:leader="none" w:pos="13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1(j)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29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89" w:lineRule="auto"/>
        <w:tabs>
          <w:tab w:leader="none" w:pos="137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157" w:lineRule="exact"/>
        <w:rPr>
          <w:rFonts w:ascii="Times New Roman" w:cs="Times New Roman" w:eastAsia="Times New Roman" w:hAnsi="Times New Roman"/>
          <w:sz w:val="17"/>
          <w:szCs w:val="17"/>
          <w:color w:val="auto"/>
        </w:rPr>
      </w:pPr>
    </w:p>
    <w:p>
      <w:pPr>
        <w:jc w:val="both"/>
        <w:ind w:right="20" w:firstLine="987"/>
        <w:spacing w:after="0" w:line="312" w:lineRule="auto"/>
        <w:tabs>
          <w:tab w:leader="none" w:pos="138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12" w:name="page313"/>
    <w:bookmarkEnd w:id="312"/>
    <w:p>
      <w:pPr>
        <w:ind w:right="120" w:firstLine="987"/>
        <w:spacing w:after="0" w:line="266" w:lineRule="auto"/>
        <w:tabs>
          <w:tab w:leader="none" w:pos="13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Vacancies; Reduction of Board</w:t>
      </w:r>
      <w:r>
        <w:rPr>
          <w:rFonts w:ascii="Times New Roman" w:cs="Times New Roman" w:eastAsia="Times New Roman" w:hAnsi="Times New Roman"/>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38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179" w:lineRule="exact"/>
        <w:rPr>
          <w:rFonts w:ascii="Times New Roman" w:cs="Times New Roman" w:eastAsia="Times New Roman" w:hAnsi="Times New Roman"/>
          <w:sz w:val="18"/>
          <w:szCs w:val="18"/>
          <w:color w:val="auto"/>
        </w:rPr>
      </w:pPr>
    </w:p>
    <w:p>
      <w:pPr>
        <w:ind w:right="300" w:firstLine="987"/>
        <w:spacing w:after="0" w:line="282" w:lineRule="auto"/>
        <w:tabs>
          <w:tab w:leader="none" w:pos="13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161" w:lineRule="exact"/>
        <w:rPr>
          <w:rFonts w:ascii="Times New Roman" w:cs="Times New Roman" w:eastAsia="Times New Roman" w:hAnsi="Times New Roman"/>
          <w:sz w:val="18"/>
          <w:szCs w:val="18"/>
          <w:color w:val="auto"/>
        </w:rPr>
      </w:pPr>
    </w:p>
    <w:p>
      <w:pPr>
        <w:ind w:right="420" w:firstLine="987"/>
        <w:spacing w:after="0" w:line="256" w:lineRule="auto"/>
        <w:tabs>
          <w:tab w:leader="none" w:pos="135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38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38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then in office shall constitute a quorum for the transaction of business. A majority of the quorum present at the meeting may adjourn any meeting from time to time and the meeting may be held as adjourned without further notice.</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34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13" w:name="page314"/>
    <w:bookmarkEnd w:id="313"/>
    <w:p>
      <w:pPr>
        <w:ind w:right="200" w:firstLine="987"/>
        <w:spacing w:after="0" w:line="261" w:lineRule="auto"/>
        <w:tabs>
          <w:tab w:leader="none" w:pos="134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179" w:lineRule="exact"/>
        <w:rPr>
          <w:rFonts w:ascii="Times New Roman" w:cs="Times New Roman" w:eastAsia="Times New Roman" w:hAnsi="Times New Roman"/>
          <w:sz w:val="18"/>
          <w:szCs w:val="18"/>
          <w:color w:val="auto"/>
        </w:rPr>
      </w:pPr>
    </w:p>
    <w:p>
      <w:pPr>
        <w:ind w:right="80" w:firstLine="987"/>
        <w:spacing w:after="0" w:line="256" w:lineRule="auto"/>
        <w:tabs>
          <w:tab w:leader="none" w:pos="138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288" w:lineRule="exact"/>
        <w:rPr>
          <w:sz w:val="20"/>
          <w:szCs w:val="20"/>
          <w:color w:val="auto"/>
        </w:rPr>
      </w:pPr>
    </w:p>
    <w:p>
      <w:pPr>
        <w:ind w:left="760" w:hanging="324"/>
        <w:spacing w:after="0"/>
        <w:tabs>
          <w:tab w:leader="none" w:pos="7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37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14" w:name="page315"/>
    <w:bookmarkEnd w:id="314"/>
    <w:p>
      <w:pPr>
        <w:ind w:right="120" w:firstLine="987"/>
        <w:spacing w:after="0" w:line="282" w:lineRule="auto"/>
        <w:tabs>
          <w:tab w:leader="none" w:pos="138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Election</w:t>
      </w:r>
      <w:r>
        <w:rPr>
          <w:rFonts w:ascii="Times New Roman" w:cs="Times New Roman" w:eastAsia="Times New Roman" w:hAnsi="Times New Roman"/>
          <w:sz w:val="18"/>
          <w:szCs w:val="18"/>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37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175" w:lineRule="exact"/>
        <w:rPr>
          <w:rFonts w:ascii="Times New Roman" w:cs="Times New Roman" w:eastAsia="Times New Roman" w:hAnsi="Times New Roman"/>
          <w:sz w:val="18"/>
          <w:szCs w:val="18"/>
          <w:color w:val="auto"/>
        </w:rPr>
      </w:pPr>
    </w:p>
    <w:p>
      <w:pPr>
        <w:ind w:right="80" w:firstLine="987"/>
        <w:spacing w:after="0" w:line="258" w:lineRule="auto"/>
        <w:tabs>
          <w:tab w:leader="none" w:pos="138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183"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The Board of Directors may remove any officer with or without cause by a vote of a majority of the directors then in office.</w:t>
      </w:r>
    </w:p>
    <w:p>
      <w:pPr>
        <w:spacing w:after="0" w:line="236" w:lineRule="exact"/>
        <w:rPr>
          <w:rFonts w:ascii="Times New Roman" w:cs="Times New Roman" w:eastAsia="Times New Roman" w:hAnsi="Times New Roman"/>
          <w:sz w:val="17"/>
          <w:szCs w:val="17"/>
          <w:color w:val="auto"/>
        </w:rPr>
      </w:pPr>
    </w:p>
    <w:p>
      <w:pPr>
        <w:ind w:left="1340" w:hanging="353"/>
        <w:spacing w:after="0"/>
        <w:tabs>
          <w:tab w:leader="none" w:pos="1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38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Board and Vice Chairman</w:t>
      </w:r>
      <w:r>
        <w:rPr>
          <w:rFonts w:ascii="Times New Roman" w:cs="Times New Roman" w:eastAsia="Times New Roman" w:hAnsi="Times New Roman"/>
          <w:sz w:val="18"/>
          <w:szCs w:val="18"/>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176" w:lineRule="exact"/>
        <w:rPr>
          <w:sz w:val="20"/>
          <w:szCs w:val="20"/>
          <w:color w:val="auto"/>
        </w:rPr>
      </w:pPr>
    </w:p>
    <w:p>
      <w:pPr>
        <w:ind w:right="160" w:firstLine="987"/>
        <w:spacing w:after="0" w:line="282" w:lineRule="auto"/>
        <w:tabs>
          <w:tab w:leader="none" w:pos="138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34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Presidents</w:t>
      </w:r>
      <w:r>
        <w:rPr>
          <w:rFonts w:ascii="Times New Roman" w:cs="Times New Roman" w:eastAsia="Times New Roman" w:hAnsi="Times New Roman"/>
          <w:sz w:val="18"/>
          <w:szCs w:val="18"/>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15" w:name="page316"/>
    <w:bookmarkEnd w:id="315"/>
    <w:p>
      <w:pPr>
        <w:ind w:left="-40" w:right="80" w:firstLine="987"/>
        <w:spacing w:after="0" w:line="312" w:lineRule="auto"/>
        <w:tabs>
          <w:tab w:leader="none" w:pos="130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Vice Presidents and Assistant Vice Presidents</w:t>
      </w:r>
      <w:r>
        <w:rPr>
          <w:rFonts w:ascii="Times New Roman" w:cs="Times New Roman" w:eastAsia="Times New Roman" w:hAnsi="Times New Roman"/>
          <w:sz w:val="17"/>
          <w:szCs w:val="17"/>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139" w:lineRule="exact"/>
        <w:rPr>
          <w:rFonts w:ascii="Times New Roman" w:cs="Times New Roman" w:eastAsia="Times New Roman" w:hAnsi="Times New Roman"/>
          <w:sz w:val="17"/>
          <w:szCs w:val="17"/>
          <w:color w:val="auto"/>
        </w:rPr>
      </w:pPr>
    </w:p>
    <w:p>
      <w:pPr>
        <w:ind w:left="-40" w:right="60" w:firstLine="987"/>
        <w:spacing w:after="0" w:line="261" w:lineRule="auto"/>
        <w:tabs>
          <w:tab w:leader="none" w:pos="134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Any Assistant Treasurer shall have such powers and perform such duties as the Board of Directors may from time to time designate.</w:t>
      </w:r>
    </w:p>
    <w:p>
      <w:pPr>
        <w:spacing w:after="0" w:line="225" w:lineRule="exact"/>
        <w:rPr>
          <w:sz w:val="20"/>
          <w:szCs w:val="20"/>
          <w:color w:val="auto"/>
        </w:rPr>
      </w:pPr>
    </w:p>
    <w:p>
      <w:pPr>
        <w:ind w:left="-40" w:right="40" w:firstLine="987"/>
        <w:spacing w:after="0" w:line="258" w:lineRule="auto"/>
        <w:tabs>
          <w:tab w:leader="none" w:pos="130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Any Assistant Secretary shall have such powers and perform such duties as the Board of Directors may from time to time designate.</w:t>
      </w:r>
    </w:p>
    <w:p>
      <w:pPr>
        <w:spacing w:after="0" w:line="225" w:lineRule="exact"/>
        <w:rPr>
          <w:sz w:val="20"/>
          <w:szCs w:val="20"/>
          <w:color w:val="auto"/>
        </w:rPr>
      </w:pPr>
    </w:p>
    <w:p>
      <w:pPr>
        <w:ind w:left="-40" w:right="20" w:firstLine="987"/>
        <w:spacing w:after="0" w:line="266" w:lineRule="auto"/>
        <w:tabs>
          <w:tab w:leader="none" w:pos="139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283" w:lineRule="exact"/>
        <w:rPr>
          <w:rFonts w:ascii="Times New Roman" w:cs="Times New Roman" w:eastAsia="Times New Roman" w:hAnsi="Times New Roman"/>
          <w:sz w:val="18"/>
          <w:szCs w:val="18"/>
          <w:color w:val="auto"/>
        </w:rPr>
      </w:pPr>
    </w:p>
    <w:p>
      <w:pPr>
        <w:ind w:left="720" w:hanging="324"/>
        <w:spacing w:after="0"/>
        <w:tabs>
          <w:tab w:leader="none" w:pos="7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117" w:lineRule="exact"/>
        <w:rPr>
          <w:rFonts w:ascii="Times New Roman" w:cs="Times New Roman" w:eastAsia="Times New Roman" w:hAnsi="Times New Roman"/>
          <w:sz w:val="18"/>
          <w:szCs w:val="18"/>
          <w:color w:val="auto"/>
        </w:rPr>
      </w:pPr>
    </w:p>
    <w:p>
      <w:pPr>
        <w:ind w:left="-40" w:firstLine="987"/>
        <w:spacing w:after="0" w:line="254" w:lineRule="auto"/>
        <w:tabs>
          <w:tab w:leader="none" w:pos="1331"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70" w:right="479" w:bottom="1440" w:gutter="0" w:footer="0" w:header="0"/>
        </w:sectPr>
      </w:pPr>
    </w:p>
    <w:bookmarkStart w:id="316" w:name="page317"/>
    <w:bookmarkEnd w:id="316"/>
    <w:p>
      <w:pPr>
        <w:ind w:firstLine="987"/>
        <w:spacing w:after="0" w:line="261" w:lineRule="auto"/>
        <w:tabs>
          <w:tab w:leader="none" w:pos="138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w:t>
      </w:r>
      <w:r>
        <w:rPr>
          <w:rFonts w:ascii="Times New Roman" w:cs="Times New Roman" w:eastAsia="Times New Roman" w:hAnsi="Times New Roman"/>
          <w:sz w:val="18"/>
          <w:szCs w:val="18"/>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3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shall be the duty of each stockholder to notify the Corporation of such stockholder’s post office address.</w:t>
      </w:r>
    </w:p>
    <w:p>
      <w:pPr>
        <w:spacing w:after="0" w:line="225" w:lineRule="exact"/>
        <w:rPr>
          <w:sz w:val="20"/>
          <w:szCs w:val="20"/>
          <w:color w:val="auto"/>
        </w:rPr>
      </w:pPr>
    </w:p>
    <w:p>
      <w:pPr>
        <w:ind w:right="40" w:firstLine="987"/>
        <w:spacing w:after="0" w:line="254" w:lineRule="auto"/>
        <w:tabs>
          <w:tab w:leader="none" w:pos="138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192" w:lineRule="exact"/>
        <w:rPr>
          <w:sz w:val="20"/>
          <w:szCs w:val="20"/>
          <w:color w:val="auto"/>
        </w:rPr>
      </w:pPr>
    </w:p>
    <w:p>
      <w:pPr>
        <w:jc w:val="both"/>
        <w:ind w:firstLine="987"/>
        <w:spacing w:after="0" w:line="261" w:lineRule="auto"/>
        <w:tabs>
          <w:tab w:leader="none" w:pos="137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17" w:name="page318"/>
    <w:bookmarkEnd w:id="317"/>
    <w:p>
      <w:pPr>
        <w:ind w:left="324" w:hanging="324"/>
        <w:spacing w:after="0"/>
        <w:tabs>
          <w:tab w:leader="none" w:pos="3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w:t>
      </w:r>
    </w:p>
    <w:p>
      <w:pPr>
        <w:spacing w:after="0" w:line="117" w:lineRule="exact"/>
        <w:rPr>
          <w:rFonts w:ascii="Times New Roman" w:cs="Times New Roman" w:eastAsia="Times New Roman" w:hAnsi="Times New Roman"/>
          <w:sz w:val="18"/>
          <w:szCs w:val="18"/>
          <w:color w:val="auto"/>
        </w:rPr>
      </w:pPr>
    </w:p>
    <w:p>
      <w:pPr>
        <w:ind w:left="924" w:hanging="373"/>
        <w:spacing w:after="0"/>
        <w:tabs>
          <w:tab w:leader="none" w:pos="92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5:</w:t>
      </w:r>
    </w:p>
    <w:p>
      <w:pPr>
        <w:spacing w:after="0" w:line="117" w:lineRule="exact"/>
        <w:rPr>
          <w:rFonts w:ascii="Times New Roman" w:cs="Times New Roman" w:eastAsia="Times New Roman" w:hAnsi="Times New Roman"/>
          <w:sz w:val="18"/>
          <w:szCs w:val="18"/>
          <w:color w:val="auto"/>
        </w:rPr>
      </w:pPr>
    </w:p>
    <w:p>
      <w:pPr>
        <w:ind w:left="4" w:firstLine="948"/>
        <w:spacing w:after="0" w:line="254" w:lineRule="auto"/>
        <w:tabs>
          <w:tab w:leader="none" w:pos="1305"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Section 5(a)(i),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0" w:lineRule="exact"/>
        <w:rPr>
          <w:rFonts w:ascii="Times New Roman" w:cs="Times New Roman" w:eastAsia="Times New Roman" w:hAnsi="Times New Roman"/>
          <w:sz w:val="18"/>
          <w:szCs w:val="18"/>
          <w:color w:val="auto"/>
        </w:rPr>
      </w:pPr>
    </w:p>
    <w:p>
      <w:pPr>
        <w:ind w:left="1344" w:hanging="392"/>
        <w:spacing w:after="0"/>
        <w:tabs>
          <w:tab w:leader="none" w:pos="1344"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98" w:lineRule="exact"/>
        <w:rPr>
          <w:rFonts w:ascii="Times New Roman" w:cs="Times New Roman" w:eastAsia="Times New Roman" w:hAnsi="Times New Roman"/>
          <w:sz w:val="18"/>
          <w:szCs w:val="18"/>
          <w:color w:val="auto"/>
        </w:rPr>
      </w:pPr>
    </w:p>
    <w:p>
      <w:pPr>
        <w:ind w:left="4" w:right="280" w:firstLine="948"/>
        <w:spacing w:after="0" w:line="282" w:lineRule="auto"/>
        <w:tabs>
          <w:tab w:leader="none" w:pos="1405"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53" w:lineRule="exact"/>
        <w:rPr>
          <w:rFonts w:ascii="Times New Roman" w:cs="Times New Roman" w:eastAsia="Times New Roman" w:hAnsi="Times New Roman"/>
          <w:sz w:val="18"/>
          <w:szCs w:val="18"/>
          <w:color w:val="auto"/>
        </w:rPr>
      </w:pPr>
    </w:p>
    <w:p>
      <w:pPr>
        <w:ind w:left="4" w:right="280" w:firstLine="948"/>
        <w:spacing w:after="0" w:line="256" w:lineRule="auto"/>
        <w:tabs>
          <w:tab w:leader="none" w:pos="1395"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79" w:lineRule="exact"/>
        <w:rPr>
          <w:rFonts w:ascii="Times New Roman" w:cs="Times New Roman" w:eastAsia="Times New Roman" w:hAnsi="Times New Roman"/>
          <w:sz w:val="18"/>
          <w:szCs w:val="18"/>
          <w:color w:val="auto"/>
        </w:rPr>
      </w:pPr>
    </w:p>
    <w:p>
      <w:pPr>
        <w:ind w:left="1344" w:hanging="392"/>
        <w:spacing w:after="0"/>
        <w:tabs>
          <w:tab w:leader="none" w:pos="1344"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117" w:lineRule="exact"/>
        <w:rPr>
          <w:rFonts w:ascii="Times New Roman" w:cs="Times New Roman" w:eastAsia="Times New Roman" w:hAnsi="Times New Roman"/>
          <w:sz w:val="18"/>
          <w:szCs w:val="18"/>
          <w:color w:val="auto"/>
        </w:rPr>
      </w:pPr>
    </w:p>
    <w:p>
      <w:pPr>
        <w:ind w:left="4" w:right="160" w:firstLine="948"/>
        <w:spacing w:after="0" w:line="282" w:lineRule="auto"/>
        <w:tabs>
          <w:tab w:leader="none" w:pos="1395"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4"/>
          </w:cols>
          <w:pgMar w:left="876" w:top="270" w:right="479" w:bottom="1440" w:gutter="0" w:footer="0" w:header="0"/>
        </w:sectPr>
      </w:pPr>
    </w:p>
    <w:bookmarkStart w:id="318" w:name="page319"/>
    <w:bookmarkEnd w:id="318"/>
    <w:p>
      <w:pPr>
        <w:ind w:left="420" w:right="40" w:firstLine="948"/>
        <w:spacing w:after="0" w:line="282" w:lineRule="auto"/>
        <w:tabs>
          <w:tab w:leader="none" w:pos="186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 means any person who serves or has served the Corporation as an officer of the Corporation appointed by the Board of Directors of the Corporation;</w:t>
      </w:r>
    </w:p>
    <w:p>
      <w:pPr>
        <w:spacing w:after="0" w:line="53" w:lineRule="exact"/>
        <w:rPr>
          <w:rFonts w:ascii="Times New Roman" w:cs="Times New Roman" w:eastAsia="Times New Roman" w:hAnsi="Times New Roman"/>
          <w:sz w:val="18"/>
          <w:szCs w:val="18"/>
          <w:color w:val="auto"/>
        </w:rPr>
      </w:pPr>
    </w:p>
    <w:p>
      <w:pPr>
        <w:ind w:left="420" w:right="200" w:firstLine="948"/>
        <w:spacing w:after="0" w:line="312" w:lineRule="auto"/>
        <w:tabs>
          <w:tab w:leader="none" w:pos="1911"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31" w:lineRule="exact"/>
        <w:rPr>
          <w:rFonts w:ascii="Times New Roman" w:cs="Times New Roman" w:eastAsia="Times New Roman" w:hAnsi="Times New Roman"/>
          <w:sz w:val="17"/>
          <w:szCs w:val="17"/>
          <w:color w:val="auto"/>
        </w:rPr>
      </w:pPr>
    </w:p>
    <w:p>
      <w:pPr>
        <w:ind w:left="420" w:firstLine="948"/>
        <w:spacing w:after="0" w:line="258" w:lineRule="auto"/>
        <w:tabs>
          <w:tab w:leader="none" w:pos="181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183" w:lineRule="exact"/>
        <w:rPr>
          <w:rFonts w:ascii="Times New Roman" w:cs="Times New Roman" w:eastAsia="Times New Roman" w:hAnsi="Times New Roman"/>
          <w:sz w:val="18"/>
          <w:szCs w:val="18"/>
          <w:color w:val="auto"/>
        </w:rPr>
      </w:pPr>
    </w:p>
    <w:p>
      <w:pPr>
        <w:ind w:left="-20" w:firstLine="987"/>
        <w:spacing w:after="0" w:line="261" w:lineRule="auto"/>
        <w:tabs>
          <w:tab w:leader="none" w:pos="13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 Subject to the operation of Section 5(d)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subsections (i) through (iv) of this Section 5(b).</w:t>
      </w:r>
    </w:p>
    <w:p>
      <w:pPr>
        <w:spacing w:after="0" w:line="71" w:lineRule="exact"/>
        <w:rPr>
          <w:rFonts w:ascii="Times New Roman" w:cs="Times New Roman" w:eastAsia="Times New Roman" w:hAnsi="Times New Roman"/>
          <w:sz w:val="18"/>
          <w:szCs w:val="18"/>
          <w:color w:val="auto"/>
        </w:rPr>
      </w:pPr>
    </w:p>
    <w:p>
      <w:pPr>
        <w:ind w:left="420" w:firstLine="948"/>
        <w:spacing w:after="0" w:line="255" w:lineRule="auto"/>
        <w:tabs>
          <w:tab w:leader="none" w:pos="172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420" w:right="20" w:firstLine="948"/>
        <w:spacing w:after="0" w:line="253" w:lineRule="auto"/>
        <w:tabs>
          <w:tab w:leader="none" w:pos="177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5(b)(ii) in respect of any claim, issue or matter as to which such Director or Officer shall have been finally adjudged (with no right to any further appeal)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319" w:name="page320"/>
    <w:bookmarkEnd w:id="319"/>
    <w:p>
      <w:pPr>
        <w:ind w:left="400" w:right="140" w:firstLine="948"/>
        <w:spacing w:after="0" w:line="266" w:lineRule="auto"/>
        <w:tabs>
          <w:tab w:leader="none" w:pos="180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 of Rights</w:t>
      </w:r>
      <w:r>
        <w:rPr>
          <w:rFonts w:ascii="Times New Roman" w:cs="Times New Roman" w:eastAsia="Times New Roman" w:hAnsi="Times New Roman"/>
          <w:sz w:val="18"/>
          <w:szCs w:val="18"/>
          <w:color w:val="auto"/>
        </w:rPr>
        <w:t>. The rights of indemnification provided by this Section 5(b) shall continue as to a Director or Officer after he or she has ceased to be a Director or Officer and shall inure to the benefit of his or her heirs, executors, administrators and personal representatives.</w:t>
      </w:r>
    </w:p>
    <w:p>
      <w:pPr>
        <w:spacing w:after="0" w:line="67" w:lineRule="exact"/>
        <w:rPr>
          <w:rFonts w:ascii="Times New Roman" w:cs="Times New Roman" w:eastAsia="Times New Roman" w:hAnsi="Times New Roman"/>
          <w:sz w:val="18"/>
          <w:szCs w:val="18"/>
          <w:color w:val="auto"/>
        </w:rPr>
      </w:pPr>
    </w:p>
    <w:p>
      <w:pPr>
        <w:ind w:left="400" w:firstLine="948"/>
        <w:spacing w:after="0" w:line="258" w:lineRule="auto"/>
        <w:tabs>
          <w:tab w:leader="none" w:pos="179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rFonts w:ascii="Times New Roman" w:cs="Times New Roman" w:eastAsia="Times New Roman" w:hAnsi="Times New Roman"/>
          <w:sz w:val="18"/>
          <w:szCs w:val="18"/>
          <w:color w:val="auto"/>
        </w:rPr>
      </w:pPr>
    </w:p>
    <w:p>
      <w:pPr>
        <w:ind w:left="-40" w:right="40" w:firstLine="987"/>
        <w:spacing w:after="0" w:line="253" w:lineRule="auto"/>
        <w:tabs>
          <w:tab w:leader="none" w:pos="133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5(d)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91"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34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a majority of the outstanding stockholders of the Corporation.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80" w:top="270" w:right="479" w:bottom="1440" w:gutter="0" w:footer="0" w:header="0"/>
        </w:sectPr>
      </w:pPr>
    </w:p>
    <w:bookmarkStart w:id="320" w:name="page321"/>
    <w:bookmarkEnd w:id="320"/>
    <w:p>
      <w:pPr>
        <w:ind w:left="920" w:hanging="373"/>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Advancement of Expenses to Directors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48"/>
        <w:spacing w:after="0" w:line="254" w:lineRule="auto"/>
        <w:tabs>
          <w:tab w:leader="none" w:pos="129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80" w:lineRule="exact"/>
        <w:rPr>
          <w:rFonts w:ascii="Times New Roman" w:cs="Times New Roman" w:eastAsia="Times New Roman" w:hAnsi="Times New Roman"/>
          <w:sz w:val="18"/>
          <w:szCs w:val="18"/>
          <w:color w:val="auto"/>
        </w:rPr>
      </w:pPr>
    </w:p>
    <w:p>
      <w:pPr>
        <w:ind w:right="20" w:firstLine="948"/>
        <w:spacing w:after="0" w:line="254" w:lineRule="auto"/>
        <w:tabs>
          <w:tab w:leader="none" w:pos="13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all the expenses incurred in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3" w:lineRule="exact"/>
        <w:rPr>
          <w:rFonts w:ascii="Times New Roman" w:cs="Times New Roman" w:eastAsia="Times New Roman" w:hAnsi="Times New Roman"/>
          <w:sz w:val="18"/>
          <w:szCs w:val="18"/>
          <w:color w:val="auto"/>
        </w:rPr>
      </w:pPr>
    </w:p>
    <w:p>
      <w:pPr>
        <w:ind w:right="340" w:firstLine="948"/>
        <w:spacing w:after="0" w:line="266" w:lineRule="auto"/>
        <w:tabs>
          <w:tab w:leader="none" w:pos="140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283" w:lineRule="exact"/>
        <w:rPr>
          <w:rFonts w:ascii="Times New Roman" w:cs="Times New Roman" w:eastAsia="Times New Roman" w:hAnsi="Times New Roman"/>
          <w:sz w:val="18"/>
          <w:szCs w:val="18"/>
          <w:color w:val="auto"/>
        </w:rPr>
      </w:pPr>
    </w:p>
    <w:p>
      <w:pPr>
        <w:ind w:left="900" w:hanging="353"/>
        <w:spacing w:after="0"/>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to Officers and Non-Officer Employees Prior to Final Disposition.</w:t>
      </w:r>
    </w:p>
    <w:p>
      <w:pPr>
        <w:spacing w:after="0" w:line="117" w:lineRule="exact"/>
        <w:rPr>
          <w:rFonts w:ascii="Times New Roman" w:cs="Times New Roman" w:eastAsia="Times New Roman" w:hAnsi="Times New Roman"/>
          <w:sz w:val="18"/>
          <w:szCs w:val="18"/>
          <w:color w:val="auto"/>
        </w:rPr>
      </w:pPr>
    </w:p>
    <w:p>
      <w:pPr>
        <w:ind w:firstLine="948"/>
        <w:spacing w:after="0" w:line="255" w:lineRule="auto"/>
        <w:tabs>
          <w:tab w:leader="none" w:pos="129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321" w:name="page322"/>
    <w:bookmarkEnd w:id="321"/>
    <w:p>
      <w:pPr>
        <w:ind w:right="360" w:firstLine="948"/>
        <w:spacing w:after="0" w:line="266" w:lineRule="auto"/>
        <w:tabs>
          <w:tab w:leader="none" w:pos="135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283" w:lineRule="exact"/>
        <w:rPr>
          <w:rFonts w:ascii="Times New Roman" w:cs="Times New Roman" w:eastAsia="Times New Roman" w:hAnsi="Times New Roman"/>
          <w:sz w:val="18"/>
          <w:szCs w:val="18"/>
          <w:color w:val="auto"/>
        </w:rPr>
      </w:pPr>
    </w:p>
    <w:p>
      <w:pPr>
        <w:ind w:left="940" w:hanging="393"/>
        <w:spacing w:after="0"/>
        <w:tabs>
          <w:tab w:leader="none" w:pos="9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48"/>
        <w:spacing w:after="0" w:line="253" w:lineRule="auto"/>
        <w:tabs>
          <w:tab w:leader="none" w:pos="129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5 shall be deemed to be a contract between the Corporation and each Director and Officer entitled to the benefits hereof at any time while this Section 5 is in effect, in consideration of such person’s past or current and any future performance of services for the Corporation. Neither amendment, repeal or modification of any provision of this Section 5 nor the adoption of any provision of the Certificate of Incorporation inconsistent with this Section 5 shall eliminate or reduce any right conferred by this Section 5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Section 5 shall continue notwithstanding that the person has ceased to be a director or officer of the Corporation and shall inure to the benefit of the estate, heirs, executors, administrators, legatees and distributees of such person.</w:t>
      </w:r>
    </w:p>
    <w:p>
      <w:pPr>
        <w:spacing w:after="0" w:line="84" w:lineRule="exact"/>
        <w:rPr>
          <w:sz w:val="20"/>
          <w:szCs w:val="20"/>
          <w:color w:val="auto"/>
        </w:rPr>
      </w:pPr>
    </w:p>
    <w:p>
      <w:pPr>
        <w:ind w:right="200" w:firstLine="948"/>
        <w:spacing w:after="0" w:line="254" w:lineRule="auto"/>
        <w:tabs>
          <w:tab w:leader="none" w:pos="13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all the expenses incurred in prosecuting such claim. The failure of the Corporation (including its Board of Directors or any committee thereof, independent legal counsel, or stockholders) to make a determination concerning the permissibility of such indemnification under this Section 5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22" w:name="page323"/>
    <w:bookmarkEnd w:id="322"/>
    <w:p>
      <w:pPr>
        <w:ind w:left="440" w:right="360" w:firstLine="948"/>
        <w:spacing w:after="0" w:line="282" w:lineRule="auto"/>
        <w:tabs>
          <w:tab w:leader="none" w:pos="1842"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suit brought by a Director or Officer to enforce a right to indemnification hereunder, it shall be a defense that such Director or Officer has not met any applicable standard for indemnification set forth in the DGCL.</w:t>
      </w:r>
    </w:p>
    <w:p>
      <w:pPr>
        <w:spacing w:after="0" w:line="161" w:lineRule="exact"/>
        <w:rPr>
          <w:rFonts w:ascii="Times New Roman" w:cs="Times New Roman" w:eastAsia="Times New Roman" w:hAnsi="Times New Roman"/>
          <w:sz w:val="18"/>
          <w:szCs w:val="18"/>
          <w:color w:val="auto"/>
        </w:rPr>
      </w:pPr>
    </w:p>
    <w:p>
      <w:pPr>
        <w:ind w:right="280" w:firstLine="987"/>
        <w:spacing w:after="0" w:line="266" w:lineRule="auto"/>
        <w:tabs>
          <w:tab w:leader="none" w:pos="138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advancement of Expenses set forth in this Section 5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34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Section 5.</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34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Section 5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Section 5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subordinated to, the indemnification or advancement of Expenses available from the applicable Primary Indemnitor(s) and any applicable insurance policies.</w:t>
      </w:r>
    </w:p>
    <w:p>
      <w:pPr>
        <w:spacing w:after="0" w:line="29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Provisions</w:t>
      </w:r>
    </w:p>
    <w:p>
      <w:pPr>
        <w:spacing w:after="0" w:line="117"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Except as otherwise determined by the Board of Directors, the fiscal year of the Corporation shall end on December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each year.</w:t>
      </w:r>
    </w:p>
    <w:p>
      <w:pPr>
        <w:spacing w:after="0" w:line="206"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37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70" w:right="539" w:bottom="1440" w:gutter="0" w:footer="0" w:header="0"/>
        </w:sectPr>
      </w:pPr>
    </w:p>
    <w:bookmarkStart w:id="323" w:name="page324"/>
    <w:bookmarkEnd w:id="323"/>
    <w:p>
      <w:pPr>
        <w:ind w:right="140" w:firstLine="987"/>
        <w:spacing w:after="0" w:line="261" w:lineRule="auto"/>
        <w:tabs>
          <w:tab w:leader="none" w:pos="138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of Securities</w:t>
      </w:r>
      <w:r>
        <w:rPr>
          <w:rFonts w:ascii="Times New Roman" w:cs="Times New Roman" w:eastAsia="Times New Roman" w:hAnsi="Times New Roman"/>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79" w:lineRule="exact"/>
        <w:rPr>
          <w:rFonts w:ascii="Times New Roman" w:cs="Times New Roman" w:eastAsia="Times New Roman" w:hAnsi="Times New Roman"/>
          <w:sz w:val="18"/>
          <w:szCs w:val="18"/>
          <w:color w:val="auto"/>
        </w:rPr>
      </w:pPr>
    </w:p>
    <w:p>
      <w:pPr>
        <w:ind w:right="460" w:firstLine="987"/>
        <w:spacing w:after="0" w:line="282" w:lineRule="auto"/>
        <w:tabs>
          <w:tab w:leader="none" w:pos="137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35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179" w:lineRule="exact"/>
        <w:rPr>
          <w:rFonts w:ascii="Times New Roman" w:cs="Times New Roman" w:eastAsia="Times New Roman" w:hAnsi="Times New Roman"/>
          <w:sz w:val="18"/>
          <w:szCs w:val="18"/>
          <w:color w:val="auto"/>
        </w:rPr>
      </w:pPr>
    </w:p>
    <w:p>
      <w:pPr>
        <w:ind w:right="560" w:firstLine="987"/>
        <w:spacing w:after="0" w:line="282" w:lineRule="auto"/>
        <w:tabs>
          <w:tab w:leader="none" w:pos="138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All references in these By-laws to the Certificate of Incorporation shall be deemed to refer to the Certificate of Incorporation of the Corporation, as amended and in effect from time to time.</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38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34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September 15, 2016</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LIMITED LIABILITY COMPANY AGREEMENT OF</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Dated as of December 16, 2020</w:t>
      </w:r>
    </w:p>
    <w:p>
      <w:pPr>
        <w:sectPr>
          <w:pgSz w:w="11900" w:h="16838" w:orient="portrait"/>
          <w:cols w:equalWidth="0" w:num="1">
            <w:col w:w="10120"/>
          </w:cols>
          <w:pgMar w:left="1440" w:top="117" w:right="3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880" w:type="dxa"/>
            <w:vAlign w:val="bottom"/>
            <w:gridSpan w:val="3"/>
          </w:tcPr>
          <w:p>
            <w:pPr>
              <w:ind w:left="3820"/>
              <w:spacing w:after="0"/>
              <w:rPr>
                <w:sz w:val="20"/>
                <w:szCs w:val="20"/>
                <w:color w:val="auto"/>
              </w:rPr>
            </w:pPr>
            <w:r>
              <w:rPr>
                <w:rFonts w:ascii="Times New Roman" w:cs="Times New Roman" w:eastAsia="Times New Roman" w:hAnsi="Times New Roman"/>
                <w:sz w:val="18"/>
                <w:szCs w:val="18"/>
                <w:color w:val="auto"/>
              </w:rPr>
              <w:t>TABLE OF CONTENTS</w:t>
            </w:r>
          </w:p>
        </w:tc>
        <w:tc>
          <w:tcPr>
            <w:tcW w:w="2400" w:type="dxa"/>
            <w:vAlign w:val="bottom"/>
          </w:tcPr>
          <w:p>
            <w:pPr>
              <w:spacing w:after="0"/>
              <w:rPr>
                <w:sz w:val="17"/>
                <w:szCs w:val="17"/>
                <w:color w:val="auto"/>
              </w:rPr>
            </w:pPr>
          </w:p>
        </w:tc>
      </w:tr>
      <w:tr>
        <w:trPr>
          <w:trHeight w:val="47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ORGANIZATION AND POWERS</w:t>
            </w:r>
          </w:p>
        </w:tc>
        <w:tc>
          <w:tcPr>
            <w:tcW w:w="18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Organization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Purpose and 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Place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Qualification in Other Jurisdictions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MEMBERS; CAPITAL STRUCTURE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Compliance with Securities Laws and Other Laws and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Meetings of the 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Voting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Limitation of Liability of 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 Right to Withdraw</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Rights to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Adjustments for Dilutive Issues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Adjustment for Splits and Combinations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 as to Adjustments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“Bad Actor” Voting Restrictions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Notification of a Bad Actor Disqualification Event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BOARD OF DIRECTORS; CERTAIN GOVERNANCE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Composition of the 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Powers and Duties of the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Actions Requiring Member Consent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Committees of the 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Board Voting Rights; Meetings; Quorum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Actions of the Board of Directors and 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Reimbursement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Transaction with Interested Persons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Limitation of Liability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Enumeration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Election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4.03</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Tenure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257" w:right="3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4.05</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4.06</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Vacancies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4.07</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4.08</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4.09</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Treasurer and Chief Financial Officer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4.10</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Secretary and Assistant Secretaries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Powers and Duties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4.12</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of Officers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5.01</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to Indemnification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Primary Indemnification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5.03</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 of Indemnification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Successful Defense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5.05</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5.07</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5.08</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 Indemnification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5.09</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Non-Exclusivity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5.10</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Survival</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CAPITAL CONTRIBUTIONS AND DISTRIBUTIONS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Capital Contributions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6.02</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Accounts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ALLOCATIONS OF INCOME,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7.01</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Allocations Generally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Allocations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7.03</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Allocations, Tax Elections and Partnership Representative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DISTRIBUTIONS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8.01</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Generally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8.02</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Distributions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8.03</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Distributions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8.04</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In-Kind Distributions; Distributions of Subsidiaries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8.05</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TAX MATTERS AND REPORTS; ACCOUNTING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9.01</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Reports to Current and Former Members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9.02</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Records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9.03</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Accounting Method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9.04</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Effectively-Connected Income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9.05</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UBTI</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9.06</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RESTRICTIONS ON TRANSFER; RIGHT OF FIRST REFUSAL; RIGHT OF CO-SALE; DRAG-ALONG RIGHTS; AND</w:t>
            </w:r>
          </w:p>
        </w:tc>
        <w:tc>
          <w:tcPr>
            <w:tcW w:w="660" w:type="dxa"/>
            <w:vAlign w:val="bottom"/>
          </w:tcPr>
          <w:p>
            <w:pPr>
              <w:spacing w:after="0"/>
              <w:rPr>
                <w:sz w:val="18"/>
                <w:szCs w:val="18"/>
                <w:color w:val="auto"/>
              </w:rPr>
            </w:pPr>
          </w:p>
        </w:tc>
      </w:tr>
      <w:tr>
        <w:trPr>
          <w:trHeight w:val="234"/>
        </w:trPr>
        <w:tc>
          <w:tcPr>
            <w:tcW w:w="10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PRE-EMPTIVE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Date and Requirements of Transfer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10.03</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First Refusal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10.04</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Co-Sale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10.05</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Failure to Comply with Right of First Refusal and Right of Co-Sale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10.06</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Drag-Along Right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10.07</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Preemptive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10.08</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Substitution of Members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10.09</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to Corporation and Registration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10.10</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Lock-Up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DISSOLUTION, LIQUIDATION, AND TERMINATION; INCORPORATION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Dissolution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Liquidating Distributions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11.03</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 of Sale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11.04</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Orderly Winding Up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Defined Elsewhere in the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GENERAL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Offset and Withholding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13.04</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or Modification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13.06</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Severability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13.07</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Certain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13.08</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60"/>
          </w:cols>
          <w:pgMar w:left="320" w:top="270" w:right="419" w:bottom="1440" w:gutter="0" w:footer="0" w:header="0"/>
        </w:sectPr>
      </w:pPr>
    </w:p>
    <w:bookmarkStart w:id="328" w:name="page329"/>
    <w:bookmarkEnd w:id="3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20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This Third Amended and Restated Limited Liability Company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of Cullinan Oncology, LLC, a Delaware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is made as of December 16, 2020, by and among the Persons identified as the Members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and such other Persons who may, or have, become Members from time to time under the terms of this Agreement. Certain capitalized terms used in this Agreement are defined in Section 12.02 below.</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has been formed as a limited liability company under the Delaware Limited Liability Company Act (as amended from time to time,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on September 15, 2016, by the filing of a Certificate of Formation, as amended, with the office of the Secretary of State of the State of Delaware.</w:t>
      </w:r>
    </w:p>
    <w:p>
      <w:pPr>
        <w:spacing w:after="0" w:line="172"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WHEREAS, the initial Members of the Company entered into a Limited Liability Company Agreement dated as of October 17, 2016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the Members of the Company and the Company entered into the Amended and Restated Limited Liability Company Agreement, dated as of April 28, 2017 (as amended, the “</w:t>
      </w:r>
      <w:r>
        <w:rPr>
          <w:rFonts w:ascii="Times New Roman" w:cs="Times New Roman" w:eastAsia="Times New Roman" w:hAnsi="Times New Roman"/>
          <w:sz w:val="18"/>
          <w:szCs w:val="18"/>
          <w:b w:val="1"/>
          <w:bCs w:val="1"/>
          <w:color w:val="auto"/>
        </w:rPr>
        <w:t>A&amp;R Agreement</w:t>
      </w:r>
      <w:r>
        <w:rPr>
          <w:rFonts w:ascii="Times New Roman" w:cs="Times New Roman" w:eastAsia="Times New Roman" w:hAnsi="Times New Roman"/>
          <w:sz w:val="18"/>
          <w:szCs w:val="18"/>
          <w:color w:val="auto"/>
        </w:rPr>
        <w:t>”), which amended and restated the Initial LLC Agreement.</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the Members of the Company and the Company entered into the Second Amended and Restated Limited Liability Company Agreement, dated as of October 4, 2019 (as amended,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which amended and restated the A&amp;R Agreement and was further amended on December 19, 2019, February 21, 2020 and November 4, 2020.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certain of the Members and the Company desire to amend and restate the Prior Agreement as set forth in this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and warranties and the mutual covenants and agreements herein contained, and for other good and valuable consideration, the receipt and sufficiency of which are hereby acknowledged, the Members hereby agree that the Prior Agreement is amended and restated in its entirety as of the date hereof to read as follows: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ORGANIZATION AND POWERS</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has been formed by the filing of its Certificate of Formation with the Delaware Secretary of State pursuant to the Act. The Certificate of Formation may be amended or restated with respect to the address of the registered office of the Company in Delaware, the name and address of its registered agent in Delaware or to make corrections required by the Act as provided in the Act. Other additions to or amendments of the</w:t>
      </w:r>
    </w:p>
    <w:p>
      <w:pPr>
        <w:sectPr>
          <w:pgSz w:w="11900" w:h="16838" w:orient="portrait"/>
          <w:cols w:equalWidth="0" w:num="1">
            <w:col w:w="10980"/>
          </w:cols>
          <w:pgMar w:left="440" w:top="266" w:right="479" w:bottom="1440" w:gutter="0" w:footer="0" w:header="0"/>
        </w:sectPr>
      </w:pPr>
    </w:p>
    <w:bookmarkStart w:id="329" w:name="page330"/>
    <w:bookmarkEnd w:id="32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Certificate of Formation shall be authorized by the Board of Directors and the Members as provided in Sections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The Certificate of Formation as so amended from time to time, is referred to herein as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The Board of Directors shall deliver a copy of the Certificate and this Agreement, and any amendment thereto, to any Member if so requested.</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Purpose and Powers</w:t>
      </w:r>
      <w:r>
        <w:rPr>
          <w:rFonts w:ascii="Times New Roman" w:cs="Times New Roman" w:eastAsia="Times New Roman" w:hAnsi="Times New Roman"/>
          <w:sz w:val="18"/>
          <w:szCs w:val="18"/>
          <w:color w:val="auto"/>
        </w:rPr>
        <w:t xml:space="preserve">. The principal business activity and purpose of the Company shall be to directly and/or indirectly through one or more subsidiaries engage in the development and commercialization of pharmaceutical products and in any and all other activities permitted under the Act. The business and purposes of the Company, however, shall not be limited to its initial principal business activity, and if the Board of Directors otherwise determines, it shall have authority to engage in any other lawful business, purpose or activity permitted by the Act and shall possess and may exercise all of the powers and privileges granted by the Act or which may be exercised by any other person, together with any powers incidental thereto, so far as such powers or privileges are necessary or convenient to the conduct, promotion or attainment of the business, purposes or activities of the Company. Notwithstanding the above, the business and activities of the Company shall be subject to the conditions and restrictions provided in this Agreement, including Sections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Principal Place of Business</w:t>
      </w:r>
      <w:r>
        <w:rPr>
          <w:rFonts w:ascii="Times New Roman" w:cs="Times New Roman" w:eastAsia="Times New Roman" w:hAnsi="Times New Roman"/>
          <w:sz w:val="17"/>
          <w:szCs w:val="17"/>
          <w:color w:val="auto"/>
        </w:rPr>
        <w:t>. The principal office and place of business of the Company shall initially be 1 Main Street, Cambridge,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02142. The Company may locate its place of business at any other place or places as the Board of Directors may, from time to time, deem advisable.</w:t>
      </w:r>
    </w:p>
    <w:p>
      <w:pPr>
        <w:spacing w:after="0" w:line="207"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Except as may otherwise be required by the federal tax laws, the fiscal year of the Company for both financial and tax reporting purposes shall end on December 31 (the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Qualification in Other Jurisdictions</w:t>
      </w:r>
      <w:r>
        <w:rPr>
          <w:rFonts w:ascii="Times New Roman" w:cs="Times New Roman" w:eastAsia="Times New Roman" w:hAnsi="Times New Roman"/>
          <w:sz w:val="18"/>
          <w:szCs w:val="18"/>
          <w:color w:val="auto"/>
        </w:rPr>
        <w:t>. The Board of Directors shall cause the Company to be qualified or registered under applicable laws of any jurisdiction in which the Company owns property or engages in activities and shall be authorized to execute, deliver and file any certificates and documents necessary to effect such qualification or registration, including, without limitation, the appointment of agents for service of process in such jurisdictions, if such qualification or registration is necessary or desirable to permit the Company to own property and engage in the Company’s business in such jurisdictions.</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xml:space="preserve">. The Company is intended to be classified as a partnership for federal and state income tax purposes, and each Member and the Company shall file all tax returns and shall otherwise take all tax and financial reporting positions in a manner consistent with and actions necessary to obtain such treatment (unless contrary treatment is intended pursuant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otherwise approved by the Board of Directors). This classification for tax purposes shall not create or imply a general partnership, limited partnership or joint venture for state law or any other purpose.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30" w:name="page331"/>
    <w:bookmarkEnd w:id="330"/>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MEMBERS; CAPITAL STRUCTURE</w:t>
      </w:r>
    </w:p>
    <w:p>
      <w:pPr>
        <w:spacing w:after="0" w:line="207"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xml:space="preserve">. The Members of the Company shall be the Persons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may be amended from time to time by the Company to reflect any Permitted Transfers and further issuances of Units that are permitted under this Agreement. The Members shall have only such rights with respect to the Company as specifically provided in this Agreement and as required by non-waivable provisions of the Act.</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2.02 </w:t>
      </w:r>
      <w:r>
        <w:rPr>
          <w:rFonts w:ascii="Times New Roman" w:cs="Times New Roman" w:eastAsia="Times New Roman" w:hAnsi="Times New Roman"/>
          <w:sz w:val="17"/>
          <w:szCs w:val="17"/>
          <w:u w:val="single" w:color="auto"/>
          <w:color w:val="auto"/>
        </w:rPr>
        <w:t>Compliance with Securities Laws and Other Laws and Obligations</w:t>
      </w:r>
      <w:r>
        <w:rPr>
          <w:rFonts w:ascii="Times New Roman" w:cs="Times New Roman" w:eastAsia="Times New Roman" w:hAnsi="Times New Roman"/>
          <w:sz w:val="17"/>
          <w:szCs w:val="17"/>
          <w:color w:val="auto"/>
        </w:rPr>
        <w:t>. Each Member hereby represents and warrants to the Company and acknowledges that (a) it has such knowledge and experience in financial and business matters that it is capable of evaluating the merits and risks of an investment in the Company and making an informed investment decision with respect thereto, (b) it is able to bear the economic and financial risk of an investment in the Company for an indefinite period of time and understands that, except in connection with a Permitted Transfer in accordance with the applicable terms of this Agreement, the Member has no right to withdraw and/or have its Units repurchased by the Company, (c) it is acquiring Units in the Company for investment only and not with a view to, or for resale in connection with, any distribution to the public or public offering thereof,</w:t>
      </w:r>
    </w:p>
    <w:p>
      <w:pPr>
        <w:spacing w:after="0" w:line="5" w:lineRule="exact"/>
        <w:rPr>
          <w:sz w:val="20"/>
          <w:szCs w:val="20"/>
          <w:color w:val="auto"/>
        </w:rPr>
      </w:pPr>
    </w:p>
    <w:p>
      <w:pPr>
        <w:ind w:left="4" w:right="40" w:hanging="4"/>
        <w:spacing w:after="0" w:line="251" w:lineRule="auto"/>
        <w:tabs>
          <w:tab w:leader="none" w:pos="25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Member holds only Company Options issued pursuant to the 2020 Unit Option and Grant Plan and/or Non-Voting Incentive Units, the Member is an “accredited investor” as defined in Rule 501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(e) it understands that the Units in the Company have not been registered under the securities laws of any jurisdiction and cannot be disposed of unless they are subsequently registered and/or qualified under applicable securities laws, or in accordance with an applicable exemption therefrom, and the provisions of this Agreement have been complied with, and (f) the execution, delivery and performance of this Agreement does not require it to obtain any consent or approval that has not been obtained and do not contravene or result in a default under any provision of any existing law or regulation applicable to it, any provision of its charter, by-laws or other governing documents (if applicable) or any agreement or instrument to which it is a party or by which it is bound.</w:t>
      </w:r>
    </w:p>
    <w:p>
      <w:pPr>
        <w:spacing w:after="0" w:line="302"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7"/>
          <w:szCs w:val="17"/>
          <w:u w:val="single" w:color="auto"/>
          <w:color w:val="auto"/>
        </w:rPr>
        <w:t>Meetings of the Members</w:t>
      </w:r>
    </w:p>
    <w:p>
      <w:pPr>
        <w:spacing w:after="0" w:line="117" w:lineRule="exact"/>
        <w:rPr>
          <w:sz w:val="20"/>
          <w:szCs w:val="20"/>
          <w:color w:val="auto"/>
        </w:rPr>
      </w:pPr>
    </w:p>
    <w:p>
      <w:pPr>
        <w:ind w:left="4" w:firstLine="987"/>
        <w:spacing w:after="0" w:line="258" w:lineRule="auto"/>
        <w:tabs>
          <w:tab w:leader="none" w:pos="137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may hold meetings at such time and place and use such procedures as the Board of Directors may reasonably determine from time to time. Meetings of the Members may be called at any time by (i) the affirmative vote of the Members holding at least sixty percent (60%) of the outstanding Capital Units, voting together as a single class (the “</w:t>
      </w:r>
      <w:r>
        <w:rPr>
          <w:rFonts w:ascii="Times New Roman" w:cs="Times New Roman" w:eastAsia="Times New Roman" w:hAnsi="Times New Roman"/>
          <w:sz w:val="18"/>
          <w:szCs w:val="18"/>
          <w:b w:val="1"/>
          <w:bCs w:val="1"/>
          <w:color w:val="auto"/>
        </w:rPr>
        <w:t>Majority Interest</w:t>
      </w:r>
      <w:r>
        <w:rPr>
          <w:rFonts w:ascii="Times New Roman" w:cs="Times New Roman" w:eastAsia="Times New Roman" w:hAnsi="Times New Roman"/>
          <w:sz w:val="18"/>
          <w:szCs w:val="18"/>
          <w:color w:val="auto"/>
        </w:rPr>
        <w:t>”), or (ii) the consent of a majority of the Board of Directors, in either case, upon twenty-four (24) hours written or electronic mail notice. Notice of any such meeting may be waived by any Member upon either the signing of a written waiver thereof or presence at a meeting by such Member as provided herein.</w:t>
      </w:r>
    </w:p>
    <w:p>
      <w:pPr>
        <w:spacing w:after="0" w:line="183"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3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Members, the Members representing a Majority Interest shall constitute a quorum. Less than a quorum may adjourn any meeting from time to time and the meeting may be held as adjourned without further notice upon reaching a quorum.</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331" w:name="page332"/>
    <w:bookmarkEnd w:id="331"/>
    <w:p>
      <w:pPr>
        <w:ind w:right="40" w:firstLine="987"/>
        <w:spacing w:after="0" w:line="266" w:lineRule="auto"/>
        <w:tabs>
          <w:tab w:leader="none" w:pos="13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action required or permitted to be taken at any meeting of the Members may be taken without a meeting and without any notice to the Members upon the written consent of the requisite percentage of the class or classes of the Members entitled to vote on such matter. The Secretary of the Company shall provide prompt written notice to the other Members of any action so taken.</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by the Act or by this Agreement, holders of Preferred Units shall vote together with the holders of Common Units as a single class. Any action to be taken by the Members shall require the approval of a Majority Interest, unless a different threshold is specifically required by the Act or this Agreement. Unless otherwise provided by the Act, the Non-Voting Incentive Units shall not carry the right to vote on any matter under this Agreement or under the Act, including without limitation, with respect to any amendment or restatement of this Agreement or the merger, consolidation, conversion or dissolution of the Company. Except as otherwise provided herein, on any matter to be approved by the Members, (i) each Common Unit shall carry the right to cast one vote per Common Unit, (ii) each Series Seed Preferred Unit shall carry the right to cast the number of votes equal to the Adjustment Ratio for the Series Seed Preferred Units that is in effect as of the record date for determining Members entitled to vote on such matter, (iii) each Series A Preferred Unit shall carry the right to cast the number of votes equal to the Adjustment Ratio for the Series A Preferred Units that is in effect as of the record date for determining Members entitled to vote on such matter, (iv) each Series B Preferred Unit shall carry the right to cast the number of votes equal to the Adjustment Ratio for the Series B Preferred Units that is in effect as of the record date for determining Members entitled to vote on such matter and (v) each Series C Preferred Unit shall carry the right to cast the number of votes equal to the Adjustment Ratio for the Series C Preferred Units that is in effect as of the record date for determining Members entitled to vote on such matter. For illustrative purposes only, if the Adjustment Price for the Series Seed Preferred Units is $0.125 as of the record date for determining Members entitled to vote on a matter, each Series Seed Preferred Unit shall be entitled to two (2) votes (the quotient obtained by dividing the Series Seed Original Issue Price ($0.25) by such Adjustment Price).</w:t>
      </w:r>
    </w:p>
    <w:p>
      <w:pPr>
        <w:spacing w:after="0" w:line="19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Limitation of Liability of Members</w:t>
      </w:r>
      <w:r>
        <w:rPr>
          <w:rFonts w:ascii="Times New Roman" w:cs="Times New Roman" w:eastAsia="Times New Roman" w:hAnsi="Times New Roman"/>
          <w:sz w:val="18"/>
          <w:szCs w:val="18"/>
          <w:color w:val="auto"/>
        </w:rPr>
        <w:t>. Except as otherwise provided in the Act, no Member shall be obligated personally for any debt, obligation or liability of the Company, whether arising in contract, tort or otherwise, solely by reason of being a Member of the Company. Except as otherwise provided in the Act or expressly in this Agreement or by another writing signed by a Member, such Member shall have no fiduciary or other duty with respect to the business and affairs of the Company, and such Member shall not be liable to the Company for acting in good faith reliance upon the provisions of this Agreement. No Member shall have any obligation to contribute to, or in respect of, the liabilities or obligations of the Company or return distributions made by the Company except as required by the Act or other applicable law. The failure of the Company to observe any formalities or requirements relating to the exercise of its powers or the management of its business or affairs under this Agreement or the Act shall not be grounds for making its Members (including, without limitation, the Partnership Representative) responsible for the liabilities of the Company.</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Unless specifically authorized by this Agreement or by the Board of Directors, no Member shall be an agent of the Company or have any right, power or authority to act for or to bind the Company, or to undertake or assume any obligation or responsibility of the Company or any other Member.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332" w:name="page333"/>
    <w:bookmarkEnd w:id="332"/>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2.07 </w:t>
      </w:r>
      <w:r>
        <w:rPr>
          <w:rFonts w:ascii="Times New Roman" w:cs="Times New Roman" w:eastAsia="Times New Roman" w:hAnsi="Times New Roman"/>
          <w:sz w:val="18"/>
          <w:szCs w:val="18"/>
          <w:u w:val="single" w:color="auto"/>
          <w:color w:val="auto"/>
        </w:rPr>
        <w:t>No Right to Withdraw</w:t>
      </w:r>
      <w:r>
        <w:rPr>
          <w:rFonts w:ascii="Times New Roman" w:cs="Times New Roman" w:eastAsia="Times New Roman" w:hAnsi="Times New Roman"/>
          <w:sz w:val="18"/>
          <w:szCs w:val="18"/>
          <w:color w:val="auto"/>
        </w:rPr>
        <w:t>. Except in connection with a Permitted Transfer in accordance with the applicable terms of this Agreement, no Member shall have any right to resign or withdraw from the Company without the consent of the Board of Directors. No Member shall have any right to receive any distribution or the repayment of its Capital Contribution, except as provided in ARTICLE VIII, upon dissolution and liquidation of the Company. No interest or other compensation shall be paid on or with respect to the Capital Contribution of any of the Members, except as expressly provided herein. No Member shall have any right to have the fair value of its interest in the Company appraised and paid out upon its resignation or withdrawal.</w:t>
      </w:r>
    </w:p>
    <w:p>
      <w:pPr>
        <w:spacing w:after="0" w:line="29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u w:val="single" w:color="auto"/>
          <w:color w:val="auto"/>
        </w:rPr>
        <w:t>Rights to Information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987"/>
        <w:spacing w:after="0" w:line="261" w:lineRule="auto"/>
        <w:tabs>
          <w:tab w:leader="none" w:pos="13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Budget</w:t>
      </w:r>
      <w:r>
        <w:rPr>
          <w:rFonts w:ascii="Times New Roman" w:cs="Times New Roman" w:eastAsia="Times New Roman" w:hAnsi="Times New Roman"/>
          <w:sz w:val="18"/>
          <w:szCs w:val="18"/>
          <w:color w:val="auto"/>
        </w:rPr>
        <w:t>. Each year as soon as reasonably practicable following preparation thereof, the Officers shall cause to be furnished to the Board of Directors the proposed capital and operating budget of the Company and its subsidiaries for such Fiscal Year, setting forth revenue, anticipated expenses and cash position on a monthly basis. Any such budget shall be subject to the Board of Directors’ approval and the Board of Directors may make such changes as the Board of Directors deems necessary or appropriate.</w:t>
      </w:r>
    </w:p>
    <w:p>
      <w:pPr>
        <w:spacing w:after="0" w:line="179" w:lineRule="exact"/>
        <w:rPr>
          <w:rFonts w:ascii="Times New Roman" w:cs="Times New Roman" w:eastAsia="Times New Roman" w:hAnsi="Times New Roman"/>
          <w:sz w:val="18"/>
          <w:szCs w:val="18"/>
          <w:color w:val="auto"/>
        </w:rPr>
      </w:pPr>
    </w:p>
    <w:p>
      <w:pPr>
        <w:ind w:right="340" w:firstLine="987"/>
        <w:spacing w:after="0" w:line="282" w:lineRule="auto"/>
        <w:tabs>
          <w:tab w:leader="none" w:pos="138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For as long as any of the Preferred Units originally issued remain outstanding, the Board of Directors shall deliver or cause the Officers to deliver to each Preferred Member the following:</w:t>
      </w:r>
    </w:p>
    <w:p>
      <w:pPr>
        <w:spacing w:after="0" w:line="53"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74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no event more than 120 days after the end of each Fiscal Year, a report of the activities of the Company (consolidated with its subsidiaries) for the preceding Fiscal Year, including a statement of all fees paid and distributions made to the Members during the Fiscal Year with a comparison to the amounts budgeted for such Fiscal Year, and audited financial statements for the Fiscal Year of the Company consisting of a balance sheet, a statement of income, and a statement of cash flows, certified by certified public accountants selected by the Company who are acceptable to a majority of the Board of Directors and prepared in accordance with U.S. generally accepted accounting principles consistently applied;</w:t>
      </w:r>
    </w:p>
    <w:p>
      <w:pPr>
        <w:spacing w:after="0" w:line="79"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79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no event more than forty-five (45) days after the end of each fiscal quarter, an updated capitalization table;</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66" w:lineRule="auto"/>
        <w:tabs>
          <w:tab w:leader="none" w:pos="184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no event more than forty-five (45) days after the end of each of the first three fiscal quarters of the Company in each Fiscal Year, unaudited financial statements of the Company (consolidated with its subsidiaries) for the fiscal quarter consisting of a balance sheet and statements of income and cash flows;</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83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any event at least forty-five (45) days before the end of each Fiscal Year, the capital and operating budget of the Company and its subsidiaries for the next Fiscal Year, setting forth revenue, anticipated expenses and cash position on a monthly basis as approved by the Board of Directors;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33" w:name="page334"/>
    <w:bookmarkEnd w:id="333"/>
    <w:p>
      <w:pPr>
        <w:ind w:left="1760" w:hanging="392"/>
        <w:spacing w:after="0"/>
        <w:tabs>
          <w:tab w:leader="none" w:pos="17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reasonable promptness, such other information and data as such Preferred Member may from time to time reasonably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request.</w:t>
      </w:r>
    </w:p>
    <w:p>
      <w:pPr>
        <w:spacing w:after="0" w:line="207" w:lineRule="exact"/>
        <w:rPr>
          <w:sz w:val="20"/>
          <w:szCs w:val="20"/>
          <w:color w:val="auto"/>
        </w:rPr>
      </w:pPr>
    </w:p>
    <w:p>
      <w:pPr>
        <w:ind w:left="-20" w:right="20" w:firstLine="987"/>
        <w:spacing w:after="0" w:line="256" w:lineRule="auto"/>
        <w:tabs>
          <w:tab w:leader="none" w:pos="135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 Requests</w:t>
      </w:r>
      <w:r>
        <w:rPr>
          <w:rFonts w:ascii="Times New Roman" w:cs="Times New Roman" w:eastAsia="Times New Roman" w:hAnsi="Times New Roman"/>
          <w:sz w:val="18"/>
          <w:szCs w:val="18"/>
          <w:color w:val="auto"/>
        </w:rPr>
        <w:t>. For as long as any of the Preferred Units originally issued remain outstanding, any Preferred Member, at any reasonable time during normal business hours after reasonable advance notice to the Company and at such Preferred Member’s own expense, upon request from such Preferred Member, will be granted access to the Company’s facilities and personnel for the purposes of examining the Company’s books of account and records and discussing the Company’s affairs, finances and accounts. Furthermore, the Company agrees that it shall promptly respond to any requests for information from a Preferred Member necessary for such Preferred Member’s regulatory compliance programs, including without limitation programs related to compliance with the U.S. Foreign Corrupt Practices Act and any foreign equivalents.</w:t>
      </w:r>
    </w:p>
    <w:p>
      <w:pPr>
        <w:spacing w:after="0" w:line="187" w:lineRule="exact"/>
        <w:rPr>
          <w:rFonts w:ascii="Times New Roman" w:cs="Times New Roman" w:eastAsia="Times New Roman" w:hAnsi="Times New Roman"/>
          <w:sz w:val="18"/>
          <w:szCs w:val="18"/>
          <w:color w:val="auto"/>
        </w:rPr>
      </w:pPr>
    </w:p>
    <w:p>
      <w:pPr>
        <w:ind w:left="-20" w:right="60" w:firstLine="987"/>
        <w:spacing w:after="0" w:line="255" w:lineRule="auto"/>
        <w:tabs>
          <w:tab w:leader="none" w:pos="136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Non-Voting Incentive Unit Holders and Common Unit Holders</w:t>
      </w:r>
      <w:r>
        <w:rPr>
          <w:rFonts w:ascii="Times New Roman" w:cs="Times New Roman" w:eastAsia="Times New Roman" w:hAnsi="Times New Roman"/>
          <w:sz w:val="18"/>
          <w:szCs w:val="18"/>
          <w:color w:val="auto"/>
        </w:rPr>
        <w:t xml:space="preserve">. Each Member that holds no Units other than Non-Voting Incentive Units and/or Common Units acknowledges and agrees that the contents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are confidential and that the Board of Directors shall be entitled, in its sole discretion, to restrict access to some or all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Member shall be entitled to receive (i) all information regarding such Member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(ii) the total number of each series or class of Units outstanding. Notwithstanding anything to the contrary herein, a Member that holds no Units other than Non-Voting Incentive Units and/or Common Units shall not be entitled to any information from or about the Company, other than the information required to be reported on such Member’s federal Form K-1 and any equivalent state income tax information forms.</w:t>
      </w:r>
    </w:p>
    <w:p>
      <w:pPr>
        <w:spacing w:after="0" w:line="188" w:lineRule="exact"/>
        <w:rPr>
          <w:rFonts w:ascii="Times New Roman" w:cs="Times New Roman" w:eastAsia="Times New Roman" w:hAnsi="Times New Roman"/>
          <w:sz w:val="18"/>
          <w:szCs w:val="18"/>
          <w:color w:val="auto"/>
        </w:rPr>
      </w:pPr>
    </w:p>
    <w:p>
      <w:pPr>
        <w:ind w:left="-20" w:right="280" w:firstLine="987"/>
        <w:spacing w:after="0" w:line="282" w:lineRule="auto"/>
        <w:tabs>
          <w:tab w:leader="none" w:pos="135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terminate and be of no further force or effect (i) immediately before the consummation of the IPO or (ii) upon a Change of Control, whichever event occurs first.</w:t>
      </w:r>
    </w:p>
    <w:p>
      <w:pPr>
        <w:spacing w:after="0" w:line="270"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7"/>
          <w:szCs w:val="17"/>
          <w:u w:val="single" w:color="auto"/>
          <w:color w:val="auto"/>
        </w:rPr>
        <w:t>Confidential Information</w:t>
      </w:r>
    </w:p>
    <w:p>
      <w:pPr>
        <w:spacing w:after="0" w:line="117" w:lineRule="exact"/>
        <w:rPr>
          <w:sz w:val="20"/>
          <w:szCs w:val="20"/>
          <w:color w:val="auto"/>
        </w:rPr>
      </w:pPr>
    </w:p>
    <w:p>
      <w:pPr>
        <w:ind w:left="-20" w:firstLine="987"/>
        <w:spacing w:after="0" w:line="252" w:lineRule="auto"/>
        <w:tabs>
          <w:tab w:leader="none" w:pos="13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agrees that such Member shall not use or disclose to others any Confidential Information received from the Company or from any other Member for any purpose other than for the purpose of monitoring such Member’s investment in the Company or for the benefit of the Company, as determined by the Board of Directors, or as required by law or order of court, government authority or arbitrator. The restrictions imposed by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continue to apply to a former Member, notwithstanding such Member’s withdrawal from the Company or Transfer of its Units. Notwithstanding the foregoing, the restrictions on disclosure set forth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not apply to any Confidential Information to the extent that such information can be shown to have been: (i) generally available to the public other than as a result of a breach of the provisions of this Agreement; (ii) already in the possession of the receiving Person, without any restriction on disclosure, prior to any disclosure of such information to the receiving Person by or on behalf of the Company or any Member pursuant to the terms of this Agreement or otherwise; (iii) lawfully disclosed, without any restriction on additional disclosure, to the receiving Person by a third party who is free lawfully to disclose the same; or (iv) independently developed by the receiving Person without use of any Confidential Information. The restrictions on disclosure set forth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also not apply to any Confidential Information that is disclosed to (A) any limited or general partner, member, parent, subsidiary or Affiliate of any Member, or any employee of any of the foregoing in the ordinary course of business, provided that such Member informs such Person that such information is confidential and requires such Person to maintain the confidentiality of such information, (B) any attorney, auditor or accountant of such Member to the extent necessary to obtain their services in monitoring such Member’s investment in the Company and who are under obligations to maintain confidentiality, (C) with respect to a Member that is a registered investment company within the meaning of the Investment Company Act of 1940, as amended, or an Affiliate thereof, in connection with its required investment reporting practices, or (D) any prospective purchaser of a Member’s Units (provided that such prospective purchaser agrees to be bound by the provisions of this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70" w:right="459" w:bottom="1440" w:gutter="0" w:footer="0" w:header="0"/>
        </w:sectPr>
      </w:pPr>
    </w:p>
    <w:bookmarkStart w:id="334" w:name="page335"/>
    <w:bookmarkEnd w:id="334"/>
    <w:p>
      <w:pPr>
        <w:ind w:left="-40" w:firstLine="987"/>
        <w:spacing w:after="0" w:line="253" w:lineRule="auto"/>
        <w:tabs>
          <w:tab w:leader="none" w:pos="134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anything to the contrary contained herein, the Company acknowledges that certain Members are in the business of professional investing or venture capital investing and therefore review the business plans and related proprietary information of many enterprises, including enterprises that may have products or services that compete directly or indirectly with those of the Company. Nothing in this Agreement shall preclude or in any way restrict such Members from evaluating, or purchasing securities, including publicly traded securities, of any other enterprises or investing or participating in any particular enterprise whether or not such enterprise has products or services that compete with those of the Company and the Company hereby agrees that, to the extent permitted under applicable law, such professional or venture capital investors shall not be liable to the Company for any claim arising out of, or based upon, (i) the investment by such professional or venture capital investors in any entity competitive with the Company, or (ii) actions taken by any partner, officer, employee or other representative thereof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Members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89"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3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Member shall use reasonable efforts not to disclose the names of any of the Affiliates of any Member except as required by law or order of any court or governmental authority or any arbitration order (in which case, after giving reasonable notice thereof to any such Affiliate to allow such Person the opportunity to oppose such disclosure if the Member has made reasonable efforts to maintain its secrecy and the identity of the Affiliate is not generally known to the public).</w:t>
      </w:r>
    </w:p>
    <w:p>
      <w:pPr>
        <w:spacing w:after="0" w:line="179" w:lineRule="exact"/>
        <w:rPr>
          <w:rFonts w:ascii="Times New Roman" w:cs="Times New Roman" w:eastAsia="Times New Roman" w:hAnsi="Times New Roman"/>
          <w:sz w:val="18"/>
          <w:szCs w:val="18"/>
          <w:color w:val="auto"/>
        </w:rPr>
      </w:pPr>
    </w:p>
    <w:p>
      <w:pPr>
        <w:jc w:val="both"/>
        <w:ind w:left="-40" w:firstLine="987"/>
        <w:spacing w:after="0" w:line="261" w:lineRule="auto"/>
        <w:tabs>
          <w:tab w:leader="none" w:pos="134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Member (and each employee, representative, or other agent of the Member) may disclose to any and all persons, without limitation of any kind, the tax treatment and tax structure of, and tax strategies relating to, the Company and all transactions and investments of the Company or in which the Company participates, and all materials of any kind (including opinions or other tax analyses) that are provided to the Member relating to such tax treatment, tax structure or tax strategies.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70" w:right="479" w:bottom="1440" w:gutter="0" w:footer="0" w:header="0"/>
        </w:sectPr>
      </w:pPr>
    </w:p>
    <w:bookmarkStart w:id="335" w:name="page336"/>
    <w:bookmarkEnd w:id="335"/>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2.10</w:t>
      </w:r>
      <w:r>
        <w:rPr>
          <w:sz w:val="20"/>
          <w:szCs w:val="20"/>
          <w:color w:val="auto"/>
        </w:rPr>
        <w:tab/>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0" w:firstLine="987"/>
        <w:spacing w:after="0" w:line="258" w:lineRule="auto"/>
        <w:tabs>
          <w:tab w:leader="none" w:pos="136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interests of Members in distributions and other amounts specified herein shall be represented by their units of membership interests in the Company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There shall be two (2) classes of Units: “</w:t>
      </w:r>
      <w:r>
        <w:rPr>
          <w:rFonts w:ascii="Times New Roman" w:cs="Times New Roman" w:eastAsia="Times New Roman" w:hAnsi="Times New Roman"/>
          <w:sz w:val="18"/>
          <w:szCs w:val="18"/>
          <w:b w:val="1"/>
          <w:bCs w:val="1"/>
          <w:color w:val="auto"/>
        </w:rPr>
        <w:t>Capital Units</w:t>
      </w:r>
      <w:r>
        <w:rPr>
          <w:rFonts w:ascii="Times New Roman" w:cs="Times New Roman" w:eastAsia="Times New Roman" w:hAnsi="Times New Roman"/>
          <w:sz w:val="18"/>
          <w:szCs w:val="18"/>
          <w:color w:val="auto"/>
        </w:rPr>
        <w:t>” (which initially shall be comprised solely of the “</w:t>
      </w:r>
      <w:r>
        <w:rPr>
          <w:rFonts w:ascii="Times New Roman" w:cs="Times New Roman" w:eastAsia="Times New Roman" w:hAnsi="Times New Roman"/>
          <w:sz w:val="18"/>
          <w:szCs w:val="18"/>
          <w:b w:val="1"/>
          <w:bCs w:val="1"/>
          <w:color w:val="auto"/>
        </w:rPr>
        <w:t>Preferred Units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Non-Voting Incentive Units</w:t>
      </w:r>
      <w:r>
        <w:rPr>
          <w:rFonts w:ascii="Times New Roman" w:cs="Times New Roman" w:eastAsia="Times New Roman" w:hAnsi="Times New Roman"/>
          <w:sz w:val="18"/>
          <w:szCs w:val="18"/>
          <w:color w:val="auto"/>
        </w:rPr>
        <w:t>.” The Company may issue fractional Units. Except as otherwise provided herein, on any matter to be approved by the Members, each Unit shall carry the right to cast one (1) vote per Unit on any matter to be approved by the Members.</w:t>
      </w:r>
    </w:p>
    <w:p>
      <w:pPr>
        <w:spacing w:after="0" w:line="179" w:lineRule="exact"/>
        <w:rPr>
          <w:rFonts w:ascii="Times New Roman" w:cs="Times New Roman" w:eastAsia="Times New Roman" w:hAnsi="Times New Roman"/>
          <w:sz w:val="18"/>
          <w:szCs w:val="18"/>
          <w:color w:val="auto"/>
        </w:rPr>
      </w:pPr>
    </w:p>
    <w:p>
      <w:pPr>
        <w:ind w:left="4" w:firstLine="987"/>
        <w:spacing w:after="0" w:line="269" w:lineRule="auto"/>
        <w:tabs>
          <w:tab w:leader="none" w:pos="1382"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Preferred Units shall be comprised initially of (i) the “</w:t>
      </w:r>
      <w:r>
        <w:rPr>
          <w:rFonts w:ascii="Times New Roman" w:cs="Times New Roman" w:eastAsia="Times New Roman" w:hAnsi="Times New Roman"/>
          <w:sz w:val="17"/>
          <w:szCs w:val="17"/>
          <w:b w:val="1"/>
          <w:bCs w:val="1"/>
          <w:color w:val="auto"/>
        </w:rPr>
        <w:t>Series Seed Preferred Units</w:t>
      </w:r>
      <w:r>
        <w:rPr>
          <w:rFonts w:ascii="Times New Roman" w:cs="Times New Roman" w:eastAsia="Times New Roman" w:hAnsi="Times New Roman"/>
          <w:sz w:val="17"/>
          <w:szCs w:val="17"/>
          <w:color w:val="auto"/>
        </w:rPr>
        <w:t>”, (ii) the “</w:t>
      </w:r>
      <w:r>
        <w:rPr>
          <w:rFonts w:ascii="Times New Roman" w:cs="Times New Roman" w:eastAsia="Times New Roman" w:hAnsi="Times New Roman"/>
          <w:sz w:val="17"/>
          <w:szCs w:val="17"/>
          <w:b w:val="1"/>
          <w:bCs w:val="1"/>
          <w:color w:val="auto"/>
        </w:rPr>
        <w:t>Series A Preferred Units</w:t>
      </w:r>
      <w:r>
        <w:rPr>
          <w:rFonts w:ascii="Times New Roman" w:cs="Times New Roman" w:eastAsia="Times New Roman" w:hAnsi="Times New Roman"/>
          <w:sz w:val="17"/>
          <w:szCs w:val="17"/>
          <w:color w:val="auto"/>
        </w:rPr>
        <w:t>”, all of which shall initially be comprised of one sub-series, the “</w:t>
      </w:r>
      <w:r>
        <w:rPr>
          <w:rFonts w:ascii="Times New Roman" w:cs="Times New Roman" w:eastAsia="Times New Roman" w:hAnsi="Times New Roman"/>
          <w:sz w:val="17"/>
          <w:szCs w:val="17"/>
          <w:b w:val="1"/>
          <w:bCs w:val="1"/>
          <w:color w:val="auto"/>
        </w:rPr>
        <w:t>Series A1 Preferred Units</w:t>
      </w:r>
      <w:r>
        <w:rPr>
          <w:rFonts w:ascii="Times New Roman" w:cs="Times New Roman" w:eastAsia="Times New Roman" w:hAnsi="Times New Roman"/>
          <w:sz w:val="17"/>
          <w:szCs w:val="17"/>
          <w:color w:val="auto"/>
        </w:rPr>
        <w:t>”, (iii) the “</w:t>
      </w:r>
      <w:r>
        <w:rPr>
          <w:rFonts w:ascii="Times New Roman" w:cs="Times New Roman" w:eastAsia="Times New Roman" w:hAnsi="Times New Roman"/>
          <w:sz w:val="17"/>
          <w:szCs w:val="17"/>
          <w:b w:val="1"/>
          <w:bCs w:val="1"/>
          <w:color w:val="auto"/>
        </w:rPr>
        <w:t>Series B Preferred Units</w:t>
      </w:r>
      <w:r>
        <w:rPr>
          <w:rFonts w:ascii="Times New Roman" w:cs="Times New Roman" w:eastAsia="Times New Roman" w:hAnsi="Times New Roman"/>
          <w:sz w:val="17"/>
          <w:szCs w:val="17"/>
          <w:color w:val="auto"/>
        </w:rPr>
        <w:t>”, and (iv) the “</w:t>
      </w:r>
      <w:r>
        <w:rPr>
          <w:rFonts w:ascii="Times New Roman" w:cs="Times New Roman" w:eastAsia="Times New Roman" w:hAnsi="Times New Roman"/>
          <w:sz w:val="17"/>
          <w:szCs w:val="17"/>
          <w:b w:val="1"/>
          <w:bCs w:val="1"/>
          <w:color w:val="auto"/>
        </w:rPr>
        <w:t>Series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Preferred Units</w:t>
      </w:r>
      <w:r>
        <w:rPr>
          <w:rFonts w:ascii="Times New Roman" w:cs="Times New Roman" w:eastAsia="Times New Roman" w:hAnsi="Times New Roman"/>
          <w:sz w:val="17"/>
          <w:szCs w:val="17"/>
          <w:color w:val="auto"/>
        </w:rPr>
        <w:t>”. The Series Seed Preferred Units, Series A Preferred Units, Series B Preferred Units, Series C Preferred Units, Common Units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Non-Voting Incentive Units shall have the respective rights, preferences, privileges and restrictions set forth in this Agreement. The Company is authorized to issue from time to time up to an aggregate of 244,609,419 Units, as follows: (i) 195,740,065 shall be Preferred Units, 16,000,000 of which shall be designated Series Seed Preferred Units, 50,000,000 of which shall be designated Series A Preferred Units, all of which are designated as Series A1 Preferred Units, 63,141,020 of which shall be designated Series B Preferred Units, 66,599,045 of which shall be designated Series C Preferred Units,</w:t>
      </w:r>
    </w:p>
    <w:p>
      <w:pPr>
        <w:ind w:left="4" w:right="120" w:hanging="4"/>
        <w:spacing w:after="0" w:line="260" w:lineRule="auto"/>
        <w:tabs>
          <w:tab w:leader="none" w:pos="26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36,972,854 shall be Common Units, and (iii) 11,896,500 shall be Non-Voting Incentive Units. Each authorized Unit may be issued pursuant to such agreements as the Board of Directors or a committee thereof shall approve.</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37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subject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authorize the Company to create and, for such consideration as the Board of Directors may deem appropriate, issue such Units or additional classes or series of Units, having such designations, preferences and relative, participating or other special rights, powers and duties, as the Board of Directors shall determine, including, without limitation: (i) the right of any such class or series of Units to share in Company Distributions; (ii) the allocation to any such class or series of Units of items of Company income, gains, losses and deductions; (iii) the rights of any such class or series of Units upon dissolution or liquidation of the Company; and (iv) the right of any such class or series of Units to vote on matters relating to the Company and this Agreement. The Members understand and agree that rights afforded to any additional classes or series of Units (including, without limitation, rights to Company Distributions) will result in a reduction and/or dilution in the rights of then outstanding Units. The Board of Directors may, subject to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xml:space="preserve"> of this Agreement, amend any provision of this Agreement, and authorize any Person to execute, swear to, acknowledge, deliver, file and record, if required, such documents, to the extent necessary or desirable to reflect the admission of any additional Member to the Company or the authorization and issuance of such class or series of Units, and the related rights and preferences thereof.</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36" w:name="page337"/>
    <w:bookmarkEnd w:id="336"/>
    <w:p>
      <w:pPr>
        <w:ind w:left="-20" w:right="40" w:firstLine="987"/>
        <w:spacing w:after="0" w:line="255" w:lineRule="auto"/>
        <w:tabs>
          <w:tab w:leader="none" w:pos="135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may issue Non-Voting Incentive Units to employees or directors of, or consultants or advisors to, the Company or any of its subsidiaries pursuant to a plan, agreement or arrangement (and any amendments thereto) approved by the Board of Directors. Non-Voting Incentive Units may be issued subject to vesting, forfeiture and repurchase pursuant to separate agreements, the provisions of which may be determined, altered or waived in the sole discretion of the Board of Directors. Unless otherwise approved by the Board of Directors, all Non-Voting Incentive Units issued after the date hereof shall vest over a four (4) year period, with the first twenty-five percent (25%) of such Non-Voting Incentive Units vesting on the twelve (12) month anniversary of the vesting start date and the remaining Non-Voting Incentive Units vesting in equal monthly installments over the following thirty-six (36) months.</w:t>
      </w:r>
    </w:p>
    <w:p>
      <w:pPr>
        <w:spacing w:after="0" w:line="188" w:lineRule="exact"/>
        <w:rPr>
          <w:rFonts w:ascii="Times New Roman" w:cs="Times New Roman" w:eastAsia="Times New Roman" w:hAnsi="Times New Roman"/>
          <w:sz w:val="18"/>
          <w:szCs w:val="18"/>
          <w:color w:val="auto"/>
        </w:rPr>
      </w:pPr>
    </w:p>
    <w:p>
      <w:pPr>
        <w:ind w:left="-20" w:firstLine="987"/>
        <w:spacing w:after="0" w:line="252" w:lineRule="auto"/>
        <w:tabs>
          <w:tab w:leader="none" w:pos="135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issuance of Non-Voting Incentive Units, the Board of Directors may set a strike price with respect to such Non-Voting Incentive Units (the “</w:t>
      </w:r>
      <w:r>
        <w:rPr>
          <w:rFonts w:ascii="Times New Roman" w:cs="Times New Roman" w:eastAsia="Times New Roman" w:hAnsi="Times New Roman"/>
          <w:sz w:val="18"/>
          <w:szCs w:val="18"/>
          <w:b w:val="1"/>
          <w:bCs w:val="1"/>
          <w:color w:val="auto"/>
        </w:rPr>
        <w:t>Strike Price</w:t>
      </w:r>
      <w:r>
        <w:rPr>
          <w:rFonts w:ascii="Times New Roman" w:cs="Times New Roman" w:eastAsia="Times New Roman" w:hAnsi="Times New Roman"/>
          <w:sz w:val="18"/>
          <w:szCs w:val="18"/>
          <w:color w:val="auto"/>
        </w:rPr>
        <w:t>”). The Strike Price with respect to each such Non-Voting Incentive Unit will be determined by the Board of Directors and will be at least equal to the amount that would be distributed in respect of a Common Unit (which for the avoidance of doubt, is not subject to a Strike Price) in a hypothetical liquidation of the Company on the date of issuance of such Non-Voting Incentive Unit in which the Company sold its assets for their Fair Market Value, satisfied its liabilities (excluding any non-recourse liabilities to the extent the balance of such liabilities exceeds the fair market value of the assets that secure them) and distributed the net proceeds to the holders of Units in liquidation of the Company. The Board of Directors may adjust the Strike Price as appropriate (i) to reflect the consideration, if any, paid in connection with any issuance of Non-Voting Incentive Units, (ii) to reflect an increase to the Fair Market Value of the Company’s assets that is attributable to Capital Contributions made to the Company in respect of other Units and (iii) when and as permitted pursuant to any award agreement. The determination of the Board of Directors of the Strike Price shall be final, conclusive and binding on all Members. In the event the Board of Directors issues additional Non-Voting Incentive Units with a Strike Price lower than the Strike Price associated with a prior issuance of Non-Voting Incentive Units, the Board of Directors may, in its sole discretion, reduce the Strike Price of the Non-Voting Incentive Units issued at the higher Strike Price. Each Non-Voting Incentive Unit that has an associated Strike Price is intended to be a “profits interest” within the meaning of IRS Revenue Procedures 93-27 and 2001-43 and is issued with the intention that under current interpretations of the Code the recipient will not realize income upon the issuance of such Non-Voting Incentive Unit, and that neither the Company nor any Member is entitled to any deduction either immediately or through depreciation or amortization as a result of the issuance of such Non-Voting Incentive Unit. Any Person holding a Unit subject to a vesting arrangement shall make a timely Code Section 83(b) election in accordance with Treasury Regulation 1.83-2 with respect to each such Unit (to the extent applicable).</w:t>
      </w:r>
    </w:p>
    <w:p>
      <w:pPr>
        <w:spacing w:after="0" w:line="193" w:lineRule="exact"/>
        <w:rPr>
          <w:rFonts w:ascii="Times New Roman" w:cs="Times New Roman" w:eastAsia="Times New Roman" w:hAnsi="Times New Roman"/>
          <w:sz w:val="18"/>
          <w:szCs w:val="18"/>
          <w:color w:val="auto"/>
        </w:rPr>
      </w:pPr>
    </w:p>
    <w:p>
      <w:pPr>
        <w:jc w:val="both"/>
        <w:ind w:left="-20" w:right="180" w:firstLine="987"/>
        <w:spacing w:after="0" w:line="266" w:lineRule="auto"/>
        <w:tabs>
          <w:tab w:leader="none" w:pos="133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2.10(h)</w:t>
      </w:r>
      <w:r>
        <w:rPr>
          <w:rFonts w:ascii="Times New Roman" w:cs="Times New Roman" w:eastAsia="Times New Roman" w:hAnsi="Times New Roman"/>
          <w:sz w:val="18"/>
          <w:szCs w:val="18"/>
          <w:color w:val="auto"/>
        </w:rPr>
        <w:t>, no Person shall be admitted as a new Member of the Company unless and until the Board of Directors has approved the admission of such Person as a new Member and such Person has executed this Agreement or a counterpart hereto and such other documents or agreements as the Board of Directors may request reasonably in connection with such admission.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337" w:name="page338"/>
    <w:bookmarkEnd w:id="337"/>
    <w:p>
      <w:pPr>
        <w:ind w:left="-40" w:right="260" w:firstLine="987"/>
        <w:spacing w:after="0" w:line="286" w:lineRule="auto"/>
        <w:tabs>
          <w:tab w:leader="none" w:pos="133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Units may, but need not, be represented by a Unit certificate (a “</w:t>
      </w:r>
      <w:r>
        <w:rPr>
          <w:rFonts w:ascii="Times New Roman" w:cs="Times New Roman" w:eastAsia="Times New Roman" w:hAnsi="Times New Roman"/>
          <w:sz w:val="18"/>
          <w:szCs w:val="18"/>
          <w:b w:val="1"/>
          <w:bCs w:val="1"/>
          <w:color w:val="auto"/>
        </w:rPr>
        <w:t>Unit Certificate</w:t>
      </w:r>
      <w:r>
        <w:rPr>
          <w:rFonts w:ascii="Times New Roman" w:cs="Times New Roman" w:eastAsia="Times New Roman" w:hAnsi="Times New Roman"/>
          <w:sz w:val="18"/>
          <w:szCs w:val="18"/>
          <w:color w:val="auto"/>
        </w:rPr>
        <w:t>”), as determined by the Board of Directors. Each Unit Certificate, if any, shall be issued in such form as approved by the Board of Directors.</w:t>
      </w:r>
    </w:p>
    <w:p>
      <w:pPr>
        <w:spacing w:after="0" w:line="158" w:lineRule="exact"/>
        <w:rPr>
          <w:rFonts w:ascii="Times New Roman" w:cs="Times New Roman" w:eastAsia="Times New Roman" w:hAnsi="Times New Roman"/>
          <w:sz w:val="18"/>
          <w:szCs w:val="18"/>
          <w:color w:val="auto"/>
        </w:rPr>
      </w:pPr>
    </w:p>
    <w:p>
      <w:pPr>
        <w:ind w:left="-40" w:firstLine="987"/>
        <w:spacing w:after="0" w:line="254" w:lineRule="auto"/>
        <w:tabs>
          <w:tab w:leader="none" w:pos="134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3.08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the Board of Directors may authorize the Company to issue Options to purchase Common Units. Upon the exercise of any such Options, the payment of any exercise price and the execution of this Agreement or a counterpart hereto by the holder of such Options, such holder shall automatically, with no further action required by the Board of Directors or the Person exercising the Option(s), be admitted as a new Member of the Company. Notwithstanding anything else contained in this Agreement to the contrary, no Options shall have the rights or powers associated with the underlying Common Units, including with respect to the right to cast votes on any matter to be approved by the Members or the right to receive distributions in respect of such Common Units, until such Options are duly exercised in accordance with the terms thereof and the 2020 Unit Option and Grant Plan. No Units underlying Options shall be deemed outstanding until the exercise of the respective Options in accordance with the terms thereof and the 2020 Unit Option and Grant Plan.</w:t>
      </w:r>
    </w:p>
    <w:p>
      <w:pPr>
        <w:spacing w:after="0" w:line="300"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Adjustments for Dilutive Issues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hanging="373"/>
        <w:spacing w:after="0"/>
        <w:tabs>
          <w:tab w:leader="none" w:pos="13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Adjustments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0" w:firstLine="948"/>
        <w:spacing w:after="0" w:line="261" w:lineRule="auto"/>
        <w:tabs>
          <w:tab w:leader="none" w:pos="170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the Adjustment Price to Series Seed Preferred Units shall be made to such class of Units as the result of the issuance or deemed issuance of Additional Units if the Company receives written notice from, in the case of the Series Seed Preferred Units, Members holding at least sixty percent (60%) of the outstanding Series Seed Preferred Units, voting together as a single class, it being agreed that no such adjustment shall be made to such class of Units as the result of the issuance or deemed issuance of such Additional Units.</w:t>
      </w:r>
    </w:p>
    <w:p>
      <w:pPr>
        <w:spacing w:after="0" w:line="71" w:lineRule="exact"/>
        <w:rPr>
          <w:rFonts w:ascii="Times New Roman" w:cs="Times New Roman" w:eastAsia="Times New Roman" w:hAnsi="Times New Roman"/>
          <w:sz w:val="18"/>
          <w:szCs w:val="18"/>
          <w:color w:val="auto"/>
        </w:rPr>
      </w:pPr>
    </w:p>
    <w:p>
      <w:pPr>
        <w:ind w:left="400" w:right="20" w:firstLine="948"/>
        <w:spacing w:after="0" w:line="261" w:lineRule="auto"/>
        <w:tabs>
          <w:tab w:leader="none" w:pos="17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the Adjustment Price to Series A Preferred Units shall be made to such class of Units as the result of the issuance or deemed issuance of Additional Units if the Company receives written notice from, in the case of the Series A Preferred Units, Members holding at least sixty percent (60%) of the outstanding Series A Preferred Units, voting together as a single class, it being agreed that no such adjustment shall be made to such class of Units as the result of the issuance or deemed issuance of such Additional Units.</w:t>
      </w:r>
    </w:p>
    <w:p>
      <w:pPr>
        <w:spacing w:after="0" w:line="71" w:lineRule="exact"/>
        <w:rPr>
          <w:rFonts w:ascii="Times New Roman" w:cs="Times New Roman" w:eastAsia="Times New Roman" w:hAnsi="Times New Roman"/>
          <w:sz w:val="18"/>
          <w:szCs w:val="18"/>
          <w:color w:val="auto"/>
        </w:rPr>
      </w:pPr>
    </w:p>
    <w:p>
      <w:pPr>
        <w:ind w:left="400" w:right="320" w:firstLine="948"/>
        <w:spacing w:after="0" w:line="261" w:lineRule="auto"/>
        <w:tabs>
          <w:tab w:leader="none" w:pos="180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the Adjustment Price to Series B Preferred Units shall be made to such class of Units as the result of the issuance or deemed issuance of Additional Units if the Company receives written notice from, in the case of the Series B Preferred Units, Members holding at least a majority of the outstanding Series B Preferred Units, voting together as a single class, it being agreed that no such adjustment shall be made to such class of Units as the result of the issuance or deemed issuance of such Additional Units.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6" w:right="499" w:bottom="1440" w:gutter="0" w:footer="0" w:header="0"/>
        </w:sectPr>
      </w:pPr>
    </w:p>
    <w:bookmarkStart w:id="338" w:name="page339"/>
    <w:bookmarkEnd w:id="338"/>
    <w:p>
      <w:pPr>
        <w:ind w:left="440" w:right="360" w:firstLine="948"/>
        <w:spacing w:after="0" w:line="261" w:lineRule="auto"/>
        <w:tabs>
          <w:tab w:leader="none" w:pos="183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adjustment in the Adjustment Price to Series C Preferred Units shall be made to such class of Units as the result of the issuance or deemed issuance of Additional Units if the Company receives written notice from, in the case of the Series C Preferred Units, Members holding at least a majority of the outstanding Series C Preferred Units, voting together as a single class, it being agreed that no such adjustment shall be made to such class of Units as the result of the issuance or deemed issuance of such Additional Units.</w:t>
      </w:r>
    </w:p>
    <w:p>
      <w:pPr>
        <w:spacing w:after="0" w:line="179"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3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Adjustment Price Upon Issuance of Additional Units</w:t>
      </w:r>
      <w:r>
        <w:rPr>
          <w:rFonts w:ascii="Times New Roman" w:cs="Times New Roman" w:eastAsia="Times New Roman" w:hAnsi="Times New Roman"/>
          <w:sz w:val="18"/>
          <w:szCs w:val="18"/>
          <w:color w:val="auto"/>
        </w:rPr>
        <w:t>. In the event the Company shall at any time after the date of this Agreement issue Additional Units, without consideration or for a consideration per share less than the Adjustment Price for a class of Preferred Units in effect immediately prior to such issue, then such Adjustment Price shall be reduced, concurrently with such issue, to a price (calculated to the nearest one-hundredth of a cent) determined in accordance with the following formula:</w:t>
      </w:r>
    </w:p>
    <w:p>
      <w:pPr>
        <w:spacing w:after="0" w:line="1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 = ((P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*Q</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 (P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*Q</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 (Q</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Q</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117" w:lineRule="exact"/>
        <w:rPr>
          <w:sz w:val="20"/>
          <w:szCs w:val="20"/>
          <w:color w:val="auto"/>
        </w:rPr>
      </w:pPr>
    </w:p>
    <w:p>
      <w:pPr>
        <w:ind w:left="2320" w:hanging="430"/>
        <w:spacing w:after="0"/>
        <w:tabs>
          <w:tab w:leader="none" w:pos="232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shall mean the Adjustment Price in effect immediately after such issuance of Additional Units</w:t>
      </w:r>
    </w:p>
    <w:p>
      <w:pPr>
        <w:spacing w:after="0" w:line="117" w:lineRule="exact"/>
        <w:rPr>
          <w:rFonts w:ascii="Times New Roman" w:cs="Times New Roman" w:eastAsia="Times New Roman" w:hAnsi="Times New Roman"/>
          <w:sz w:val="18"/>
          <w:szCs w:val="18"/>
          <w:color w:val="auto"/>
        </w:rPr>
      </w:pPr>
    </w:p>
    <w:p>
      <w:pPr>
        <w:ind w:left="2280" w:hanging="390"/>
        <w:spacing w:after="0"/>
        <w:tabs>
          <w:tab w:leader="none" w:pos="2280" w:val="left"/>
        </w:tabs>
        <w:numPr>
          <w:ilvl w:val="2"/>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shall mean the Adjustment Price in effect immediately prior to such issuance of Additional Units;</w:t>
      </w:r>
    </w:p>
    <w:p>
      <w:pPr>
        <w:spacing w:after="0" w:line="117" w:lineRule="exact"/>
        <w:rPr>
          <w:rFonts w:ascii="Times New Roman" w:cs="Times New Roman" w:eastAsia="Times New Roman" w:hAnsi="Times New Roman"/>
          <w:sz w:val="15"/>
          <w:szCs w:val="15"/>
          <w:color w:val="auto"/>
        </w:rPr>
      </w:pPr>
    </w:p>
    <w:p>
      <w:pPr>
        <w:ind w:left="2280" w:hanging="390"/>
        <w:spacing w:after="0"/>
        <w:tabs>
          <w:tab w:leader="none" w:pos="2280" w:val="left"/>
        </w:tabs>
        <w:numPr>
          <w:ilvl w:val="2"/>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shall mean the number of Units Deemed Outstanding immediately prior to such issue of Additional Units;</w:t>
      </w:r>
    </w:p>
    <w:p>
      <w:pPr>
        <w:spacing w:after="0" w:line="117" w:lineRule="exact"/>
        <w:rPr>
          <w:rFonts w:ascii="Times New Roman" w:cs="Times New Roman" w:eastAsia="Times New Roman" w:hAnsi="Times New Roman"/>
          <w:sz w:val="15"/>
          <w:szCs w:val="15"/>
          <w:color w:val="auto"/>
        </w:rPr>
      </w:pPr>
    </w:p>
    <w:p>
      <w:pPr>
        <w:ind w:left="980" w:right="20" w:firstLine="910"/>
        <w:spacing w:after="0" w:line="304" w:lineRule="auto"/>
        <w:tabs>
          <w:tab w:leader="none" w:pos="2274" w:val="left"/>
        </w:tabs>
        <w:numPr>
          <w:ilvl w:val="2"/>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shall mean the number of Units that would have been issued if such Additional Units had been issued at a price per Unit equal to 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(determined by dividing the aggregate consideration received by the Company in respect of such issue by 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w:t>
      </w:r>
    </w:p>
    <w:p>
      <w:pPr>
        <w:spacing w:after="0" w:line="15" w:lineRule="exact"/>
        <w:rPr>
          <w:rFonts w:ascii="Times New Roman" w:cs="Times New Roman" w:eastAsia="Times New Roman" w:hAnsi="Times New Roman"/>
          <w:sz w:val="15"/>
          <w:szCs w:val="15"/>
          <w:color w:val="auto"/>
        </w:rPr>
      </w:pPr>
    </w:p>
    <w:p>
      <w:pPr>
        <w:ind w:left="2260" w:hanging="370"/>
        <w:spacing w:after="0"/>
        <w:tabs>
          <w:tab w:leader="none" w:pos="2260" w:val="left"/>
        </w:tabs>
        <w:numPr>
          <w:ilvl w:val="2"/>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shall mean the number of Additional Units issued in such transaction.</w:t>
      </w:r>
    </w:p>
    <w:p>
      <w:pPr>
        <w:spacing w:after="0" w:line="225" w:lineRule="exact"/>
        <w:rPr>
          <w:rFonts w:ascii="Times New Roman" w:cs="Times New Roman" w:eastAsia="Times New Roman" w:hAnsi="Times New Roman"/>
          <w:sz w:val="15"/>
          <w:szCs w:val="15"/>
          <w:color w:val="auto"/>
        </w:rPr>
      </w:pPr>
    </w:p>
    <w:p>
      <w:pPr>
        <w:ind w:right="800" w:firstLine="436"/>
        <w:spacing w:after="0" w:line="282" w:lineRule="auto"/>
        <w:tabs>
          <w:tab w:leader="none" w:pos="8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consideration received by the Company for the issue of any Additional Units shall be computed as follows:</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17" w:lineRule="exact"/>
        <w:rPr>
          <w:rFonts w:ascii="Times New Roman" w:cs="Times New Roman" w:eastAsia="Times New Roman" w:hAnsi="Times New Roman"/>
          <w:sz w:val="18"/>
          <w:szCs w:val="18"/>
          <w:color w:val="auto"/>
        </w:rPr>
      </w:pPr>
    </w:p>
    <w:p>
      <w:pPr>
        <w:ind w:left="980" w:firstLine="910"/>
        <w:spacing w:after="0" w:line="282" w:lineRule="auto"/>
        <w:tabs>
          <w:tab w:leader="none" w:pos="2312"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Company, excluding amounts paid or payable for accrued interest;</w:t>
      </w:r>
    </w:p>
    <w:p>
      <w:pPr>
        <w:spacing w:after="0" w:line="53" w:lineRule="exact"/>
        <w:rPr>
          <w:rFonts w:ascii="Times New Roman" w:cs="Times New Roman" w:eastAsia="Times New Roman" w:hAnsi="Times New Roman"/>
          <w:sz w:val="18"/>
          <w:szCs w:val="18"/>
          <w:color w:val="auto"/>
        </w:rPr>
      </w:pPr>
    </w:p>
    <w:p>
      <w:pPr>
        <w:ind w:left="980" w:right="140" w:firstLine="910"/>
        <w:spacing w:after="0" w:line="282" w:lineRule="auto"/>
        <w:tabs>
          <w:tab w:leader="none" w:pos="2302"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(including at least one (1) Preferred Director);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39" w:name="page340"/>
    <w:bookmarkEnd w:id="339"/>
    <w:p>
      <w:pPr>
        <w:ind w:left="984" w:right="180" w:firstLine="910"/>
        <w:spacing w:after="0" w:line="266" w:lineRule="auto"/>
        <w:tabs>
          <w:tab w:leader="none" w:pos="230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the event Additional Units are issued together with other units or securities or other assets of the Company for consideration which covers both, be the proportion of such consideration so received,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 of Directors (including at least one (1) Preferred Director).</w:t>
      </w:r>
    </w:p>
    <w:p>
      <w:pPr>
        <w:spacing w:after="0" w:line="175" w:lineRule="exact"/>
        <w:rPr>
          <w:rFonts w:ascii="Times New Roman" w:cs="Times New Roman" w:eastAsia="Times New Roman" w:hAnsi="Times New Roman"/>
          <w:sz w:val="18"/>
          <w:szCs w:val="18"/>
          <w:color w:val="auto"/>
        </w:rPr>
      </w:pPr>
    </w:p>
    <w:p>
      <w:pPr>
        <w:ind w:left="4" w:right="260" w:firstLine="987"/>
        <w:spacing w:after="0" w:line="261" w:lineRule="auto"/>
        <w:tabs>
          <w:tab w:leader="none" w:pos="13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In the event the Company shall issue on more than one date Additional Units that are a part of one transaction or a series of related transactions and that would result in an adjustment to the Adjustment Price, then, upon the final such issuance, the number of the issued and outstanding Preferred Units shall be readjusted to give effect to all such issuances as if they occurred on the date of the first such issuance (and without giving effect to any additional adjustments as a result of any such subsequent issuances within such period).</w:t>
      </w:r>
    </w:p>
    <w:p>
      <w:pPr>
        <w:spacing w:after="0" w:line="180"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Adjustment for Splits and Combinations</w:t>
      </w:r>
      <w:r>
        <w:rPr>
          <w:rFonts w:ascii="Times New Roman" w:cs="Times New Roman" w:eastAsia="Times New Roman" w:hAnsi="Times New Roman"/>
          <w:sz w:val="18"/>
          <w:szCs w:val="18"/>
          <w:color w:val="auto"/>
        </w:rPr>
        <w:t>. If the Company shall at any time or from time to time after the date of this Agreement effect a subdivision of the outstanding Units, the Adjustment Price in effect immediately before that subdivision shall be proportionately decreased. If the Company shall at any time or from time to time after the date of this Agreement combine the outstanding Units, the Adjustment Price in effect immediately before the combination shall be proportionately increased. Any adjustment under this subsection shall become effective at the close of business on the date the subdivision or combination becomes effective.</w:t>
      </w:r>
    </w:p>
    <w:p>
      <w:pPr>
        <w:spacing w:after="0" w:line="18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Adjustment Price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the Company at its expense shall, as promptly as reasonably practicable but in any event not later than ten (10) days thereafter, compute such adjustment or readjustment in accordance with the terms hereof and furnish to each Preferred Member a certificate setting forth such adjustment or readjustment and showing in detail the facts upon which such adjustment or readjustment is based. The Company shall, as promptly as reasonably practicable after the written request at any time of any Preferred Member (but in any event not later than ten (10) days thereafter), furnish or cause to be furnished to such holder a certificate setting forth (i) the Adjustment Price and Adjustment Ratio then in effect, and (ii) such holder’s Percentage Interest.</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“Bad Actor” Voting Restrictions</w:t>
      </w:r>
      <w:r>
        <w:rPr>
          <w:rFonts w:ascii="Times New Roman" w:cs="Times New Roman" w:eastAsia="Times New Roman" w:hAnsi="Times New Roman"/>
          <w:sz w:val="18"/>
          <w:szCs w:val="18"/>
          <w:color w:val="auto"/>
        </w:rPr>
        <w:t>. In the event the Company proposes an offering of its securities in reliance on Rule 506 of the Securities Act, the Company intends to conduct an inquiry of all Members that beneficially own 20% or more of the Company’s outstanding voting equity securities, calculated on the basis of voting power (each, a “</w:t>
      </w:r>
      <w:r>
        <w:rPr>
          <w:rFonts w:ascii="Times New Roman" w:cs="Times New Roman" w:eastAsia="Times New Roman" w:hAnsi="Times New Roman"/>
          <w:sz w:val="18"/>
          <w:szCs w:val="18"/>
          <w:b w:val="1"/>
          <w:bCs w:val="1"/>
          <w:color w:val="auto"/>
        </w:rPr>
        <w:t>20% Holder</w:t>
      </w:r>
      <w:r>
        <w:rPr>
          <w:rFonts w:ascii="Times New Roman" w:cs="Times New Roman" w:eastAsia="Times New Roman" w:hAnsi="Times New Roman"/>
          <w:sz w:val="18"/>
          <w:szCs w:val="18"/>
          <w:color w:val="auto"/>
        </w:rPr>
        <w:t>”) as to whether any 20% Holder or any Rule 506(d) Related Party of such 20% Holder is a “bad actor” within the meaning of Rule 506(d) promulgated under the Securities Act (a “</w:t>
      </w:r>
      <w:r>
        <w:rPr>
          <w:rFonts w:ascii="Times New Roman" w:cs="Times New Roman" w:eastAsia="Times New Roman" w:hAnsi="Times New Roman"/>
          <w:sz w:val="18"/>
          <w:szCs w:val="18"/>
          <w:b w:val="1"/>
          <w:bCs w:val="1"/>
          <w:color w:val="auto"/>
        </w:rPr>
        <w:t>Bad Actor</w:t>
      </w:r>
      <w:r>
        <w:rPr>
          <w:rFonts w:ascii="Times New Roman" w:cs="Times New Roman" w:eastAsia="Times New Roman" w:hAnsi="Times New Roman"/>
          <w:sz w:val="18"/>
          <w:szCs w:val="18"/>
          <w:color w:val="auto"/>
        </w:rPr>
        <w:t>”) and whether such 20% Holder or any Rule 506(d) Related Party are subject to any of the Bad Actor disqualifying events described in Rule 506(d)(1)(i) to (viii) promulgated under the Securities Act (a “</w:t>
      </w:r>
      <w:r>
        <w:rPr>
          <w:rFonts w:ascii="Times New Roman" w:cs="Times New Roman" w:eastAsia="Times New Roman" w:hAnsi="Times New Roman"/>
          <w:sz w:val="18"/>
          <w:szCs w:val="18"/>
          <w:b w:val="1"/>
          <w:bCs w:val="1"/>
          <w:color w:val="auto"/>
        </w:rPr>
        <w:t>Bad Actor Disqualification Event</w:t>
      </w:r>
      <w:r>
        <w:rPr>
          <w:rFonts w:ascii="Times New Roman" w:cs="Times New Roman" w:eastAsia="Times New Roman" w:hAnsi="Times New Roman"/>
          <w:sz w:val="18"/>
          <w:szCs w:val="18"/>
          <w:color w:val="auto"/>
        </w:rPr>
        <w:t>”). If (a) any 20% Holder fails to provide any requested information to the Company within ten</w:t>
      </w:r>
    </w:p>
    <w:p>
      <w:pPr>
        <w:spacing w:after="0" w:line="5" w:lineRule="exact"/>
        <w:rPr>
          <w:sz w:val="20"/>
          <w:szCs w:val="20"/>
          <w:color w:val="auto"/>
        </w:rPr>
      </w:pPr>
    </w:p>
    <w:p>
      <w:pPr>
        <w:ind w:left="4" w:right="40" w:hanging="4"/>
        <w:spacing w:after="0" w:line="253" w:lineRule="auto"/>
        <w:tabs>
          <w:tab w:leader="none" w:pos="34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the date of the request therefor or (b) any 20% Holder indicates that it or any Rule 506(d) Related Party of such 20% Holder is a Bad Actor, then, such 20% Holder agrees that it shall not cast any vote in respect of shares of the Company’s securities beneficially owned by such 20% Holder that are equal to or in excess of 20% of the Company’s outstanding voting equity securities, calculated on the basis of voting power. Notwithstanding the foregoing, the voting restrictions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cease as to a 20% Holder at such time as such 20% Holder certifies or recertifies to the Company that neither it nor any of its Rule 506(d) Related Parties is a Bad Actor.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40" w:name="page341"/>
    <w:bookmarkEnd w:id="340"/>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2.15 </w:t>
      </w:r>
      <w:r>
        <w:rPr>
          <w:rFonts w:ascii="Times New Roman" w:cs="Times New Roman" w:eastAsia="Times New Roman" w:hAnsi="Times New Roman"/>
          <w:sz w:val="18"/>
          <w:szCs w:val="18"/>
          <w:u w:val="single" w:color="auto"/>
          <w:color w:val="auto"/>
        </w:rPr>
        <w:t>Notification of a Bad Actor Disqualification Event</w:t>
      </w:r>
      <w:r>
        <w:rPr>
          <w:rFonts w:ascii="Times New Roman" w:cs="Times New Roman" w:eastAsia="Times New Roman" w:hAnsi="Times New Roman"/>
          <w:sz w:val="18"/>
          <w:szCs w:val="18"/>
          <w:color w:val="auto"/>
        </w:rPr>
        <w:t>. Each Member that is a 20% Holder hereby agrees that it shall notify the Company promptly (which in no event shall be more than 7 business days) in writing in the event a Bad Actor Disqualification Event becomes applicable to such Member or any of its Rule 506(d) Related Parties, except, if applicable, for a Bad Actor Disqualification Event as to which Rule 506(d)(2)(ii) or (iii) or (d)(3) is applicable.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BOARD OF DIRECTORS; CERTAIN GOVERNANCE MATTERS</w:t>
      </w:r>
    </w:p>
    <w:p>
      <w:pPr>
        <w:spacing w:after="0" w:line="20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 xml:space="preserve">3.01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business of the Company shall be managed by a Board of Directors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who may exercise all the powers of the Company, except as otherwise provided by law or by this Agreement, and by any committees that the Board of Directors may from time to time establish. In the event of a vacancy in the Board of Directors, the remaining Directors, except as otherwise provided by law, may exercise the powers of the full Board of Directors until the vacancy is filled. A Director shall be the equivalent of a “Manager” for all purposes under the Act.</w:t>
      </w:r>
    </w:p>
    <w:p>
      <w:pPr>
        <w:spacing w:after="0" w:line="273"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u w:val="single" w:color="auto"/>
          <w:color w:val="auto"/>
        </w:rPr>
        <w:t>Composition of the Board of Directors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360" w:hanging="373"/>
        <w:spacing w:after="0"/>
        <w:tabs>
          <w:tab w:leader="none" w:pos="13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consist of one or more members. The number of Directors shall initially be seven (7).</w:t>
      </w:r>
    </w:p>
    <w:p>
      <w:pPr>
        <w:spacing w:after="0" w:line="225"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38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each Member shall vote, or cause to be voted, all Units and all other voting securities of the Company presently owned or hereafter acquired by such Member, or over which such Member has voting control, at any meeting of the Members called for the purpose of filling positions on the Board of Directors, or to execute a written consent in lieu of a meeting of the Members, for purpose of filling positions on the Board of Directors to fix the number of Directors at seven (7) and to elect and continue in office as Directors the following:</w:t>
      </w:r>
    </w:p>
    <w:p>
      <w:pPr>
        <w:spacing w:after="0" w:line="67" w:lineRule="exact"/>
        <w:rPr>
          <w:rFonts w:ascii="Times New Roman" w:cs="Times New Roman" w:eastAsia="Times New Roman" w:hAnsi="Times New Roman"/>
          <w:sz w:val="18"/>
          <w:szCs w:val="18"/>
          <w:color w:val="auto"/>
        </w:rPr>
      </w:pPr>
    </w:p>
    <w:p>
      <w:pPr>
        <w:ind w:left="440" w:right="280" w:firstLine="948"/>
        <w:spacing w:after="0" w:line="286" w:lineRule="auto"/>
        <w:tabs>
          <w:tab w:leader="none" w:pos="1742"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UBS Oncology Impact Fund L.P. or its Affiliates (“</w:t>
      </w:r>
      <w:r>
        <w:rPr>
          <w:rFonts w:ascii="Times New Roman" w:cs="Times New Roman" w:eastAsia="Times New Roman" w:hAnsi="Times New Roman"/>
          <w:sz w:val="18"/>
          <w:szCs w:val="18"/>
          <w:b w:val="1"/>
          <w:bCs w:val="1"/>
          <w:color w:val="auto"/>
        </w:rPr>
        <w:t>OIF</w:t>
      </w:r>
      <w:r>
        <w:rPr>
          <w:rFonts w:ascii="Times New Roman" w:cs="Times New Roman" w:eastAsia="Times New Roman" w:hAnsi="Times New Roman"/>
          <w:sz w:val="18"/>
          <w:szCs w:val="18"/>
          <w:color w:val="auto"/>
        </w:rPr>
        <w:t>”), holds at least 10% of its originally issued Series A Preferred Units, one (1) person (the “</w:t>
      </w:r>
      <w:r>
        <w:rPr>
          <w:rFonts w:ascii="Times New Roman" w:cs="Times New Roman" w:eastAsia="Times New Roman" w:hAnsi="Times New Roman"/>
          <w:sz w:val="18"/>
          <w:szCs w:val="18"/>
          <w:b w:val="1"/>
          <w:bCs w:val="1"/>
          <w:color w:val="auto"/>
        </w:rPr>
        <w:t>OIF Director</w:t>
      </w:r>
      <w:r>
        <w:rPr>
          <w:rFonts w:ascii="Times New Roman" w:cs="Times New Roman" w:eastAsia="Times New Roman" w:hAnsi="Times New Roman"/>
          <w:sz w:val="18"/>
          <w:szCs w:val="18"/>
          <w:color w:val="auto"/>
        </w:rPr>
        <w:t>”), designated by OIF who initially shall be Ansbert Gadicke;</w:t>
      </w:r>
    </w:p>
    <w:p>
      <w:pPr>
        <w:spacing w:after="0" w:line="46"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F2 Ventures or its Affiliates (“</w:t>
      </w:r>
      <w:r>
        <w:rPr>
          <w:rFonts w:ascii="Times New Roman" w:cs="Times New Roman" w:eastAsia="Times New Roman" w:hAnsi="Times New Roman"/>
          <w:sz w:val="18"/>
          <w:szCs w:val="18"/>
          <w:b w:val="1"/>
          <w:bCs w:val="1"/>
          <w:color w:val="auto"/>
        </w:rPr>
        <w:t>F2</w:t>
      </w:r>
      <w:r>
        <w:rPr>
          <w:rFonts w:ascii="Times New Roman" w:cs="Times New Roman" w:eastAsia="Times New Roman" w:hAnsi="Times New Roman"/>
          <w:sz w:val="18"/>
          <w:szCs w:val="18"/>
          <w:color w:val="auto"/>
        </w:rPr>
        <w:t>”) holds at least 10% of its originally issued Series A Preferred Units, one</w:t>
      </w:r>
    </w:p>
    <w:p>
      <w:pPr>
        <w:spacing w:after="0" w:line="31" w:lineRule="exact"/>
        <w:rPr>
          <w:rFonts w:ascii="Times New Roman" w:cs="Times New Roman" w:eastAsia="Times New Roman" w:hAnsi="Times New Roman"/>
          <w:sz w:val="18"/>
          <w:szCs w:val="18"/>
          <w:color w:val="auto"/>
        </w:rPr>
      </w:pPr>
    </w:p>
    <w:p>
      <w:pPr>
        <w:ind w:left="440" w:right="520" w:hanging="4"/>
        <w:spacing w:after="0" w:line="260"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(the “</w:t>
      </w:r>
      <w:r>
        <w:rPr>
          <w:rFonts w:ascii="Times New Roman" w:cs="Times New Roman" w:eastAsia="Times New Roman" w:hAnsi="Times New Roman"/>
          <w:sz w:val="18"/>
          <w:szCs w:val="18"/>
          <w:b w:val="1"/>
          <w:bCs w:val="1"/>
          <w:color w:val="auto"/>
        </w:rPr>
        <w:t>F2 Director</w:t>
      </w:r>
      <w:r>
        <w:rPr>
          <w:rFonts w:ascii="Times New Roman" w:cs="Times New Roman" w:eastAsia="Times New Roman" w:hAnsi="Times New Roman"/>
          <w:sz w:val="18"/>
          <w:szCs w:val="18"/>
          <w:color w:val="auto"/>
        </w:rPr>
        <w:t>” and together with the OIF Director, collectively the “</w:t>
      </w:r>
      <w:r>
        <w:rPr>
          <w:rFonts w:ascii="Times New Roman" w:cs="Times New Roman" w:eastAsia="Times New Roman" w:hAnsi="Times New Roman"/>
          <w:sz w:val="18"/>
          <w:szCs w:val="18"/>
          <w:b w:val="1"/>
          <w:bCs w:val="1"/>
          <w:color w:val="auto"/>
        </w:rPr>
        <w:t>Series A Preferred Directors</w:t>
      </w:r>
      <w:r>
        <w:rPr>
          <w:rFonts w:ascii="Times New Roman" w:cs="Times New Roman" w:eastAsia="Times New Roman" w:hAnsi="Times New Roman"/>
          <w:sz w:val="18"/>
          <w:szCs w:val="18"/>
          <w:color w:val="auto"/>
        </w:rPr>
        <w:t>”), designated by F2 who initially shall be Morana Jovan;</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41" w:name="page342"/>
    <w:bookmarkEnd w:id="341"/>
    <w:p>
      <w:pPr>
        <w:jc w:val="both"/>
        <w:ind w:left="440" w:right="80" w:firstLine="948"/>
        <w:spacing w:after="0" w:line="266" w:lineRule="auto"/>
        <w:tabs>
          <w:tab w:leader="none" w:pos="1842"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so long as Cowen and Baupost jointly hold at least 10% of their originally issued Series B Preferred Units, one (1) person (the “</w:t>
      </w:r>
      <w:r>
        <w:rPr>
          <w:rFonts w:ascii="Times New Roman" w:cs="Times New Roman" w:eastAsia="Times New Roman" w:hAnsi="Times New Roman"/>
          <w:sz w:val="18"/>
          <w:szCs w:val="18"/>
          <w:b w:val="1"/>
          <w:bCs w:val="1"/>
          <w:color w:val="auto"/>
        </w:rPr>
        <w:t>Series B Preferred Director</w:t>
      </w:r>
      <w:r>
        <w:rPr>
          <w:rFonts w:ascii="Times New Roman" w:cs="Times New Roman" w:eastAsia="Times New Roman" w:hAnsi="Times New Roman"/>
          <w:sz w:val="18"/>
          <w:szCs w:val="18"/>
          <w:color w:val="auto"/>
        </w:rPr>
        <w:t>” and together with the Series A Preferred Directors, the “</w:t>
      </w: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designated jointly by Cowen and Baupost who initially shall be Tim Anderson;</w:t>
      </w:r>
    </w:p>
    <w:p>
      <w:pPr>
        <w:spacing w:after="0" w:line="63" w:lineRule="exact"/>
        <w:rPr>
          <w:rFonts w:ascii="Times New Roman" w:cs="Times New Roman" w:eastAsia="Times New Roman" w:hAnsi="Times New Roman"/>
          <w:sz w:val="18"/>
          <w:szCs w:val="18"/>
          <w:color w:val="auto"/>
        </w:rPr>
      </w:pPr>
    </w:p>
    <w:p>
      <w:pPr>
        <w:ind w:left="440" w:right="40" w:firstLine="948"/>
        <w:spacing w:after="0" w:line="262" w:lineRule="auto"/>
        <w:tabs>
          <w:tab w:leader="none" w:pos="182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(the “</w:t>
      </w:r>
      <w:r>
        <w:rPr>
          <w:rFonts w:ascii="Times New Roman" w:cs="Times New Roman" w:eastAsia="Times New Roman" w:hAnsi="Times New Roman"/>
          <w:sz w:val="18"/>
          <w:szCs w:val="18"/>
          <w:b w:val="1"/>
          <w:bCs w:val="1"/>
          <w:color w:val="auto"/>
        </w:rPr>
        <w:t>CEO Director</w:t>
      </w:r>
      <w:r>
        <w:rPr>
          <w:rFonts w:ascii="Times New Roman" w:cs="Times New Roman" w:eastAsia="Times New Roman" w:hAnsi="Times New Roman"/>
          <w:sz w:val="18"/>
          <w:szCs w:val="18"/>
          <w:color w:val="auto"/>
        </w:rPr>
        <w:t>”), who shall initially be Owen Hughes, provided that if for any reason the CEO Director shall cease to serve as the CEO, each of the Members shall promptly vote their respective Units (A) to remove the former CEO from the Board of Directors if such person has not resigned as a member of the Board of Directors and (B) to elect such person’s replacement as the CEO as the new CEO Director;</w:t>
      </w:r>
    </w:p>
    <w:p>
      <w:pPr>
        <w:spacing w:after="0" w:line="72"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77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people, mutually acceptable to a majority of the other members of the Board of Directors, including all of the Lead Directors, who shall initially be Tony Rosenberg and Thomas Ebeling (the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340" w:firstLine="948"/>
        <w:spacing w:after="0" w:line="312" w:lineRule="auto"/>
        <w:tabs>
          <w:tab w:leader="none" w:pos="1832"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independent person who does not have an affiliation with any of the Members or the Company, who shall be designated by a majority of the Preferred Directors and subject to the mutual satisfaction of the Board, who initially shall be Stephen Webster.</w:t>
      </w:r>
    </w:p>
    <w:p>
      <w:pPr>
        <w:spacing w:after="0" w:line="139" w:lineRule="exact"/>
        <w:rPr>
          <w:rFonts w:ascii="Times New Roman" w:cs="Times New Roman" w:eastAsia="Times New Roman" w:hAnsi="Times New Roman"/>
          <w:sz w:val="17"/>
          <w:szCs w:val="17"/>
          <w:color w:val="auto"/>
        </w:rPr>
      </w:pPr>
    </w:p>
    <w:p>
      <w:pPr>
        <w:ind w:firstLine="987"/>
        <w:spacing w:after="0" w:line="258" w:lineRule="auto"/>
        <w:tabs>
          <w:tab w:leader="none" w:pos="137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Member or Members that has or have the right to designate a Director pursuant to clause (b) above requests that the Director so designated by such Member or Members be removed (with or without cause), by written notice to the other holders of Units, then in such case, such Director shall be removed and each Member hereby agrees to vote all Units, and all other voting securities of the Company over which such Member has voting control, to effect such removal upon such request. Each Member agrees not to vote any Units having voting power, or any voting securities over which such Member has voting control, to remove any Director other than pursuant to this clause (c).</w:t>
      </w:r>
    </w:p>
    <w:p>
      <w:pPr>
        <w:spacing w:after="0" w:line="183" w:lineRule="exact"/>
        <w:rPr>
          <w:rFonts w:ascii="Times New Roman" w:cs="Times New Roman" w:eastAsia="Times New Roman" w:hAnsi="Times New Roman"/>
          <w:sz w:val="18"/>
          <w:szCs w:val="18"/>
          <w:color w:val="auto"/>
        </w:rPr>
      </w:pPr>
    </w:p>
    <w:p>
      <w:pPr>
        <w:ind w:right="160" w:firstLine="987"/>
        <w:spacing w:after="0" w:line="261" w:lineRule="auto"/>
        <w:tabs>
          <w:tab w:leader="none" w:pos="138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by this Agreement, Directors shall hold office until their successors are elected and duly qualified or until their earlier death, disability, resignation or removal. Any Director may resign by delivering his or her written resignation to the Company. Such resignation shall be effective upon receipt unless it is specified to be effective at some other time or upon the happening of some other event.</w:t>
      </w:r>
    </w:p>
    <w:p>
      <w:pPr>
        <w:spacing w:after="0" w:line="179" w:lineRule="exact"/>
        <w:rPr>
          <w:rFonts w:ascii="Times New Roman" w:cs="Times New Roman" w:eastAsia="Times New Roman" w:hAnsi="Times New Roman"/>
          <w:sz w:val="18"/>
          <w:szCs w:val="18"/>
          <w:color w:val="auto"/>
        </w:rPr>
      </w:pPr>
    </w:p>
    <w:p>
      <w:pPr>
        <w:ind w:right="40" w:firstLine="987"/>
        <w:spacing w:after="0" w:line="253" w:lineRule="auto"/>
        <w:tabs>
          <w:tab w:leader="none" w:pos="13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permit up to: one (1) representative of Baupost, one (1) representative from AIG, one (1) representative from Emerson Collective Investments LLC (“</w:t>
      </w:r>
      <w:r>
        <w:rPr>
          <w:rFonts w:ascii="Times New Roman" w:cs="Times New Roman" w:eastAsia="Times New Roman" w:hAnsi="Times New Roman"/>
          <w:sz w:val="18"/>
          <w:szCs w:val="18"/>
          <w:b w:val="1"/>
          <w:bCs w:val="1"/>
          <w:color w:val="auto"/>
        </w:rPr>
        <w:t>Emerson</w:t>
      </w:r>
      <w:r>
        <w:rPr>
          <w:rFonts w:ascii="Times New Roman" w:cs="Times New Roman" w:eastAsia="Times New Roman" w:hAnsi="Times New Roman"/>
          <w:sz w:val="18"/>
          <w:szCs w:val="18"/>
          <w:color w:val="auto"/>
        </w:rPr>
        <w:t>”), one (1) representative from Schooner Capital (“</w:t>
      </w:r>
      <w:r>
        <w:rPr>
          <w:rFonts w:ascii="Times New Roman" w:cs="Times New Roman" w:eastAsia="Times New Roman" w:hAnsi="Times New Roman"/>
          <w:sz w:val="18"/>
          <w:szCs w:val="18"/>
          <w:b w:val="1"/>
          <w:bCs w:val="1"/>
          <w:color w:val="auto"/>
        </w:rPr>
        <w:t>Schooner</w:t>
      </w:r>
      <w:r>
        <w:rPr>
          <w:rFonts w:ascii="Times New Roman" w:cs="Times New Roman" w:eastAsia="Times New Roman" w:hAnsi="Times New Roman"/>
          <w:sz w:val="18"/>
          <w:szCs w:val="18"/>
          <w:color w:val="auto"/>
        </w:rPr>
        <w:t>”), and one (1) representative from Foresite, each of whom shall be designated from time to time, to attend all meetings of its Board, any committee thereof, or any board of any subsidiary of the Company, in a nonvoting observer capacity (each such representative, a “</w:t>
      </w:r>
      <w:r>
        <w:rPr>
          <w:rFonts w:ascii="Times New Roman" w:cs="Times New Roman" w:eastAsia="Times New Roman" w:hAnsi="Times New Roman"/>
          <w:sz w:val="18"/>
          <w:szCs w:val="18"/>
          <w:b w:val="1"/>
          <w:bCs w:val="1"/>
          <w:color w:val="auto"/>
        </w:rPr>
        <w:t>Board Observer</w:t>
      </w:r>
      <w:r>
        <w:rPr>
          <w:rFonts w:ascii="Times New Roman" w:cs="Times New Roman" w:eastAsia="Times New Roman" w:hAnsi="Times New Roman"/>
          <w:sz w:val="18"/>
          <w:szCs w:val="18"/>
          <w:color w:val="auto"/>
        </w:rPr>
        <w:t>”) and, in this respect, shall give such representative copies of all notices, minutes, consents, and other documents or materials that it provides to its members at the same time and in the same manner as provided to such members; provided, however, that Baupost, AIG, Emerson, Schooner and Foresite shall each cause its respective representative to hold in confidence such information to the same extent as provided in Section 2.09 above; provided further, the Company reserves the right to withhold any information and/or exclude any such representative from any meeting or portion thereof to the extent that the Company reasonably believes that the disclosure of which or that the inclusion of such representative would adversely affect the attorney-client privilege between the Company or its Affiliates and its counsel. Notwithstanding the preceding provisions of this Section, the absence of any such representative from any meeting or the failure of any such representative to participate in any consent shall not affect the existence of a quorum of the validity of any action taken.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42" w:name="page343"/>
    <w:bookmarkEnd w:id="342"/>
    <w:p>
      <w:pPr>
        <w:ind w:left="3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3.03</w:t>
      </w:r>
      <w:r>
        <w:rPr>
          <w:sz w:val="20"/>
          <w:szCs w:val="20"/>
          <w:color w:val="auto"/>
        </w:rPr>
        <w:tab/>
      </w:r>
      <w:r>
        <w:rPr>
          <w:rFonts w:ascii="Times New Roman" w:cs="Times New Roman" w:eastAsia="Times New Roman" w:hAnsi="Times New Roman"/>
          <w:sz w:val="17"/>
          <w:szCs w:val="17"/>
          <w:u w:val="single" w:color="auto"/>
          <w:color w:val="auto"/>
        </w:rPr>
        <w:t>Powers and Duties of the Directors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00" w:right="160" w:firstLine="987"/>
        <w:spacing w:after="0" w:line="289" w:lineRule="auto"/>
        <w:tabs>
          <w:tab w:leader="none" w:pos="1271"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in all cases to the provisions of </w:t>
      </w:r>
      <w:r>
        <w:rPr>
          <w:rFonts w:ascii="Times New Roman" w:cs="Times New Roman" w:eastAsia="Times New Roman" w:hAnsi="Times New Roman"/>
          <w:sz w:val="17"/>
          <w:szCs w:val="17"/>
          <w:u w:val="single" w:color="auto"/>
          <w:color w:val="auto"/>
        </w:rPr>
        <w:t>Section 3.03(b)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and any applicable consents that must be obtained thereunder or otherwise under this Agreement, the Board of Directors shall have and may exercise on behalf of the Company all of its rights, powers, duties and responsibilities under Section 1.02 or as otherwise provided by law or this Agreement, including without limitation the right and authority:</w:t>
      </w:r>
    </w:p>
    <w:p>
      <w:pPr>
        <w:spacing w:after="0" w:line="49" w:lineRule="exact"/>
        <w:rPr>
          <w:rFonts w:ascii="Times New Roman" w:cs="Times New Roman" w:eastAsia="Times New Roman" w:hAnsi="Times New Roman"/>
          <w:sz w:val="17"/>
          <w:szCs w:val="17"/>
          <w:color w:val="auto"/>
        </w:rPr>
      </w:pPr>
    </w:p>
    <w:p>
      <w:pPr>
        <w:ind w:left="340" w:right="60" w:firstLine="948"/>
        <w:spacing w:after="0" w:line="258" w:lineRule="auto"/>
        <w:tabs>
          <w:tab w:leader="none" w:pos="164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manage the business and affairs of the Company and its subsidiaries and for this purpose to employ, retain or appoint any officers, employees, consultants, agents, brokers, professionals or other Persons in any capacity with the Company or its subsidiaries for such compensation and on such terms as the Board of Directors deems necessary or desirable and to delegate to such Persons such of its duties and responsibilities as the Board of Directors shall determine, and to remove such Persons or revoke their delegated authority on such terms or under such conditions as the Board of Directors shall determine;</w:t>
      </w:r>
    </w:p>
    <w:p>
      <w:pPr>
        <w:spacing w:after="0" w:line="75" w:lineRule="exact"/>
        <w:rPr>
          <w:rFonts w:ascii="Times New Roman" w:cs="Times New Roman" w:eastAsia="Times New Roman" w:hAnsi="Times New Roman"/>
          <w:sz w:val="18"/>
          <w:szCs w:val="18"/>
          <w:color w:val="auto"/>
        </w:rPr>
      </w:pPr>
    </w:p>
    <w:p>
      <w:pPr>
        <w:ind w:left="1680" w:hanging="392"/>
        <w:spacing w:after="0"/>
        <w:tabs>
          <w:tab w:leader="none" w:pos="16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form, manage, dissolve and make capital contributions to any subsidiaries of the Company;</w:t>
      </w:r>
    </w:p>
    <w:p>
      <w:pPr>
        <w:spacing w:after="0" w:line="117" w:lineRule="exact"/>
        <w:rPr>
          <w:rFonts w:ascii="Times New Roman" w:cs="Times New Roman" w:eastAsia="Times New Roman" w:hAnsi="Times New Roman"/>
          <w:sz w:val="18"/>
          <w:szCs w:val="18"/>
          <w:color w:val="auto"/>
        </w:rPr>
      </w:pPr>
    </w:p>
    <w:p>
      <w:pPr>
        <w:ind w:left="340" w:right="80" w:firstLine="948"/>
        <w:spacing w:after="0" w:line="282" w:lineRule="auto"/>
        <w:tabs>
          <w:tab w:leader="none" w:pos="174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merge or consolidate the Company or any of its subsidiaries with or into any other entity or otherwise effect the sale of the Company and its business;</w:t>
      </w:r>
    </w:p>
    <w:p>
      <w:pPr>
        <w:spacing w:after="0" w:line="53" w:lineRule="exact"/>
        <w:rPr>
          <w:rFonts w:ascii="Times New Roman" w:cs="Times New Roman" w:eastAsia="Times New Roman" w:hAnsi="Times New Roman"/>
          <w:sz w:val="18"/>
          <w:szCs w:val="18"/>
          <w:color w:val="auto"/>
        </w:rPr>
      </w:pPr>
    </w:p>
    <w:p>
      <w:pPr>
        <w:ind w:left="1720" w:hanging="432"/>
        <w:spacing w:after="0"/>
        <w:tabs>
          <w:tab w:leader="none" w:pos="17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or invest in other entities or businesses directly or indirectly through one or more subsidiaries;</w:t>
      </w:r>
    </w:p>
    <w:p>
      <w:pPr>
        <w:spacing w:after="0" w:line="117" w:lineRule="exact"/>
        <w:rPr>
          <w:rFonts w:ascii="Times New Roman" w:cs="Times New Roman" w:eastAsia="Times New Roman" w:hAnsi="Times New Roman"/>
          <w:sz w:val="18"/>
          <w:szCs w:val="18"/>
          <w:color w:val="auto"/>
        </w:rPr>
      </w:pPr>
    </w:p>
    <w:p>
      <w:pPr>
        <w:ind w:left="1680" w:hanging="392"/>
        <w:spacing w:after="0"/>
        <w:tabs>
          <w:tab w:leader="none" w:pos="16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enter into, execute, deliver, acknowledge, make, modify, supplement or amend any documents or instruments in the name of</w:t>
      </w:r>
    </w:p>
    <w:p>
      <w:pPr>
        <w:spacing w:after="0" w:line="38"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w:t>
      </w:r>
    </w:p>
    <w:p>
      <w:pPr>
        <w:spacing w:after="0" w:line="98" w:lineRule="exact"/>
        <w:rPr>
          <w:rFonts w:ascii="Times New Roman" w:cs="Times New Roman" w:eastAsia="Times New Roman" w:hAnsi="Times New Roman"/>
          <w:sz w:val="17"/>
          <w:szCs w:val="17"/>
          <w:color w:val="auto"/>
        </w:rPr>
      </w:pPr>
    </w:p>
    <w:p>
      <w:pPr>
        <w:ind w:left="340" w:right="480" w:firstLine="948"/>
        <w:spacing w:after="0" w:line="266" w:lineRule="auto"/>
        <w:tabs>
          <w:tab w:leader="none" w:pos="173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money or otherwise obtain credit and other financial accommodations on behalf of the Company or any of its subsidiaries on a secured or unsecured basis and to perform or cause to be performed all of the Company’s obligations in respect of its indebtedness or guarantees and any mortgage, lien or security interest securing such indebtedness;</w:t>
      </w:r>
    </w:p>
    <w:p>
      <w:pPr>
        <w:spacing w:after="0" w:line="67" w:lineRule="exact"/>
        <w:rPr>
          <w:rFonts w:ascii="Times New Roman" w:cs="Times New Roman" w:eastAsia="Times New Roman" w:hAnsi="Times New Roman"/>
          <w:sz w:val="18"/>
          <w:szCs w:val="18"/>
          <w:color w:val="auto"/>
        </w:rPr>
      </w:pPr>
    </w:p>
    <w:p>
      <w:pPr>
        <w:ind w:left="340" w:right="400" w:firstLine="948"/>
        <w:spacing w:after="0" w:line="282" w:lineRule="auto"/>
        <w:tabs>
          <w:tab w:leader="none" w:pos="17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issue additional Units, Options or other rights or other interests in the Company and to designate additional classes of interest in the Company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0"/>
          </w:cols>
          <w:pgMar w:left="540" w:top="270" w:right="539" w:bottom="1440" w:gutter="0" w:footer="0" w:header="0"/>
        </w:sectPr>
      </w:pPr>
    </w:p>
    <w:bookmarkStart w:id="343" w:name="page344"/>
    <w:bookmarkEnd w:id="343"/>
    <w:p>
      <w:pPr>
        <w:ind w:left="440" w:firstLine="948"/>
        <w:spacing w:after="0" w:line="266" w:lineRule="auto"/>
        <w:tabs>
          <w:tab w:leader="none" w:pos="193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designate one of the Members to serve as the “Partnership Representative” of the Company for purposes of Section 6223 of the Code (the “</w:t>
      </w:r>
      <w:r>
        <w:rPr>
          <w:rFonts w:ascii="Times New Roman" w:cs="Times New Roman" w:eastAsia="Times New Roman" w:hAnsi="Times New Roman"/>
          <w:sz w:val="18"/>
          <w:szCs w:val="18"/>
          <w:b w:val="1"/>
          <w:bCs w:val="1"/>
          <w:color w:val="auto"/>
        </w:rPr>
        <w:t>Partnership Representative</w:t>
      </w:r>
      <w:r>
        <w:rPr>
          <w:rFonts w:ascii="Times New Roman" w:cs="Times New Roman" w:eastAsia="Times New Roman" w:hAnsi="Times New Roman"/>
          <w:sz w:val="18"/>
          <w:szCs w:val="18"/>
          <w:color w:val="auto"/>
        </w:rPr>
        <w:t>”) with power to manage and represent the Company in any administrative proceeding of the Internal Revenue Service; and</w:t>
      </w:r>
    </w:p>
    <w:p>
      <w:pPr>
        <w:spacing w:after="0" w:line="67"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actions in connection with any of the matters set forth in Section 3.04.</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38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Requiring Preferred Director Consent</w:t>
      </w:r>
      <w:r>
        <w:rPr>
          <w:rFonts w:ascii="Times New Roman" w:cs="Times New Roman" w:eastAsia="Times New Roman" w:hAnsi="Times New Roman"/>
          <w:sz w:val="18"/>
          <w:szCs w:val="18"/>
          <w:color w:val="auto"/>
        </w:rPr>
        <w:t>. For so long as the holders of Preferred Units are entitled to elect the Preferred Directors, the Company shall not, without the approval (or written consent) of the Board of Directors, which approval must include the affirmative vote of at least two of the Preferred Directors:</w:t>
      </w:r>
    </w:p>
    <w:p>
      <w:pPr>
        <w:spacing w:after="0" w:line="67" w:lineRule="exact"/>
        <w:rPr>
          <w:rFonts w:ascii="Times New Roman" w:cs="Times New Roman" w:eastAsia="Times New Roman" w:hAnsi="Times New Roman"/>
          <w:sz w:val="18"/>
          <w:szCs w:val="18"/>
          <w:color w:val="auto"/>
        </w:rPr>
      </w:pPr>
    </w:p>
    <w:p>
      <w:pPr>
        <w:ind w:left="980" w:right="20" w:firstLine="910"/>
        <w:spacing w:after="0" w:line="282" w:lineRule="auto"/>
        <w:tabs>
          <w:tab w:leader="none" w:pos="223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53" w:lineRule="exact"/>
        <w:rPr>
          <w:rFonts w:ascii="Times New Roman" w:cs="Times New Roman" w:eastAsia="Times New Roman" w:hAnsi="Times New Roman"/>
          <w:sz w:val="18"/>
          <w:szCs w:val="18"/>
          <w:color w:val="auto"/>
        </w:rPr>
      </w:pPr>
    </w:p>
    <w:p>
      <w:pPr>
        <w:ind w:left="980" w:right="80" w:firstLine="910"/>
        <w:spacing w:after="0" w:line="266" w:lineRule="auto"/>
        <w:tabs>
          <w:tab w:leader="none" w:pos="228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unit or option plan approved by the Board of Directors;</w:t>
      </w:r>
    </w:p>
    <w:p>
      <w:pPr>
        <w:spacing w:after="0" w:line="67" w:lineRule="exact"/>
        <w:rPr>
          <w:rFonts w:ascii="Times New Roman" w:cs="Times New Roman" w:eastAsia="Times New Roman" w:hAnsi="Times New Roman"/>
          <w:sz w:val="18"/>
          <w:szCs w:val="18"/>
          <w:color w:val="auto"/>
        </w:rPr>
      </w:pPr>
    </w:p>
    <w:p>
      <w:pPr>
        <w:ind w:left="980" w:right="340" w:firstLine="910"/>
        <w:spacing w:after="0" w:line="282" w:lineRule="auto"/>
        <w:tabs>
          <w:tab w:leader="none" w:pos="233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or permit any subsidiary to guarantee, any indebtedness except for trade accounts of the Company or any subsidiary arising in the ordinary course of business;</w:t>
      </w:r>
    </w:p>
    <w:p>
      <w:pPr>
        <w:spacing w:after="0" w:line="53" w:lineRule="exact"/>
        <w:rPr>
          <w:rFonts w:ascii="Times New Roman" w:cs="Times New Roman" w:eastAsia="Times New Roman" w:hAnsi="Times New Roman"/>
          <w:sz w:val="18"/>
          <w:szCs w:val="18"/>
          <w:color w:val="auto"/>
        </w:rPr>
      </w:pPr>
    </w:p>
    <w:p>
      <w:pPr>
        <w:ind w:left="2320" w:hanging="430"/>
        <w:spacing w:after="0"/>
        <w:tabs>
          <w:tab w:leader="none" w:pos="23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investment inconsistent with any investment policy approved by the Board</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Directors;</w:t>
      </w:r>
    </w:p>
    <w:p>
      <w:pPr>
        <w:spacing w:after="0" w:line="98" w:lineRule="exact"/>
        <w:rPr>
          <w:rFonts w:ascii="Times New Roman" w:cs="Times New Roman" w:eastAsia="Times New Roman" w:hAnsi="Times New Roman"/>
          <w:sz w:val="18"/>
          <w:szCs w:val="18"/>
          <w:color w:val="auto"/>
        </w:rPr>
      </w:pPr>
    </w:p>
    <w:p>
      <w:pPr>
        <w:ind w:left="980" w:right="80" w:firstLine="910"/>
        <w:spacing w:after="0" w:line="282" w:lineRule="auto"/>
        <w:tabs>
          <w:tab w:leader="none" w:pos="227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permit any subsidiary to incur, any aggregate indebtedness in excess of $100,000 that is not already included in a budget approved by the Board of Directors, other than trade credit incurred in the ordinary course of business;</w:t>
      </w:r>
    </w:p>
    <w:p>
      <w:pPr>
        <w:spacing w:after="0" w:line="53" w:lineRule="exact"/>
        <w:rPr>
          <w:rFonts w:ascii="Times New Roman" w:cs="Times New Roman" w:eastAsia="Times New Roman" w:hAnsi="Times New Roman"/>
          <w:sz w:val="18"/>
          <w:szCs w:val="18"/>
          <w:color w:val="auto"/>
        </w:rPr>
      </w:pPr>
    </w:p>
    <w:p>
      <w:pPr>
        <w:ind w:left="980" w:right="20" w:firstLine="910"/>
        <w:spacing w:after="0" w:line="266" w:lineRule="auto"/>
        <w:tabs>
          <w:tab w:leader="none" w:pos="232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a party to, or permit a subsidiary to enter into or be a party to, any transaction with any Director, Officer, or employee of the Company or any “associate” (as defined in Rule 12b-2 promulgated under the Exchange Act) of any such Person, except for transactions contemplated by this Agreement;</w:t>
      </w:r>
    </w:p>
    <w:p>
      <w:pPr>
        <w:spacing w:after="0" w:line="67" w:lineRule="exact"/>
        <w:rPr>
          <w:rFonts w:ascii="Times New Roman" w:cs="Times New Roman" w:eastAsia="Times New Roman" w:hAnsi="Times New Roman"/>
          <w:sz w:val="18"/>
          <w:szCs w:val="18"/>
          <w:color w:val="auto"/>
        </w:rPr>
      </w:pPr>
    </w:p>
    <w:p>
      <w:pPr>
        <w:ind w:left="980" w:right="340" w:firstLine="910"/>
        <w:spacing w:after="0" w:line="282" w:lineRule="auto"/>
        <w:tabs>
          <w:tab w:leader="none" w:pos="237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terminate, or change, or permit any subsidiary to hire, terminate, or change, the compensation of the executive officers, including approving any option grants or unit awards;</w:t>
      </w:r>
    </w:p>
    <w:p>
      <w:pPr>
        <w:spacing w:after="0" w:line="53" w:lineRule="exact"/>
        <w:rPr>
          <w:rFonts w:ascii="Times New Roman" w:cs="Times New Roman" w:eastAsia="Times New Roman" w:hAnsi="Times New Roman"/>
          <w:sz w:val="18"/>
          <w:szCs w:val="18"/>
          <w:color w:val="auto"/>
        </w:rPr>
      </w:pPr>
    </w:p>
    <w:p>
      <w:pPr>
        <w:ind w:left="2420" w:hanging="530"/>
        <w:spacing w:after="0"/>
        <w:tabs>
          <w:tab w:leader="none" w:pos="24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principal business of the Company and its subsidiaries, enter new lines of business, or exit the current line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44" w:name="page345"/>
    <w:bookmarkEnd w:id="344"/>
    <w:p>
      <w:pPr>
        <w:ind w:left="980" w:right="460" w:firstLine="910"/>
        <w:spacing w:after="0" w:line="282" w:lineRule="auto"/>
        <w:tabs>
          <w:tab w:leader="none" w:pos="232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 assign, license, pledge or encumber, or permit any subsidiary to sell, assign, license, pledge or encumber, any material technology or intellectual property, other than non-exclusive licenses granted in the ordinary course of business; or</w:t>
      </w:r>
    </w:p>
    <w:p>
      <w:pPr>
        <w:spacing w:after="0" w:line="53" w:lineRule="exact"/>
        <w:rPr>
          <w:rFonts w:ascii="Times New Roman" w:cs="Times New Roman" w:eastAsia="Times New Roman" w:hAnsi="Times New Roman"/>
          <w:sz w:val="18"/>
          <w:szCs w:val="18"/>
          <w:color w:val="auto"/>
        </w:rPr>
      </w:pPr>
    </w:p>
    <w:p>
      <w:pPr>
        <w:ind w:left="980" w:right="80" w:firstLine="910"/>
        <w:spacing w:after="0" w:line="266" w:lineRule="auto"/>
        <w:tabs>
          <w:tab w:leader="none" w:pos="227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corporate strategic relationship, or permit any subsidiary to enter into any corporate strategic relationship, involving payment, contribution or assignment by the Company or any subsidiary or to the Company or any subsidiary of assets greater than $500,000.</w:t>
      </w:r>
    </w:p>
    <w:p>
      <w:pPr>
        <w:spacing w:after="0" w:line="284"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7"/>
          <w:szCs w:val="17"/>
          <w:u w:val="single" w:color="auto"/>
          <w:color w:val="auto"/>
        </w:rPr>
        <w:t>Actions Requiring Member Consent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61" w:lineRule="auto"/>
        <w:tabs>
          <w:tab w:leader="none" w:pos="137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Requiring the Consent of the Requisite Preferred Holders</w:t>
      </w:r>
      <w:r>
        <w:rPr>
          <w:rFonts w:ascii="Times New Roman" w:cs="Times New Roman" w:eastAsia="Times New Roman" w:hAnsi="Times New Roman"/>
          <w:sz w:val="18"/>
          <w:szCs w:val="18"/>
          <w:color w:val="auto"/>
        </w:rPr>
        <w:t>. Notwithstanding the provisions of this Agreement, including Section 3.03, for as long as 10% of the Preferred Units originally issued are outstanding, the Company shall not, and shall not permit any subsidiary to (either directly or by amendment, merger, consolidation or otherwise), without first having obtained the affirmative vote or written consent (including by means of an authorized electronic, stamped or other facsimile signature) of the Requisite Preferred Holders:</w:t>
      </w:r>
    </w:p>
    <w:p>
      <w:pPr>
        <w:spacing w:after="0" w:line="71" w:lineRule="exact"/>
        <w:rPr>
          <w:rFonts w:ascii="Times New Roman" w:cs="Times New Roman" w:eastAsia="Times New Roman" w:hAnsi="Times New Roman"/>
          <w:sz w:val="18"/>
          <w:szCs w:val="18"/>
          <w:color w:val="auto"/>
        </w:rPr>
      </w:pPr>
    </w:p>
    <w:p>
      <w:pPr>
        <w:ind w:left="440" w:right="960" w:firstLine="948"/>
        <w:spacing w:after="0" w:line="282" w:lineRule="auto"/>
        <w:tabs>
          <w:tab w:leader="none" w:pos="174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or wind-up the affairs of the Company, whether voluntary or involuntary, or effect any merger or consolidation or any other Change of Control of the Company or enter into any agreement to do any of the foregoing;</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79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this Agreement if it would adversely alter the rights, preferences, privileges or powers of or restrictions on the Preferred Units;</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61" w:lineRule="auto"/>
        <w:tabs>
          <w:tab w:leader="none" w:pos="184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incur any obligation to issue, any other security convertible into or exercisable for, any equity security, having rights, preferences or privileges senior to or on parity with the Preferred Units (or any sub-series thereof), including with respect to redemption and distributions to be made on liquidation or otherwise, or increase the authorized number of Preferred Units (or any sub-series thereof);</w:t>
      </w:r>
    </w:p>
    <w:p>
      <w:pPr>
        <w:spacing w:after="0" w:line="71" w:lineRule="exact"/>
        <w:rPr>
          <w:rFonts w:ascii="Times New Roman" w:cs="Times New Roman" w:eastAsia="Times New Roman" w:hAnsi="Times New Roman"/>
          <w:sz w:val="18"/>
          <w:szCs w:val="18"/>
          <w:color w:val="auto"/>
        </w:rPr>
      </w:pPr>
    </w:p>
    <w:p>
      <w:pPr>
        <w:ind w:left="440" w:right="80" w:firstLine="948"/>
        <w:spacing w:after="0" w:line="258" w:lineRule="auto"/>
        <w:tabs>
          <w:tab w:leader="none" w:pos="183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this Agreement, redeem, purchase or pay, or permit any subsidiary to redeem, purchase or pay, any distribution or dividend on any Units; provided, however, that this restriction shall not apply to the repurchase of Units from employees, Officers, directors, consultants or other persons performing services for the Company (i) pursuant to agreements under which the Company has the option to repurchase such Units at the lower of fair market value or cost upon the occurrence of certain events, such as the termination of employment or service, or pursuant to a right of first refusal or (ii) as approved by the Board of Directors;</w:t>
      </w:r>
    </w:p>
    <w:p>
      <w:pPr>
        <w:spacing w:after="0" w:line="75"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any debt security other than equipment leases in the ordinary course of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45" w:name="page346"/>
    <w:bookmarkEnd w:id="345"/>
    <w:p>
      <w:pPr>
        <w:ind w:left="440" w:right="80" w:firstLine="948"/>
        <w:spacing w:after="0" w:line="282" w:lineRule="auto"/>
        <w:tabs>
          <w:tab w:leader="none" w:pos="183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create or hold an equity interest in any subsidiary, including a wholly-owned subsidiary, or dispose of any subsidiary equity or all or substantially all of any subsidiary assets;</w:t>
      </w:r>
    </w:p>
    <w:p>
      <w:pPr>
        <w:spacing w:after="0" w:line="53" w:lineRule="exact"/>
        <w:rPr>
          <w:rFonts w:ascii="Times New Roman" w:cs="Times New Roman" w:eastAsia="Times New Roman" w:hAnsi="Times New Roman"/>
          <w:sz w:val="18"/>
          <w:szCs w:val="18"/>
          <w:color w:val="auto"/>
        </w:rPr>
      </w:pPr>
    </w:p>
    <w:p>
      <w:pPr>
        <w:ind w:left="1880" w:hanging="492"/>
        <w:spacing w:after="0"/>
        <w:tabs>
          <w:tab w:leader="none" w:pos="18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Directors constituting the Board of Directors;</w:t>
      </w:r>
    </w:p>
    <w:p>
      <w:pPr>
        <w:spacing w:after="0" w:line="117" w:lineRule="exact"/>
        <w:rPr>
          <w:rFonts w:ascii="Times New Roman" w:cs="Times New Roman" w:eastAsia="Times New Roman" w:hAnsi="Times New Roman"/>
          <w:sz w:val="18"/>
          <w:szCs w:val="18"/>
          <w:color w:val="auto"/>
        </w:rPr>
      </w:pPr>
    </w:p>
    <w:p>
      <w:pPr>
        <w:ind w:left="440" w:right="300" w:firstLine="948"/>
        <w:spacing w:after="0" w:line="282" w:lineRule="auto"/>
        <w:tabs>
          <w:tab w:leader="none" w:pos="193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create any lien or security interests in any of the assets of the Company or any subsidiary other than equipment in connection with equipment leases in the ordinary course of business and permitted encumbrances;</w:t>
      </w:r>
    </w:p>
    <w:p>
      <w:pPr>
        <w:spacing w:after="0" w:line="53"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83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tax election, decision or filing that would reasonably be expected to have a material adverse and disproportionate effect on the holders of Preferred Units relative to any other holder of Capital Units; or</w:t>
      </w:r>
    </w:p>
    <w:p>
      <w:pPr>
        <w:spacing w:after="0" w:line="53"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78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establish any new employee equity incentive plan (other than the 2020 Unit Option and Grant Plan), or increase the number of Units reserved for issuance under any such plan.</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8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Requiring the Series B Vote</w:t>
      </w:r>
      <w:r>
        <w:rPr>
          <w:rFonts w:ascii="Times New Roman" w:cs="Times New Roman" w:eastAsia="Times New Roman" w:hAnsi="Times New Roman"/>
          <w:sz w:val="18"/>
          <w:szCs w:val="18"/>
          <w:color w:val="auto"/>
        </w:rPr>
        <w:t>. Notwithstanding the provisions of this Agreement, including Section 3.03, for as long as 10% of the Series B Preferred Units originally issued are outstanding, the Company shall not, and shall not permit any subsidiary to (either directly or by amendment, merger, consolidation or otherwise), without first having obtained the affirmative vote or written consent (including by means of an authorized electronic, stamped or other facsimile signature) of the Series B Vote:</w:t>
      </w:r>
    </w:p>
    <w:p>
      <w:pPr>
        <w:spacing w:after="0" w:line="71" w:lineRule="exact"/>
        <w:rPr>
          <w:rFonts w:ascii="Times New Roman" w:cs="Times New Roman" w:eastAsia="Times New Roman" w:hAnsi="Times New Roman"/>
          <w:sz w:val="18"/>
          <w:szCs w:val="18"/>
          <w:color w:val="auto"/>
        </w:rPr>
      </w:pPr>
    </w:p>
    <w:p>
      <w:pPr>
        <w:ind w:left="440" w:right="380" w:firstLine="948"/>
        <w:spacing w:after="0" w:line="312" w:lineRule="auto"/>
        <w:tabs>
          <w:tab w:leader="none" w:pos="1742"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waive, alter, or repeal any provision of this Agreement if it would adversely alter the rights, preferences, privileges, powers or obligations of or restrictions on the Series B Preferred Units or the holders of Series B Preferred Units in their capacity as such;</w:t>
      </w:r>
    </w:p>
    <w:p>
      <w:pPr>
        <w:spacing w:after="0" w:line="31" w:lineRule="exact"/>
        <w:rPr>
          <w:rFonts w:ascii="Times New Roman" w:cs="Times New Roman" w:eastAsia="Times New Roman" w:hAnsi="Times New Roman"/>
          <w:sz w:val="17"/>
          <w:szCs w:val="17"/>
          <w:color w:val="auto"/>
        </w:rPr>
      </w:pPr>
    </w:p>
    <w:p>
      <w:pPr>
        <w:jc w:val="both"/>
        <w:ind w:left="440" w:right="160" w:firstLine="948"/>
        <w:spacing w:after="0" w:line="261" w:lineRule="auto"/>
        <w:tabs>
          <w:tab w:leader="none" w:pos="1792"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incur any obligation to issue, any other security convertible into or exercisable for, any equity security, having rights, preferences or privileges senior to or on parity with the Series B Preferred Units, including with respect to redemption and distributions to be made on liquidation or otherwise, or increase the authorized number of Series B Preferred Units (or any sub-series thereof);</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56" w:lineRule="auto"/>
        <w:tabs>
          <w:tab w:leader="none" w:pos="1842"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this Agreement, redeem, purchase, pay or make any distribution or dividend on any Units (for the avoidance of doubt, including payments in cash or in-kind and distributions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of this Agreement); provided, however, that this restriction shall not apply to the repurchase of Units from employees, Officers, directors, consultants or other persons performing services for the Company pursuant to agreements under which the Company has the option to repurchase such Units at the lower of fair market value or cost upon the occurrence of certain events, such as the termination of employment or service, or pursuant to a right of first refusal;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46" w:name="page347"/>
    <w:bookmarkEnd w:id="346"/>
    <w:p>
      <w:pPr>
        <w:jc w:val="both"/>
        <w:ind w:left="420" w:right="320" w:firstLine="948"/>
        <w:spacing w:after="0" w:line="266" w:lineRule="auto"/>
        <w:tabs>
          <w:tab w:leader="none" w:pos="1812"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enter into or be a party to, or permit any subsidiary to enter into or be a party to, any transaction with any Director, Officer, employee or Member of the Company or any Affiliate of any such Person, except for this Agreement, the Purchase Agreement and customary arms-length employment agreements;</w:t>
      </w:r>
    </w:p>
    <w:p>
      <w:pPr>
        <w:spacing w:after="0" w:line="67" w:lineRule="exact"/>
        <w:rPr>
          <w:rFonts w:ascii="Times New Roman" w:cs="Times New Roman" w:eastAsia="Times New Roman" w:hAnsi="Times New Roman"/>
          <w:sz w:val="18"/>
          <w:szCs w:val="18"/>
          <w:color w:val="auto"/>
        </w:rPr>
      </w:pPr>
    </w:p>
    <w:p>
      <w:pPr>
        <w:ind w:left="420" w:right="320" w:firstLine="948"/>
        <w:spacing w:after="0" w:line="312" w:lineRule="auto"/>
        <w:tabs>
          <w:tab w:leader="none" w:pos="1762"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tax election, decision or filing that would reasonably be expected to have a material adverse and disproportionate effect on the holders of Series B Preferred Units (or their direct or indirect beneficial owners) relative to any other holder of Capital Units; or</w:t>
      </w:r>
    </w:p>
    <w:p>
      <w:pPr>
        <w:spacing w:after="0" w:line="31" w:lineRule="exact"/>
        <w:rPr>
          <w:rFonts w:ascii="Times New Roman" w:cs="Times New Roman" w:eastAsia="Times New Roman" w:hAnsi="Times New Roman"/>
          <w:sz w:val="17"/>
          <w:szCs w:val="17"/>
          <w:color w:val="auto"/>
        </w:rPr>
      </w:pPr>
    </w:p>
    <w:p>
      <w:pPr>
        <w:ind w:left="420" w:right="540" w:firstLine="948"/>
        <w:spacing w:after="0" w:line="282" w:lineRule="auto"/>
        <w:tabs>
          <w:tab w:leader="none" w:pos="1812"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alter, or repeal any provision of this Agreement if it would improve the rights of other Members or Units relative to holders of Series B Preferred Units.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35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Requiring the Series C Vote</w:t>
      </w:r>
      <w:r>
        <w:rPr>
          <w:rFonts w:ascii="Times New Roman" w:cs="Times New Roman" w:eastAsia="Times New Roman" w:hAnsi="Times New Roman"/>
          <w:sz w:val="18"/>
          <w:szCs w:val="18"/>
          <w:color w:val="auto"/>
        </w:rPr>
        <w:t>. Notwithstanding the provisions of this Agreement, including Section 3.03, for as long as 10% of the Series C Preferred Units originally issued are outstanding, the Company shall not, and shall not permit any subsidiary to (either directly or by amendment, merger, consolidation or otherwise), without first having obtained the affirmative vote or written consent (including by means of an authorized electronic, stamped or other facsimile signature) of the Series C Vote:</w:t>
      </w:r>
    </w:p>
    <w:p>
      <w:pPr>
        <w:spacing w:after="0" w:line="71" w:lineRule="exact"/>
        <w:rPr>
          <w:rFonts w:ascii="Times New Roman" w:cs="Times New Roman" w:eastAsia="Times New Roman" w:hAnsi="Times New Roman"/>
          <w:sz w:val="18"/>
          <w:szCs w:val="18"/>
          <w:color w:val="auto"/>
        </w:rPr>
      </w:pPr>
    </w:p>
    <w:p>
      <w:pPr>
        <w:ind w:left="420" w:right="380" w:firstLine="948"/>
        <w:spacing w:after="0" w:line="312" w:lineRule="auto"/>
        <w:tabs>
          <w:tab w:leader="none" w:pos="1722"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waive, alter, or repeal any provision of this Agreement if it would adversely alter the rights, preferences, privileges, powers or obligations of or restrictions on the Series C Preferred Units or the holders of Series C Preferred Units in their capacity as such;</w:t>
      </w:r>
    </w:p>
    <w:p>
      <w:pPr>
        <w:spacing w:after="0" w:line="31" w:lineRule="exact"/>
        <w:rPr>
          <w:rFonts w:ascii="Times New Roman" w:cs="Times New Roman" w:eastAsia="Times New Roman" w:hAnsi="Times New Roman"/>
          <w:sz w:val="17"/>
          <w:szCs w:val="17"/>
          <w:color w:val="auto"/>
        </w:rPr>
      </w:pPr>
    </w:p>
    <w:p>
      <w:pPr>
        <w:jc w:val="both"/>
        <w:ind w:left="420" w:right="160" w:firstLine="948"/>
        <w:spacing w:after="0" w:line="261" w:lineRule="auto"/>
        <w:tabs>
          <w:tab w:leader="none" w:pos="177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incur any obligation to issue, any other security convertible into or exercisable for, any equity security, having rights, preferences or privileges senior to or on parity with the Series C Preferred Units, including with respect to redemption and distributions to be made on liquidation or otherwise, or increase the authorized number of Series C Preferred Units (or any sub-series thereof);</w:t>
      </w:r>
    </w:p>
    <w:p>
      <w:pPr>
        <w:spacing w:after="0" w:line="71" w:lineRule="exact"/>
        <w:rPr>
          <w:rFonts w:ascii="Times New Roman" w:cs="Times New Roman" w:eastAsia="Times New Roman" w:hAnsi="Times New Roman"/>
          <w:sz w:val="18"/>
          <w:szCs w:val="18"/>
          <w:color w:val="auto"/>
        </w:rPr>
      </w:pPr>
    </w:p>
    <w:p>
      <w:pPr>
        <w:ind w:left="420" w:right="140" w:firstLine="948"/>
        <w:spacing w:after="0" w:line="256" w:lineRule="auto"/>
        <w:tabs>
          <w:tab w:leader="none" w:pos="182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this Agreement, redeem, purchase, pay or make any distribution or dividend on any Units (for the avoidance of doubt, including payments in cash or in-kind and distributions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of this Agreement); provided, however, that this restriction shall not apply to the repurchase of Units from employees, Officers, directors, consultants or other persons performing services for the Company pursuant to agreements under which the Company has the option to repurchase such Units at the lower of fair market value or cost upon the occurrence of certain events, such as the termination of employment or service, or pursuant to a right of first refusal;</w:t>
      </w:r>
    </w:p>
    <w:p>
      <w:pPr>
        <w:spacing w:after="0" w:line="79" w:lineRule="exact"/>
        <w:rPr>
          <w:rFonts w:ascii="Times New Roman" w:cs="Times New Roman" w:eastAsia="Times New Roman" w:hAnsi="Times New Roman"/>
          <w:sz w:val="18"/>
          <w:szCs w:val="18"/>
          <w:color w:val="auto"/>
        </w:rPr>
      </w:pPr>
    </w:p>
    <w:p>
      <w:pPr>
        <w:jc w:val="both"/>
        <w:ind w:left="420" w:right="320" w:firstLine="948"/>
        <w:spacing w:after="0" w:line="266" w:lineRule="auto"/>
        <w:tabs>
          <w:tab w:leader="none" w:pos="181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a party to, or permit any subsidiary to enter into or be a party to, any transaction with any Director, Officer, employee or Member of the Company or any Affiliate of any such Person, except for this Agreement, the Purchase Agreement and customary arms-length employment agreements;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347" w:name="page348"/>
    <w:bookmarkEnd w:id="347"/>
    <w:p>
      <w:pPr>
        <w:ind w:left="440" w:right="300" w:firstLine="948"/>
        <w:spacing w:after="0" w:line="312" w:lineRule="auto"/>
        <w:tabs>
          <w:tab w:leader="none" w:pos="1782"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any tax election, decision or filing that would reasonably be expected to have a material adverse and disproportionate effect on the holders of Series C Preferred Units (or their direct or indirect beneficial owners) relative to any other holder of Capital Units; or</w:t>
      </w:r>
    </w:p>
    <w:p>
      <w:pPr>
        <w:spacing w:after="0" w:line="31" w:lineRule="exact"/>
        <w:rPr>
          <w:rFonts w:ascii="Times New Roman" w:cs="Times New Roman" w:eastAsia="Times New Roman" w:hAnsi="Times New Roman"/>
          <w:sz w:val="17"/>
          <w:szCs w:val="17"/>
          <w:color w:val="auto"/>
        </w:rPr>
      </w:pPr>
    </w:p>
    <w:p>
      <w:pPr>
        <w:ind w:left="440" w:right="520" w:firstLine="948"/>
        <w:spacing w:after="0" w:line="282" w:lineRule="auto"/>
        <w:tabs>
          <w:tab w:leader="none" w:pos="183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alter, or repeal any provision of this Agreement if it would improve the rights of other Members or Units relative to holders of Series C Preferred Units.</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Committees of the Board of Directors</w:t>
      </w:r>
      <w:r>
        <w:rPr>
          <w:rFonts w:ascii="Times New Roman" w:cs="Times New Roman" w:eastAsia="Times New Roman" w:hAnsi="Times New Roman"/>
          <w:sz w:val="18"/>
          <w:szCs w:val="18"/>
          <w:color w:val="auto"/>
        </w:rPr>
        <w:t>. The Board of Directors may establish an audit committee, compensation committee or other committees from time to time and any such committee shall carry out such functions as may from time to time be delegated to it by the Board of Directors. All members of the audit committee and compensation committee shall be non-employee Directors and each committee shall include at least a majority of the Preferred Directors. Each Lead Director shall be entitled, in such person’s discretion, to be a member of any committee of the Board of Directors that may be established by the Company from time to time or a member of any committee of any board of directors of a subsidiary established from time to time.</w:t>
      </w:r>
    </w:p>
    <w:p>
      <w:pPr>
        <w:spacing w:after="0" w:line="18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7"/>
          <w:szCs w:val="17"/>
          <w:u w:val="single" w:color="auto"/>
          <w:color w:val="auto"/>
        </w:rPr>
        <w:t>Chairman of the Board of Directors</w:t>
      </w:r>
      <w:r>
        <w:rPr>
          <w:rFonts w:ascii="Times New Roman" w:cs="Times New Roman" w:eastAsia="Times New Roman" w:hAnsi="Times New Roman"/>
          <w:sz w:val="17"/>
          <w:szCs w:val="17"/>
          <w:color w:val="auto"/>
        </w:rPr>
        <w:t>. The Board of Directors may elect a chairperson.</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Reliance by Third Parties</w:t>
      </w:r>
      <w:r>
        <w:rPr>
          <w:rFonts w:ascii="Times New Roman" w:cs="Times New Roman" w:eastAsia="Times New Roman" w:hAnsi="Times New Roman"/>
          <w:sz w:val="18"/>
          <w:szCs w:val="18"/>
          <w:color w:val="auto"/>
        </w:rPr>
        <w:t>. Any Person dealing with the Company, the Directors or any Member may rely upon a certificate signed by all of the Directors as to: (a) the identity of any Directors or Members; (b) any factual matters relevant to the affairs of the Company; (c) the Persons who are authorized to execute and deliver any document on behalf of the Company; or (d) any action taken or omitted by the Company, the Directors or any Member.</w:t>
      </w:r>
    </w:p>
    <w:p>
      <w:pPr>
        <w:spacing w:after="0" w:line="288"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3.08</w:t>
      </w:r>
      <w:r>
        <w:rPr>
          <w:sz w:val="20"/>
          <w:szCs w:val="20"/>
          <w:color w:val="auto"/>
        </w:rPr>
        <w:tab/>
      </w:r>
      <w:r>
        <w:rPr>
          <w:rFonts w:ascii="Times New Roman" w:cs="Times New Roman" w:eastAsia="Times New Roman" w:hAnsi="Times New Roman"/>
          <w:sz w:val="17"/>
          <w:szCs w:val="17"/>
          <w:u w:val="single" w:color="auto"/>
          <w:color w:val="auto"/>
        </w:rPr>
        <w:t>Board Voting Rights; Meetings; Quorum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360" w:hanging="373"/>
        <w:spacing w:after="0"/>
        <w:tabs>
          <w:tab w:leader="none" w:pos="13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be entitled to one (1) vote with respect to any matter before the Board of Directors or any committee thereof.</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meetings of the Board of Directors may be held without notice at such time, date and place as a majority of the Directors may from time to time determine. Unless otherwise determined by the vote of a majority of the Directors then in office, the Board of Directors shall meet at least quarterly in accordance with an agreed-upon schedule. Special meetings of the Board of Directors may be called, in person, in writing or by means of electronic communication, by the chairman of the Board of Directors or any of the Directors, designating the time, date and place thereof. Directors may participate in meetings of the Board of Directors by means of telephone conference or similar communications equipment by means of which all Directors participating in the meeting can hear each other, and participation in a meeting in accordance herewith shall constitute presence in person at such meeting. No Director may delegate its rights and obligations to participate in and vote at any meeting of the Board of Directors.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48" w:name="page349"/>
    <w:bookmarkEnd w:id="348"/>
    <w:p>
      <w:pPr>
        <w:ind w:left="4" w:right="40" w:firstLine="987"/>
        <w:spacing w:after="0" w:line="257" w:lineRule="auto"/>
        <w:tabs>
          <w:tab w:leader="none" w:pos="1375"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or by facsimile or electronic mail sent to his or her business or home address at least twenty-four</w:t>
      </w:r>
    </w:p>
    <w:p>
      <w:pPr>
        <w:spacing w:after="0" w:line="1" w:lineRule="exact"/>
        <w:rPr>
          <w:rFonts w:ascii="Times New Roman" w:cs="Times New Roman" w:eastAsia="Times New Roman" w:hAnsi="Times New Roman"/>
          <w:sz w:val="18"/>
          <w:szCs w:val="18"/>
          <w:color w:val="auto"/>
        </w:rPr>
      </w:pPr>
    </w:p>
    <w:p>
      <w:pPr>
        <w:ind w:left="4" w:right="160" w:hanging="4"/>
        <w:spacing w:after="0" w:line="271" w:lineRule="auto"/>
        <w:tabs>
          <w:tab w:leader="none" w:pos="349"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hours in advance of the meeting, or by written notice mailed to his or her business or home address at least seventy-two (72) hours in advance of the meeting. Notice need not be given to any Director if a written waiver of notice is executed by him before or after the meeting, or if communication with such Director is unlawful.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A notice or waiver of notice of a meeting of the Board of Directors need not specify the purposes of the meeting.</w:t>
      </w:r>
    </w:p>
    <w:p>
      <w:pPr>
        <w:spacing w:after="0" w:line="173" w:lineRule="exact"/>
        <w:rPr>
          <w:rFonts w:ascii="Times New Roman" w:cs="Times New Roman" w:eastAsia="Times New Roman" w:hAnsi="Times New Roman"/>
          <w:sz w:val="17"/>
          <w:szCs w:val="17"/>
          <w:color w:val="auto"/>
        </w:rPr>
      </w:pPr>
    </w:p>
    <w:p>
      <w:pPr>
        <w:ind w:left="4" w:right="280" w:firstLine="987"/>
        <w:spacing w:after="0" w:line="282" w:lineRule="auto"/>
        <w:tabs>
          <w:tab w:leader="none" w:pos="137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Board of Directors, a majority of the Board of Directors shall constitute a quorum. Less than a quorum may adjourn any meeting from time to time and the meeting may be held as adjourned without further notice upon reaching a quorum.</w:t>
      </w:r>
    </w:p>
    <w:p>
      <w:pPr>
        <w:spacing w:after="0" w:line="270"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3.09</w:t>
      </w:r>
      <w:r>
        <w:rPr>
          <w:sz w:val="20"/>
          <w:szCs w:val="20"/>
          <w:color w:val="auto"/>
        </w:rPr>
        <w:tab/>
      </w:r>
      <w:r>
        <w:rPr>
          <w:rFonts w:ascii="Times New Roman" w:cs="Times New Roman" w:eastAsia="Times New Roman" w:hAnsi="Times New Roman"/>
          <w:sz w:val="17"/>
          <w:szCs w:val="17"/>
          <w:u w:val="single" w:color="auto"/>
          <w:color w:val="auto"/>
        </w:rPr>
        <w:t>Actions of the Board of Directors and Committees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80" w:firstLine="987"/>
        <w:spacing w:after="0" w:line="282" w:lineRule="auto"/>
        <w:tabs>
          <w:tab w:leader="none" w:pos="136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Board of Directors at which a quorum is present, a majority of the Directors present may take any action on behalf of the Board of Directors, unless a larger number is required by law or by this Agreement.</w:t>
      </w:r>
    </w:p>
    <w:p>
      <w:pPr>
        <w:spacing w:after="0" w:line="161"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37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any meeting of the Board of Directors may be taken without a meeting if a written consent thereto is signed (including by means of an authorized electronic, stamped or other facsimile signature) by all of the Directors then in office and filed with the records of the meetings of the Board of Directors. Such consent shall be treated as a vote of the Board of Directors for all purposes.</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Reimbursement of Directors</w:t>
      </w:r>
      <w:r>
        <w:rPr>
          <w:rFonts w:ascii="Times New Roman" w:cs="Times New Roman" w:eastAsia="Times New Roman" w:hAnsi="Times New Roman"/>
          <w:sz w:val="18"/>
          <w:szCs w:val="18"/>
          <w:color w:val="auto"/>
        </w:rPr>
        <w:t>. The Company shall promptly reimburse in full each Director and Board Observer for all such Director’s and Board Observer’s reasonable out-of-pocket expenses incurred in connection with attending any meeting of the Board of Directors or a committee thereof or any board of directors or committee thereof of a subsidiary of the Company for each Director and Board Observer with respect to service on the Board of Directors.</w:t>
      </w:r>
    </w:p>
    <w:p>
      <w:pPr>
        <w:spacing w:after="0" w:line="288" w:lineRule="exact"/>
        <w:rPr>
          <w:sz w:val="20"/>
          <w:szCs w:val="20"/>
          <w:color w:val="auto"/>
        </w:rPr>
      </w:pPr>
    </w:p>
    <w:p>
      <w:pPr>
        <w:ind w:left="444"/>
        <w:spacing w:after="0"/>
        <w:tabs>
          <w:tab w:leader="none" w:pos="90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Transaction with Interested Persons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80" w:firstLine="987"/>
        <w:spacing w:after="0" w:line="253" w:lineRule="auto"/>
        <w:tabs>
          <w:tab w:leader="none" w:pos="137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entered into in bad faith, no contract or transaction between the Company or any of its subsidiaries and one of its or their Directors, Officers or Members, or between the Company or any of its subsidiaries and any other Person in which one or more of its or any of its subsidiaries’ Directors, Officers or Members have a financial interest or are directors, partners, members, stockholders, officers or employees, shall be voidable solely for this reason or solely because said Member, Director or Officer was present or participated in the authorization of such contract or transaction if: (i) the material facts as to the relationship or interest of said Person and as to the contract or transaction were disclosed or known to the Board of Directors and the contract or transaction was authorized by a majority of the votes held by disinterested members of the Board of Directors (if any); or (ii) the contract or transaction was entered into on terms and conditions that were fair and reasonable to the Company as of the time it was authorized, approved or ratified. Subject to compliance with the provisions of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no Member, Director or Officer interested in such contract or transaction, because of such interest, shall be considered to be in breach of this Agreement or liable to the Company, any other Member, Director or other Person for any loss or expense incurred by reason of such contract or transaction or shall be accountable for any gain or profit realized from such contract or transaction.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49" w:name="page350"/>
    <w:bookmarkEnd w:id="349"/>
    <w:p>
      <w:pPr>
        <w:ind w:right="60" w:firstLine="987"/>
        <w:spacing w:after="0" w:line="253" w:lineRule="auto"/>
        <w:tabs>
          <w:tab w:leader="none" w:pos="137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renounces, to the fullest extent permitted by the Act and applicable law, any interest or expectancy of the Company in, or in being offered, an opportunity to participate in, any matter, transaction or interest that is presented to, or acquired, created or developed by, or which otherwise comes into the possession of, (i) any Director who is not an employee or consultant of the Company or any of its subsidiaries, or (ii) any holder of Units or any partner, member, director, stockholder, officer, employee or agent of any such holder, other than someone who is an employee of the Company or any of its subsidiaries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(an “</w:t>
      </w:r>
      <w:r>
        <w:rPr>
          <w:rFonts w:ascii="Times New Roman" w:cs="Times New Roman" w:eastAsia="Times New Roman" w:hAnsi="Times New Roman"/>
          <w:sz w:val="18"/>
          <w:szCs w:val="18"/>
          <w:b w:val="1"/>
          <w:bCs w:val="1"/>
          <w:color w:val="auto"/>
        </w:rPr>
        <w:t>Investor Business Opportunity</w:t>
      </w:r>
      <w:r>
        <w:rPr>
          <w:rFonts w:ascii="Times New Roman" w:cs="Times New Roman" w:eastAsia="Times New Roman" w:hAnsi="Times New Roman"/>
          <w:sz w:val="18"/>
          <w:szCs w:val="18"/>
          <w:color w:val="auto"/>
        </w:rPr>
        <w:t>”). To the fullest extent permitted by law, and solely in connection therewith, the Company hereby waives any claim against a Covered Person, and agrees to indemnify all Covered Persons against any claim, that is based on fiduciary duties, the corporate opportunity doctrine or any other legal theory which could limit any Covered Person from pursuing or engaging in any Investor Business Opportunity.</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Limitation of Liability of Directors</w:t>
      </w:r>
      <w:r>
        <w:rPr>
          <w:rFonts w:ascii="Times New Roman" w:cs="Times New Roman" w:eastAsia="Times New Roman" w:hAnsi="Times New Roman"/>
          <w:sz w:val="18"/>
          <w:szCs w:val="18"/>
          <w:color w:val="auto"/>
        </w:rPr>
        <w:t xml:space="preserve">. No Director shall be obligated personally for any debt, obligation or liability of the Company or of any Member, whether arising in contract, tort or otherwise, by reason of being or acting as Director of the Company. No Director shall be personally liable to the Company or its Members for any action undertaken or omitted in good faith reliance upon the provisions of this Agreement unless the acts or omissions of the Director were not in good faith or involved gross negligence or intentional misconduct; provided, that, subject to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each Director shall owe, and shall act in a manner consistent with, fiduciary duties to the Company and its Members of the nature, and to the same extent, as those owed by Directors of a Delaware corporation to such corporation and its stockholders. Any Person alleging any act or omission as not taken or omitted in good faith shall have the burden of proving by a preponderance of the evidence the absence of good faith.</w:t>
      </w:r>
    </w:p>
    <w:p>
      <w:pPr>
        <w:spacing w:after="0" w:line="189"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The Company will cause each employee and consultant, now or hereafter engaged by the Company or any subsidiary, to enter into a non-disclosure, non-solicitation and proprietary information and inventions assignment agreement in a form reasonably acceptable to the Requisite Preferred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0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Except as otherwise provided herein, the Board of Directors may delegate its powers to act on behalf of the Company to officers of the Company (each,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which may consist of a President (the “</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50" w:name="page351"/>
    <w:bookmarkEnd w:id="350"/>
    <w:p>
      <w:pPr>
        <w:ind w:right="1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CEO, Treasurer (the “</w:t>
      </w:r>
      <w:r>
        <w:rPr>
          <w:rFonts w:ascii="Times New Roman" w:cs="Times New Roman" w:eastAsia="Times New Roman" w:hAnsi="Times New Roman"/>
          <w:sz w:val="18"/>
          <w:szCs w:val="18"/>
          <w:b w:val="1"/>
          <w:bCs w:val="1"/>
          <w:color w:val="auto"/>
        </w:rPr>
        <w:t>Treasurer</w:t>
      </w:r>
      <w:r>
        <w:rPr>
          <w:rFonts w:ascii="Times New Roman" w:cs="Times New Roman" w:eastAsia="Times New Roman" w:hAnsi="Times New Roman"/>
          <w:sz w:val="18"/>
          <w:szCs w:val="18"/>
          <w:color w:val="auto"/>
        </w:rPr>
        <w:t>”), Secretary (the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and such other Officers, including one or more Vice Presidents, Assistant Treasurers and Assistant Secretaries, as the Board of Directors may determine.</w:t>
      </w:r>
    </w:p>
    <w:p>
      <w:pPr>
        <w:spacing w:after="0" w:line="15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The President, CEO, Treasurer and Secretary may be elected by the Directors at any meeting.</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4.03</w:t>
      </w:r>
      <w:r>
        <w:rPr>
          <w:sz w:val="20"/>
          <w:szCs w:val="20"/>
          <w:color w:val="auto"/>
        </w:rPr>
        <w:tab/>
      </w:r>
      <w:r>
        <w:rPr>
          <w:rFonts w:ascii="Times New Roman" w:cs="Times New Roman" w:eastAsia="Times New Roman" w:hAnsi="Times New Roman"/>
          <w:sz w:val="17"/>
          <w:szCs w:val="17"/>
          <w:u w:val="single" w:color="auto"/>
          <w:color w:val="auto"/>
        </w:rPr>
        <w:t>Qualification</w:t>
      </w:r>
      <w:r>
        <w:rPr>
          <w:rFonts w:ascii="Times New Roman" w:cs="Times New Roman" w:eastAsia="Times New Roman" w:hAnsi="Times New Roman"/>
          <w:sz w:val="17"/>
          <w:szCs w:val="17"/>
          <w:color w:val="auto"/>
        </w:rPr>
        <w:t>. No Officer need be a Member or Director. Any two (2) or more offices may be held by the same Person.</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Act or by this Agreement, each of the Officers shall hold office until his or her successor is elected or until his or her earlier resignation or removal. Any Officer may resign by delivering his or her written resignation to the Company, and such resignation shall be effective upon receipt unless it is specified to be effective at some other time or upon the happening of some other event.</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Board of Directors may remove any Officer with or without cause unless otherwise provided in a written employment agreement between the Company and the Officer that has been approved by the Board of Directors.</w:t>
      </w:r>
    </w:p>
    <w:p>
      <w:pPr>
        <w:spacing w:after="0" w:line="16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4.06</w:t>
      </w:r>
      <w:r>
        <w:rPr>
          <w:sz w:val="20"/>
          <w:szCs w:val="20"/>
          <w:color w:val="auto"/>
        </w:rPr>
        <w:tab/>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Any vacancy in any office may be filled for the unexpired portion of the term by the Board of Directors.</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CEO shall, subject to the direction of the Board of Directors, have general supervision and control of the Company’s business. Unless otherwise provided by the Board of Directors, he or she shall preside, when present, at all meetings of the Members. Any action taken by the CEO, and the signature of the CEO on any agreement, contract, instrument or other document on behalf of the Company shall, with respect to any third party, be sufficient to bind the Company and shall conclusively evidence the authority of the CEO and the Company with respect thereto.</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4.08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and the CEO, have general supervision and control of the Company’s business. Any action taken by the President, and the signature of the President on any agreement, contract, instrument or other document on behalf of the Company shall, with respect to any third party, be sufficient to bind the Company and shall conclusively evidence the authority of the President and the Company with respect thereto.</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4.09 </w:t>
      </w:r>
      <w:r>
        <w:rPr>
          <w:rFonts w:ascii="Times New Roman" w:cs="Times New Roman" w:eastAsia="Times New Roman" w:hAnsi="Times New Roman"/>
          <w:sz w:val="18"/>
          <w:szCs w:val="18"/>
          <w:u w:val="single" w:color="auto"/>
          <w:color w:val="auto"/>
        </w:rPr>
        <w:t>Treasurer and Chief Financial Officer</w:t>
      </w:r>
      <w:r>
        <w:rPr>
          <w:rFonts w:ascii="Times New Roman" w:cs="Times New Roman" w:eastAsia="Times New Roman" w:hAnsi="Times New Roman"/>
          <w:sz w:val="18"/>
          <w:szCs w:val="18"/>
          <w:color w:val="auto"/>
        </w:rPr>
        <w:t>. The Treasurer and Chief Financial Officer shall, subject to the direction of the Board of Directors, have general charge of the financial affairs of the Company and shall cause to be kept accurate books of account. He or she shall have custody of all funds, securities, and valuable documents of the Company, except as the Board of Directors may otherwise provide.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Board of Directors (including committees thereof) in books kept for that purpose. In his or her absence from any such meeting an Assistant Secretary, or if there be none or he or she is absent, a temporary secretary chosen at the meeting, shall record the proceedings thereof. The Secretary shall have such other duties and powers as may be designated from time to time by the Board of Directors, the President or the CEO.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351" w:name="page352"/>
    <w:bookmarkEnd w:id="351"/>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this Agreement, each Officer shall have, in addition to the duties and powers specifically set forth in this Agreement, such duties and powers as are customarily incident to his or her office, and such duties and powers as may be designated from time to time by the Board of Directors.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Reimbursement of Officers</w:t>
      </w:r>
      <w:r>
        <w:rPr>
          <w:rFonts w:ascii="Times New Roman" w:cs="Times New Roman" w:eastAsia="Times New Roman" w:hAnsi="Times New Roman"/>
          <w:sz w:val="18"/>
          <w:szCs w:val="18"/>
          <w:color w:val="auto"/>
        </w:rPr>
        <w:t>. The Company shall promptly reimburse in full each Officer who is not an employee of the Company for all of such Officer’s reasonable out-of-pocket expenses, subject to pre-approval, incurred in connection with the performance of his or her duties as such an Officer.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Subject to the provisions of this ARTICLE V, the Company shall indemnify, to the fullest extent that would have been permissible under the Delaware General Corporation Law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if the Company were a corporation organized and existing under the DGCL, all Indemnified Persons against expenses incurred by the Indemnified Persons in connection with any proceeding in which an Indemnified Person is involved as a result of serving in the capacity by reason of which such Person is deemed to be an “Indemnified Person” pursuant to Section 5.06(a); except to the extent caused by the bad faith, gross negligence or intentional misconduct by such Indemnified Person. Subject to the foregoing limitation, such indemnification shall be provided by the Company with respect to a proceeding in which it is claimed that the Indemnified Person received an improper personal benefit by reason of his position, regardless of whether the claim arises out of the Indemnified Person’s service in such capacity, except for matters as to which it is finally judicially determined that an improper personal benefit was received by the Indemnified Person.</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Primary Indemnification</w:t>
      </w:r>
      <w:r>
        <w:rPr>
          <w:rFonts w:ascii="Times New Roman" w:cs="Times New Roman" w:eastAsia="Times New Roman" w:hAnsi="Times New Roman"/>
          <w:sz w:val="18"/>
          <w:szCs w:val="18"/>
          <w:color w:val="auto"/>
        </w:rPr>
        <w:t>. Each Member acknowledges that each Indemnified Person may have certain rights to indemnification, advancement of expenses or insurance available to such Indemnified Person pursuant to other agreements or arrangements with one or more third parties, including, without limitation, a Member or its Affiliates (collectively, “</w:t>
      </w:r>
      <w:r>
        <w:rPr>
          <w:rFonts w:ascii="Times New Roman" w:cs="Times New Roman" w:eastAsia="Times New Roman" w:hAnsi="Times New Roman"/>
          <w:sz w:val="18"/>
          <w:szCs w:val="18"/>
          <w:b w:val="1"/>
          <w:bCs w:val="1"/>
          <w:color w:val="auto"/>
        </w:rPr>
        <w:t>Other Indemnitors</w:t>
      </w:r>
      <w:r>
        <w:rPr>
          <w:rFonts w:ascii="Times New Roman" w:cs="Times New Roman" w:eastAsia="Times New Roman" w:hAnsi="Times New Roman"/>
          <w:sz w:val="18"/>
          <w:szCs w:val="18"/>
          <w:color w:val="auto"/>
        </w:rPr>
        <w:t xml:space="preserve">”). The Company shall be the indemnitor of first resort (i.e., its obligations to an Indemnified Person are primary and any obligation of any Other Indemnitor to advance expenses or to provide indemnification for the same expenses or liabilities incurred by an Indemnified Person are secondary) in connection with any claims or losses arising from any matter referred to in this ARTICLE V in which an Indemnified Person may be involved or threatened to be involved, as a party or otherwise, arising out of or incident to the business or operations of the Company or any of its subsidiaries. The Company shall advance the full amount of expenses incurred by an Indemnified Person and shall be liable for the full amount of all such losses to the extent legally permitted and required by the terms of this Agreement (or any other agreement between the Company and an Indemnified Person), without regard to any rights an Indemnified Person may have against any Other Indemnitor. The Company irrevocably waives, relinquishes and releases the Other Indemnitors from any claim against the Other Indemnitors for contribution, subrogation or any other recovery of any kind in respect of any amount paid or advanced by the Company pursuant to this provision. No advancement or payment by any Other Indemnitor on behalf of an Indemnified Person with respect to any claim for which an Indemnified Person has sought indemnification from the Company shall affect the Company’s obligation as primary obligor and to the extent of such advancement or payment by any of the Other Indemnitors, the Other Indemnitors shall have a right of contribution and shall be subrogated to all of the rights of recovery of an Indemnified Person against the Company. The Other Indemnitors are express third party beneficiaries of the terms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 Indemnified Person may notify the Company in writing of the existence of any Other Indemnitor in respect of such Indemnified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 Indemnified Person to so notify the Company shall not adversely impact the rights of any Other Indemnitor under this Section 5.02.</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352" w:name="page353"/>
    <w:bookmarkEnd w:id="352"/>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5.03 </w:t>
      </w:r>
      <w:r>
        <w:rPr>
          <w:rFonts w:ascii="Times New Roman" w:cs="Times New Roman" w:eastAsia="Times New Roman" w:hAnsi="Times New Roman"/>
          <w:sz w:val="18"/>
          <w:szCs w:val="18"/>
          <w:u w:val="single" w:color="auto"/>
          <w:color w:val="auto"/>
        </w:rPr>
        <w:t>Award of Indemnification</w:t>
      </w:r>
      <w:r>
        <w:rPr>
          <w:rFonts w:ascii="Times New Roman" w:cs="Times New Roman" w:eastAsia="Times New Roman" w:hAnsi="Times New Roman"/>
          <w:sz w:val="18"/>
          <w:szCs w:val="18"/>
          <w:color w:val="auto"/>
        </w:rPr>
        <w:t>. The determination of whether the Company is authorized to indemnify the Indemnified Persons hereunder and any award of indemnification shall be made in each instance (a) if there is more than one Indemnified Person, by a majority of the votes held by Directors who are not parties to the proceeding in question or (b) by independent legal counsel appointed by such Directors or a Majority Interest. The Company shall be obliged to pay indemnification applied for by the Indemnified Persons unless there is an adverse determination (as provided above) within forty-five (45) days after the application. If indemnification is denied, the applicant may seek an independent determination of its right to indemnification by a court, and in such event, the Company shall have the burden of proving that the applicant was ineligible for indemnification under this ARTICLE V.</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Successful Defense</w:t>
      </w:r>
      <w:r>
        <w:rPr>
          <w:rFonts w:ascii="Times New Roman" w:cs="Times New Roman" w:eastAsia="Times New Roman" w:hAnsi="Times New Roman"/>
          <w:sz w:val="18"/>
          <w:szCs w:val="18"/>
          <w:color w:val="auto"/>
        </w:rPr>
        <w:t>. Notwithstanding any contrary provisions of this ARTICLE V, if the Indemnified Person has been wholly successful on the merits in the defense of any proceeding in which it was involved by reason of its position as an Indemnified Person or as a result of serving in such capacity (including termination of investigative or other proceedings without a finding of fault on the part of the Indemnified Person), the Indemnified Person shall be indemnified by the Company against all expenses incurred by the Indemnified Person in connection therewith.</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Advance Payments</w:t>
      </w:r>
      <w:r>
        <w:rPr>
          <w:rFonts w:ascii="Times New Roman" w:cs="Times New Roman" w:eastAsia="Times New Roman" w:hAnsi="Times New Roman"/>
          <w:sz w:val="18"/>
          <w:szCs w:val="18"/>
          <w:color w:val="auto"/>
        </w:rPr>
        <w:t>. Except as limited by law, expenses incurred by the Indemnified Person in defending any proceeding, including a proceeding by or in the right of the Company, shall be paid by the Company to the Indemnified Person in advance of final disposition of the proceeding upon receipt of its written undertaking to repay such amount if the Indemnified Person is determined pursuant to this ARTICLE V or adjudicated to be ineligible for indemnification, which undertaking shall be an unlimited general obligation but need not be secured and may be accepted without regard to the financial ability of the Indemnified Person to make repayment.</w:t>
      </w:r>
    </w:p>
    <w:p>
      <w:pPr>
        <w:spacing w:after="0" w:line="183"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5.06</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Article:</w:t>
      </w:r>
    </w:p>
    <w:p>
      <w:pPr>
        <w:spacing w:after="0" w:line="221" w:lineRule="exact"/>
        <w:rPr>
          <w:sz w:val="20"/>
          <w:szCs w:val="20"/>
          <w:color w:val="auto"/>
        </w:rPr>
      </w:pPr>
    </w:p>
    <w:p>
      <w:pPr>
        <w:ind w:firstLine="987"/>
        <w:spacing w:after="0" w:line="259" w:lineRule="auto"/>
        <w:tabs>
          <w:tab w:leader="none" w:pos="137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includes (i) a Person serving as a Director, including, without limitation, as a Preferred Director, or an Officer or in a similar executive capacity appointed by the Directors and exercising rights and duties delegated by the Directors, (ii) a Person serving at the request of the Company as a director, manager, officer, employee or other agent of another organization, including, without limitation, any subsidiary of the Company, (iii) any Person who formerly served in any of the foregoing capacities (with respect to matters relating to such services), and (iv) holders of Capital Units;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53" w:name="page354"/>
    <w:bookmarkEnd w:id="353"/>
    <w:p>
      <w:pPr>
        <w:ind w:right="300" w:firstLine="987"/>
        <w:spacing w:after="0" w:line="282" w:lineRule="auto"/>
        <w:tabs>
          <w:tab w:leader="none" w:pos="1381"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means all expenses, including attorneys’ fees and disbursements, actually and reasonably incurred in defense of a proceeding or in seeking indemnification under this ARTICLE V, and except for proceedings by or in the right of the Company or alleging that the Indemnified Person received an improper personal benefit (unless it is judicially determined that the Indemnified Person satisfied the standard of conduct set forth above for indemnification), any judgments, awards, fines, penalties and reasonable amounts paid in settlement of a proceeding; and</w:t>
      </w:r>
    </w:p>
    <w:p>
      <w:pPr>
        <w:spacing w:after="0" w:line="161" w:lineRule="exact"/>
        <w:rPr>
          <w:rFonts w:ascii="Times New Roman" w:cs="Times New Roman" w:eastAsia="Times New Roman" w:hAnsi="Times New Roman"/>
          <w:sz w:val="17"/>
          <w:szCs w:val="17"/>
          <w:color w:val="auto"/>
        </w:rPr>
      </w:pPr>
    </w:p>
    <w:p>
      <w:pPr>
        <w:ind w:right="440" w:firstLine="987"/>
        <w:spacing w:after="0" w:line="286" w:lineRule="auto"/>
        <w:tabs>
          <w:tab w:leader="none" w:pos="137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threatened, pending or completed action, suit or proceeding, whether civil, criminal, administrative or investigative, and any claim which could be the subject of a proceeding.</w:t>
      </w:r>
    </w:p>
    <w:p>
      <w:pPr>
        <w:spacing w:after="0" w:line="26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5.07</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80" w:firstLine="987"/>
        <w:spacing w:after="0" w:line="266" w:lineRule="auto"/>
        <w:tabs>
          <w:tab w:leader="none" w:pos="13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purchase and maintain insurance on behalf of any Director, Officer, agent or employee against any liability or cost incurred by such Person in any such capacity or arising out of its status as such, whether or not the Company would have power to indemnify against such liability or cost.</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37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cause a Directors and Officers Errors and Omissions insurance policy to be maintained from an insurer and in an amount satisfactory to the Board of Directors, until such time as the Board of Directors, including all Preferred Directors, determines that such insurance should be discontinued.</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The indemnification provided by this ARTICLE V shall inure to the benefit of the heirs and personal representatives of the Indemnified Persons.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Indemnified Persons as in effect immediately before such transaction, whether such obligations are contained in this Agreement, or elsewhere, as the case may be.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provisions of this ARTICLE V shall not be construed to limit the power of the Company to indemnify its or any of its subsidiaries’ directors, members, equityholders, partners, officers, employees or agents to the full extent that would have been permitted by the DGCL if the Company were a corporation organized and existing under the DGCL, or otherwise permitted by law, or to enter into specific agreements, commitments or arrangements for indemnification that would have been or are so permitted. The absence of any express provision for indemnification herein shall not limit any right of indemnification existing independently of this ARTICLE V.</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Amendment; Survival</w:t>
      </w:r>
      <w:r>
        <w:rPr>
          <w:rFonts w:ascii="Times New Roman" w:cs="Times New Roman" w:eastAsia="Times New Roman" w:hAnsi="Times New Roman"/>
          <w:sz w:val="18"/>
          <w:szCs w:val="18"/>
          <w:color w:val="auto"/>
        </w:rPr>
        <w:t xml:space="preserve">. The provisions of this ARTICLE V may be amended or repealed in accordance with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or repeal of such provisions that adversely affects the rights of an Indemnified Person under this ARTICLE V with respect to his, her or its acts or omissions at any time prior to such amendment or repeal, shall apply to an Indemnified Person without his, her or its consent. The obligations of the Company under this ARTICLE V shall survive any Change of Control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54" w:name="page355"/>
    <w:bookmarkEnd w:id="354"/>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CAPITAL CONTRIBUTIONS AND DISTRIBUTIONS</w:t>
      </w:r>
    </w:p>
    <w:p>
      <w:pPr>
        <w:spacing w:after="0" w:line="207"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Additional Capital Contributions</w:t>
      </w:r>
      <w:r>
        <w:rPr>
          <w:rFonts w:ascii="Times New Roman" w:cs="Times New Roman" w:eastAsia="Times New Roman" w:hAnsi="Times New Roman"/>
          <w:sz w:val="18"/>
          <w:szCs w:val="18"/>
          <w:color w:val="auto"/>
        </w:rPr>
        <w:t>. Except as specified in this Agreement or in any other agreement executed by such Member and the Company, no Member shall be required to make any additional Capital Contributions to the Company.</w:t>
      </w:r>
    </w:p>
    <w:p>
      <w:pPr>
        <w:spacing w:after="0" w:line="270"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6.02</w:t>
      </w:r>
      <w:r>
        <w:rPr>
          <w:sz w:val="20"/>
          <w:szCs w:val="20"/>
          <w:color w:val="auto"/>
        </w:rPr>
        <w:tab/>
      </w:r>
      <w:r>
        <w:rPr>
          <w:rFonts w:ascii="Times New Roman" w:cs="Times New Roman" w:eastAsia="Times New Roman" w:hAnsi="Times New Roman"/>
          <w:sz w:val="17"/>
          <w:szCs w:val="17"/>
          <w:u w:val="single" w:color="auto"/>
          <w:color w:val="auto"/>
        </w:rPr>
        <w:t>Capital Accounts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80" w:firstLine="987"/>
        <w:spacing w:after="0" w:line="268" w:lineRule="auto"/>
        <w:tabs>
          <w:tab w:leader="none" w:pos="1365"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separate Capital Account shall be established for each Member and shall be maintained in accordance with Treasury Regulations Section 1.704-1(b)(2)(iv) and this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shall be interpreted and applied in a manner consistent with such regulations. No Member shall have any obligation to restore any portion of any deficit balance in such Member’s Capital Account, whether upon liquidation of its interest in the Company, liquidation of the Company or otherwise. In accordance with Treasury Regulation Section 1.704-1(b)(2)(iv)(</w:t>
      </w:r>
      <w:r>
        <w:rPr>
          <w:rFonts w:ascii="Times New Roman" w:cs="Times New Roman" w:eastAsia="Times New Roman" w:hAnsi="Times New Roman"/>
          <w:sz w:val="17"/>
          <w:szCs w:val="17"/>
          <w:i w:val="1"/>
          <w:iCs w:val="1"/>
          <w:color w:val="auto"/>
        </w:rPr>
        <w:t>f</w:t>
      </w:r>
      <w:r>
        <w:rPr>
          <w:rFonts w:ascii="Times New Roman" w:cs="Times New Roman" w:eastAsia="Times New Roman" w:hAnsi="Times New Roman"/>
          <w:sz w:val="17"/>
          <w:szCs w:val="17"/>
          <w:color w:val="auto"/>
        </w:rPr>
        <w:t>), the Company may adjust the Capital Accounts of its Members to reflect revaluations (including any unrealized income, gain or loss) of the Company’s property (including intangible assets such as goodwill), whenever it issues additional interests in the Company (including any interests with a zero initial Capital Account), or whenever the adjustments would otherwise be permitted under such Treasury Regulation. In the event that the Capital Accounts of the Members are so adjusted,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Accounts of the Members shall be adjusted in accordance with Treasury Regulations Section 1.704-1(b)(2)(iv)(</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704(c) of the Code. In the event that Code Section 704(c) applies to property of the Company, the Capital Accounts of the Members shall be adjusted in accordance with Treasury Regulations Section 1.704-1(b)(2)(iv)(</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for allocations of depreciation, depletion, amortization, and gain and loss, as computed for book purposes with respect to such property. The Capital Accounts shall be maintained for the sole purpose of allocating items of income, gain, loss and deduction among the Members and shall have no effect on the amount of any distributions to any Members in liquidation or otherwise (except with respect to Tax Distributions to the extent of any allocation that gives rise to taxable income or loss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Capital Accounts of the Members as of the date hereof are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375"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Member may withdraw, or shall be entitled to a return of, any portion of such Member’s Capital Contribution.</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70" w:right="499" w:bottom="1440" w:gutter="0" w:footer="0" w:header="0"/>
        </w:sectPr>
      </w:pPr>
    </w:p>
    <w:bookmarkStart w:id="355" w:name="page356"/>
    <w:bookmarkEnd w:id="35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ALLOCATIONS OF INCOME, ETC.</w:t>
      </w:r>
    </w:p>
    <w:p>
      <w:pPr>
        <w:spacing w:after="0" w:line="20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7"/>
          <w:szCs w:val="17"/>
          <w:u w:val="single" w:color="auto"/>
          <w:color w:val="auto"/>
        </w:rPr>
        <w:t>Allocations Generally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00" w:firstLine="987"/>
        <w:spacing w:after="0" w:line="266" w:lineRule="auto"/>
        <w:tabs>
          <w:tab w:leader="none" w:pos="137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Allocations</w:t>
      </w:r>
      <w:r>
        <w:rPr>
          <w:rFonts w:ascii="Times New Roman" w:cs="Times New Roman" w:eastAsia="Times New Roman" w:hAnsi="Times New Roman"/>
          <w:sz w:val="18"/>
          <w:szCs w:val="18"/>
          <w:color w:val="auto"/>
        </w:rPr>
        <w:t xml:space="preserve">. Subject to, and after applying,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net income or net loss, if any, shall be allocated among the Members in such ratio or ratios as may be required to cause the balances of the Members’ Economic Capital Accounts to equal, as nearly as possible, their Target Balances, consistent with the provisions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40" w:firstLine="987"/>
        <w:spacing w:after="0" w:line="254" w:lineRule="auto"/>
        <w:tabs>
          <w:tab w:leader="none" w:pos="138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Allocations.</w:t>
      </w:r>
      <w:r>
        <w:rPr>
          <w:rFonts w:ascii="Times New Roman" w:cs="Times New Roman" w:eastAsia="Times New Roman" w:hAnsi="Times New Roman"/>
          <w:sz w:val="18"/>
          <w:szCs w:val="18"/>
          <w:color w:val="auto"/>
        </w:rPr>
        <w:t xml:space="preserve"> To the extent the allocation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would not comply with the Treasury Regulations under Section 704(b) of the Code, there is hereby included in this Agreement such special allocation provisions governing the allocation of income, gain, loss, deduction and credit (prior to making the remaining allocations in conformity with Section 7.01) as may be necessary to provide herein a so-called “qualified income offset,” and ensure that this Agreement complies with all provisions, including “minimum gain” provisions, relating to the allocation of so-called “nonrecourse deductions” and “partner nonrecourse deductions” and the charge back thereof as are required to comply with the Treasury Regulations under Section 704(b) of the Code. In particular, so-called “nonrecourse deductions” and “excess nonrecourse liabilities,” as defined in the Treasury Regulations under Sections 704(b) and 752 of the Code, shall be allocated to each Member based upon each Member’s Percentage Interest.</w:t>
      </w:r>
    </w:p>
    <w:p>
      <w:pPr>
        <w:spacing w:after="0" w:line="191" w:lineRule="exact"/>
        <w:rPr>
          <w:rFonts w:ascii="Times New Roman" w:cs="Times New Roman" w:eastAsia="Times New Roman" w:hAnsi="Times New Roman"/>
          <w:sz w:val="18"/>
          <w:szCs w:val="18"/>
          <w:color w:val="auto"/>
        </w:rPr>
      </w:pPr>
    </w:p>
    <w:p>
      <w:pPr>
        <w:ind w:right="120" w:firstLine="987"/>
        <w:spacing w:after="0" w:line="282" w:lineRule="auto"/>
        <w:tabs>
          <w:tab w:leader="none" w:pos="137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704(b)</w:t>
      </w:r>
      <w:r>
        <w:rPr>
          <w:rFonts w:ascii="Times New Roman" w:cs="Times New Roman" w:eastAsia="Times New Roman" w:hAnsi="Times New Roman"/>
          <w:sz w:val="18"/>
          <w:szCs w:val="18"/>
          <w:color w:val="auto"/>
        </w:rPr>
        <w:t>. The allocation provisions contained in this ARTICLE VII are intended to comply with Code Section 704(b) and the Treasury Regulations promulgated thereunder and shall be interpreted and applied in a manner consistent therewith.</w:t>
      </w:r>
    </w:p>
    <w:p>
      <w:pPr>
        <w:spacing w:after="0" w:line="27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7.02</w:t>
      </w:r>
      <w:r>
        <w:rPr>
          <w:sz w:val="20"/>
          <w:szCs w:val="20"/>
          <w:color w:val="auto"/>
        </w:rPr>
        <w:tab/>
      </w:r>
      <w:r>
        <w:rPr>
          <w:rFonts w:ascii="Times New Roman" w:cs="Times New Roman" w:eastAsia="Times New Roman" w:hAnsi="Times New Roman"/>
          <w:sz w:val="17"/>
          <w:szCs w:val="17"/>
          <w:u w:val="single" w:color="auto"/>
          <w:color w:val="auto"/>
        </w:rPr>
        <w:t>Tax Allocations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987"/>
        <w:spacing w:after="0" w:line="266" w:lineRule="auto"/>
        <w:tabs>
          <w:tab w:leader="none" w:pos="137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items of income, gain, loss, deduction, and credit to be allocated for income tax purposes shall be allocated among the Members on the same basis as the corresponding “book” items are allocated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provided however, that the tax items allocated to Members pursuant to this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shall not be reflected in the Member’s Capital Accounts.</w:t>
      </w:r>
    </w:p>
    <w:p>
      <w:pPr>
        <w:spacing w:after="0" w:line="175" w:lineRule="exact"/>
        <w:rPr>
          <w:rFonts w:ascii="Times New Roman" w:cs="Times New Roman" w:eastAsia="Times New Roman" w:hAnsi="Times New Roman"/>
          <w:sz w:val="18"/>
          <w:szCs w:val="18"/>
          <w:color w:val="auto"/>
        </w:rPr>
      </w:pPr>
    </w:p>
    <w:p>
      <w:pPr>
        <w:ind w:right="40" w:firstLine="987"/>
        <w:spacing w:after="0" w:line="255" w:lineRule="auto"/>
        <w:tabs>
          <w:tab w:leader="none" w:pos="138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assets of the Company are subject to Code Section 704(c) or reflected in the Capital Accounts of the Members at a book value that differs from the adjusted federal income tax basis of such property, then the tax items with respect to such property shall be shared among the Members in a manner that takes account of the variation between the adjusted federal income tax basis of such property of the Company and its book value in accordance with the requirements of Code Section 704(c), the Treasury Regulations thereunder, and Treasury Regulations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1.704-1(b)(4)(i).</w:t>
      </w:r>
    </w:p>
    <w:p>
      <w:pPr>
        <w:spacing w:after="0" w:line="206" w:lineRule="exact"/>
        <w:rPr>
          <w:rFonts w:ascii="Times New Roman" w:cs="Times New Roman" w:eastAsia="Times New Roman" w:hAnsi="Times New Roman"/>
          <w:sz w:val="18"/>
          <w:szCs w:val="18"/>
          <w:color w:val="auto"/>
        </w:rPr>
      </w:pPr>
    </w:p>
    <w:p>
      <w:pPr>
        <w:ind w:right="220" w:firstLine="987"/>
        <w:spacing w:after="0" w:line="266" w:lineRule="auto"/>
        <w:tabs>
          <w:tab w:leader="none" w:pos="137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book value of any Company asset is adjusted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56" w:name="page357"/>
    <w:bookmarkEnd w:id="356"/>
    <w:p>
      <w:pPr>
        <w:ind w:left="-20" w:firstLine="987"/>
        <w:spacing w:after="0" w:line="312" w:lineRule="auto"/>
        <w:tabs>
          <w:tab w:leader="none" w:pos="1351"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Allocations of tax credits, tax credit recapture, and any items related thereto shall be allocated to the holders of Units according to their interests in such items as determined by the Board of Directors taking into account the principles of Treasury Regulations Section 1.704-1(b)(4)(ii).</w:t>
      </w:r>
    </w:p>
    <w:p>
      <w:pPr>
        <w:spacing w:after="0" w:line="139" w:lineRule="exact"/>
        <w:rPr>
          <w:rFonts w:ascii="Times New Roman" w:cs="Times New Roman" w:eastAsia="Times New Roman" w:hAnsi="Times New Roman"/>
          <w:sz w:val="17"/>
          <w:szCs w:val="17"/>
          <w:color w:val="auto"/>
        </w:rPr>
      </w:pPr>
    </w:p>
    <w:p>
      <w:pPr>
        <w:ind w:left="-20" w:right="40" w:firstLine="987"/>
        <w:spacing w:after="0" w:line="266" w:lineRule="auto"/>
        <w:tabs>
          <w:tab w:leader="none" w:pos="134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Allocations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spacing w:after="0" w:line="284"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7.03</w:t>
      </w:r>
      <w:r>
        <w:rPr>
          <w:sz w:val="20"/>
          <w:szCs w:val="20"/>
          <w:color w:val="auto"/>
        </w:rPr>
        <w:tab/>
      </w:r>
      <w:r>
        <w:rPr>
          <w:rFonts w:ascii="Times New Roman" w:cs="Times New Roman" w:eastAsia="Times New Roman" w:hAnsi="Times New Roman"/>
          <w:sz w:val="17"/>
          <w:szCs w:val="17"/>
          <w:u w:val="single" w:color="auto"/>
          <w:color w:val="auto"/>
        </w:rPr>
        <w:t>Special Allocations, Tax Elections and Partnership Representative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100" w:firstLine="987"/>
        <w:spacing w:after="0" w:line="258" w:lineRule="auto"/>
        <w:tabs>
          <w:tab w:leader="none" w:pos="135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in the Company is transferred, increased or decreased during the year, all items of income, gain, loss, deduction and credit recognized by the Company for such year shall be allocated among the Members as determined by the Board of Directors, subject to compliance with Section 706(d) of the Code. Notwithstanding the foregoing, items of income, gain, loss, deduction and credit recognized by the Company for the taxable year in which Baupost purchases the Series B Preferred Units pursuant to the Purchase Agreement shall be allocated among the Members using the “closing of the books” method, as of the end of the day on the Closing (as defined in the Purchase Agreement).</w:t>
      </w:r>
    </w:p>
    <w:p>
      <w:pPr>
        <w:spacing w:after="0" w:line="183"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35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Members shall not treat any of the rights of the Members under this Agreement, including with respect to the issuance of, and economic rights of, Preferred Units, as giving rise to any guaranteed payment for capital under Section 707 of the Code.</w:t>
      </w:r>
    </w:p>
    <w:p>
      <w:pPr>
        <w:spacing w:after="0" w:line="161"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35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the terms of this Agreement and any express limitations herein (including </w:t>
      </w:r>
      <w:r>
        <w:rPr>
          <w:rFonts w:ascii="Times New Roman" w:cs="Times New Roman" w:eastAsia="Times New Roman" w:hAnsi="Times New Roman"/>
          <w:sz w:val="18"/>
          <w:szCs w:val="18"/>
          <w:u w:val="single" w:color="auto"/>
          <w:color w:val="auto"/>
        </w:rPr>
        <w:t>Section 3.04(a)(ix) or (b)(v)</w:t>
      </w:r>
      <w:r>
        <w:rPr>
          <w:rFonts w:ascii="Times New Roman" w:cs="Times New Roman" w:eastAsia="Times New Roman" w:hAnsi="Times New Roman"/>
          <w:sz w:val="18"/>
          <w:szCs w:val="18"/>
          <w:color w:val="auto"/>
        </w:rPr>
        <w:t xml:space="preserve">, the second sentence of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the Board of Directors shall have the authority to make any tax elections and other tax decisions with respect to the Company, to approve any returns regarding any foreign, federal, state or local tax obligations of the Company, and to make all determinations regarding the allocation of income and loss contemplated by this ARTICLE VII.</w:t>
      </w:r>
    </w:p>
    <w:p>
      <w:pPr>
        <w:spacing w:after="0" w:line="179" w:lineRule="exact"/>
        <w:rPr>
          <w:rFonts w:ascii="Times New Roman" w:cs="Times New Roman" w:eastAsia="Times New Roman" w:hAnsi="Times New Roman"/>
          <w:sz w:val="18"/>
          <w:szCs w:val="18"/>
          <w:color w:val="auto"/>
        </w:rPr>
      </w:pPr>
    </w:p>
    <w:p>
      <w:pPr>
        <w:ind w:left="-20" w:firstLine="987"/>
        <w:spacing w:after="0" w:line="255" w:lineRule="auto"/>
        <w:tabs>
          <w:tab w:leader="none" w:pos="136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this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and to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the Partnership Representative shall have authority to make decisions regarding any Company tax controversy. Each Member hereby agrees (i) to take such actions as may be required to effect the appointed Member’s designation as the Partnership Representative (as determined pursuant to </w:t>
      </w:r>
      <w:r>
        <w:rPr>
          <w:rFonts w:ascii="Times New Roman" w:cs="Times New Roman" w:eastAsia="Times New Roman" w:hAnsi="Times New Roman"/>
          <w:sz w:val="18"/>
          <w:szCs w:val="18"/>
          <w:u w:val="single" w:color="auto"/>
          <w:color w:val="auto"/>
        </w:rPr>
        <w:t>Section 3.03(a)(viii)</w:t>
      </w:r>
      <w:r>
        <w:rPr>
          <w:rFonts w:ascii="Times New Roman" w:cs="Times New Roman" w:eastAsia="Times New Roman" w:hAnsi="Times New Roman"/>
          <w:sz w:val="18"/>
          <w:szCs w:val="18"/>
          <w:color w:val="auto"/>
        </w:rPr>
        <w:t>), (ii) to cooperate to provide any information or take such other actions as may be reasonably requested by the Partnership Representative in order to determine whether any Imputed Underpayment Amount may be modified pursuant to Code Section 6225(c), and (iii) to, upon the request of the Partnership Representative, file any amended U.S. federal income tax return and pay any tax due in connection with such tax return in accordance with Code Section 6225(c)(2); provided, however, that this clause (iii) shall not apply with respect to Baupost or Eventide with respect to any requirement to file an amended tax return.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70" w:right="479" w:bottom="1440" w:gutter="0" w:footer="0" w:header="0"/>
        </w:sectPr>
      </w:pPr>
    </w:p>
    <w:bookmarkStart w:id="357" w:name="page358"/>
    <w:bookmarkEnd w:id="35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Member’s obligation to comply with this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shall survive the transfer, assignment or liquidation of such Member’s interest in the Company. Notwithstanding the foregoing the Partnership Representative shall be subject to the control of the Board of Directors pursuant to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and shall not settle or otherwise compromise any issue in any such examination, audit or other proceeding without first obtaining approval of the Board of Directors.</w:t>
      </w:r>
    </w:p>
    <w:p>
      <w:pPr>
        <w:spacing w:after="0" w:line="180" w:lineRule="exact"/>
        <w:rPr>
          <w:sz w:val="20"/>
          <w:szCs w:val="20"/>
          <w:color w:val="auto"/>
        </w:rPr>
      </w:pPr>
    </w:p>
    <w:p>
      <w:pPr>
        <w:ind w:firstLine="987"/>
        <w:spacing w:after="0" w:line="253" w:lineRule="auto"/>
        <w:tabs>
          <w:tab w:leader="none" w:pos="136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Representative (and, if different, the Company) will give notice to Baupost, Rock Springs, Eventide and Foresite within a reasonable period of time following the receipt of notice that the IRS or any other taxing authority intends to examine or audit any income tax returns of the Company. The Partnership Representative will keep Baupost, Rock Springs, Eventide and Foresite reasonably informed of all tax audits, examinations and other proceedings involving the Company. In addition, in connection with any audit, examination or other proceeding, the Partnership Representative will not settle or compromise any audit, examination or other proceeding without the prior written consent of Baupost, Rock Springs, Eventide and Foresite if such settlement or compromise would disproportionately adversely affect Baupost, Rock Springs, Eventide and Foresite or their respective direct or indirect members, shareholders, partners, beneficiaries, or other beneficial owners. Notwithstanding anything to the contrary in this Agreement, Baupost, Rock Springs, Eventide and Foresite shall not be required to file any amended tax return in connection with Code Section 6225 or otherwise by the Company. Notwithstanding the foregoing, any notice, documentation or other information provided to Baupost, Rock Springs, Eventide and Foresite by the Partnership Representative or the Company pursuant to this Section 7.03(e) shall also be provided to Cowen.</w:t>
      </w:r>
    </w:p>
    <w:p>
      <w:pPr>
        <w:spacing w:after="0" w:line="194"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35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Partnership Representative (nor, if different, the Company) will make an election pursuant to section 1101(g)(4) of the Bipartisan Budget Act of 2015 to have the new partnership audit regime apply to any of its tax returns for a taxable period ending on or before December 31, 2017.</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DISTRIBUTIONS</w:t>
      </w:r>
    </w:p>
    <w:p>
      <w:pPr>
        <w:spacing w:after="0" w:line="20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7"/>
          <w:szCs w:val="17"/>
          <w:u w:val="single" w:color="auto"/>
          <w:color w:val="auto"/>
        </w:rPr>
        <w:t>Distributions Generally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4" w:lineRule="auto"/>
        <w:tabs>
          <w:tab w:leader="none" w:pos="137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ARTICLE VIII, the Board of Directors may, in its discretion, determine the amount of any Proceeds Available for Distribution and any Capital Transaction Proceeds and the time when such amounts are to be distributed. Once such determination is made by the Board of Directors, and, in any event, if required pursuant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(i) upon the closing of any Capital Transaction the Company shall promptly distribute such Capital Transaction Proceeds associated with such transaction in accordance with Section 8.01(b), (ii) upon the closing of a Change of Control, the Company shall immediately distribute such proceeds associated with such Change of Control transaction in accordance with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 (iii) upon a dissolution, winding up and liquidation in accordance with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the Company shall immediately distribute such proceeds associated with such dissolution, winding up and liquidation. The Board of Directors may establish record dates for the purpose of determining the Members of the Company entitled to any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5238115</wp:posOffset>
            </wp:positionH>
            <wp:positionV relativeFrom="paragraph">
              <wp:posOffset>-577850</wp:posOffset>
            </wp:positionV>
            <wp:extent cx="3619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58" w:name="page359"/>
    <w:bookmarkEnd w:id="358"/>
    <w:p>
      <w:pPr>
        <w:ind w:left="940" w:hanging="393"/>
        <w:spacing w:after="0"/>
        <w:tabs>
          <w:tab w:leader="none" w:pos="9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Proceeds Available for Distribution and any Capital Transaction Proceeds shall be distributed to the Members:</w:t>
      </w:r>
    </w:p>
    <w:p>
      <w:pPr>
        <w:spacing w:after="0" w:line="117" w:lineRule="exact"/>
        <w:rPr>
          <w:rFonts w:ascii="Times New Roman" w:cs="Times New Roman" w:eastAsia="Times New Roman" w:hAnsi="Times New Roman"/>
          <w:sz w:val="18"/>
          <w:szCs w:val="18"/>
          <w:color w:val="auto"/>
        </w:rPr>
      </w:pPr>
    </w:p>
    <w:p>
      <w:pPr>
        <w:ind w:right="60" w:firstLine="948"/>
        <w:spacing w:after="0" w:line="261" w:lineRule="auto"/>
        <w:tabs>
          <w:tab w:leader="none" w:pos="130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Members holding Series C Preferred Units and Series B Preferred Units on a pari passu basis in proportion to the remaining amount to be distributed to such holders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until, on a Series C Preferred Unit and Series B Preferred Unit by Series C Preferred Unit and Series B Preferred Unit basis, each Preferred Unit has been distributed an amount equal to the Unpaid Preferred Unit Preference Amount for such Series C Preferred Unit and Series B Preferred Unit, as applicable;</w:t>
      </w:r>
    </w:p>
    <w:p>
      <w:pPr>
        <w:spacing w:after="0" w:line="71" w:lineRule="exact"/>
        <w:rPr>
          <w:rFonts w:ascii="Times New Roman" w:cs="Times New Roman" w:eastAsia="Times New Roman" w:hAnsi="Times New Roman"/>
          <w:sz w:val="18"/>
          <w:szCs w:val="18"/>
          <w:color w:val="auto"/>
        </w:rPr>
      </w:pPr>
    </w:p>
    <w:p>
      <w:pPr>
        <w:jc w:val="both"/>
        <w:ind w:right="100" w:firstLine="948"/>
        <w:spacing w:after="0" w:line="261" w:lineRule="auto"/>
        <w:tabs>
          <w:tab w:leader="none" w:pos="135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Members holding Series Seed Preferred Unit and Series A Preferred Units on a pari passu basis in proportion to the remaining amount to be distributed to such holders under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until, on a Series Seed Preferred Unit and Series A Preferred Unit basis, each such Preferred Unit has been distributed an amount equal to the Unpaid Preferred Unit Preference Amount for such Series Seed Preferred Unit and Series A Preferred Unit, as applicable;</w:t>
      </w:r>
    </w:p>
    <w:p>
      <w:pPr>
        <w:spacing w:after="0" w:line="71" w:lineRule="exact"/>
        <w:rPr>
          <w:rFonts w:ascii="Times New Roman" w:cs="Times New Roman" w:eastAsia="Times New Roman" w:hAnsi="Times New Roman"/>
          <w:sz w:val="18"/>
          <w:szCs w:val="18"/>
          <w:color w:val="auto"/>
        </w:rPr>
      </w:pPr>
    </w:p>
    <w:p>
      <w:pPr>
        <w:ind w:right="120" w:firstLine="948"/>
        <w:spacing w:after="0" w:line="261" w:lineRule="auto"/>
        <w:tabs>
          <w:tab w:leader="none" w:pos="139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subject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to the Members holding Common Units and Non-Voting Incentive Units pro rata an amount per Unit under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equal to the amount per Unit paid per Unit in respect of the Series Seed Preferred Units under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8.01(b)(ii) above;</w:t>
      </w:r>
    </w:p>
    <w:p>
      <w:pPr>
        <w:spacing w:after="0" w:line="98" w:lineRule="exact"/>
        <w:rPr>
          <w:rFonts w:ascii="Times New Roman" w:cs="Times New Roman" w:eastAsia="Times New Roman" w:hAnsi="Times New Roman"/>
          <w:sz w:val="18"/>
          <w:szCs w:val="18"/>
          <w:color w:val="auto"/>
        </w:rPr>
      </w:pPr>
    </w:p>
    <w:p>
      <w:pPr>
        <w:ind w:right="120" w:firstLine="948"/>
        <w:spacing w:after="0" w:line="256" w:lineRule="auto"/>
        <w:tabs>
          <w:tab w:leader="none" w:pos="139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subject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to the Members holding Common Units, Non-Voting Incentive Units and Series Seed Preferred Units, pro rata in proportion to the remaining amount to be distributed to such holders under this </w:t>
      </w:r>
      <w:r>
        <w:rPr>
          <w:rFonts w:ascii="Times New Roman" w:cs="Times New Roman" w:eastAsia="Times New Roman" w:hAnsi="Times New Roman"/>
          <w:sz w:val="18"/>
          <w:szCs w:val="18"/>
          <w:u w:val="single" w:color="auto"/>
          <w:color w:val="auto"/>
        </w:rPr>
        <w:t>Section 8.01(b)(iv)</w:t>
      </w:r>
      <w:r>
        <w:rPr>
          <w:rFonts w:ascii="Times New Roman" w:cs="Times New Roman" w:eastAsia="Times New Roman" w:hAnsi="Times New Roman"/>
          <w:sz w:val="18"/>
          <w:szCs w:val="18"/>
          <w:color w:val="auto"/>
        </w:rPr>
        <w:t xml:space="preserve">, if any, until an amount has been distributed in respect of each such Unit under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Section 8.01(b)(iv)</w:t>
      </w:r>
      <w:r>
        <w:rPr>
          <w:rFonts w:ascii="Times New Roman" w:cs="Times New Roman" w:eastAsia="Times New Roman" w:hAnsi="Times New Roman"/>
          <w:sz w:val="18"/>
          <w:szCs w:val="18"/>
          <w:color w:val="auto"/>
        </w:rPr>
        <w:t xml:space="preserve"> equal to (1) in the case of Series Seed Preferred Units, the product of (A) the Adjustment Ratio in effect for such Unit (if any) multiplied by (B) the amount distributed in respect of any Series A Preferred Unit under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and (2) in the case of Common Units and Non-Voting Incentive Units, the amount distributed in respect of any Series A Preferred Unit under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948"/>
        <w:spacing w:after="0" w:line="254" w:lineRule="auto"/>
        <w:tabs>
          <w:tab w:leader="none" w:pos="134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Fifth, subject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to the Members holding Common Units, Non-Voting Incentive Units, Series Seed Preferred Units and Series A Preferred Units, pro rata in proportion to the remaining amount to be distributed to such holders under this </w:t>
      </w:r>
      <w:r>
        <w:rPr>
          <w:rFonts w:ascii="Times New Roman" w:cs="Times New Roman" w:eastAsia="Times New Roman" w:hAnsi="Times New Roman"/>
          <w:sz w:val="18"/>
          <w:szCs w:val="18"/>
          <w:u w:val="single" w:color="auto"/>
          <w:color w:val="auto"/>
        </w:rPr>
        <w:t>Section 8.01(b)(v)</w:t>
      </w:r>
      <w:r>
        <w:rPr>
          <w:rFonts w:ascii="Times New Roman" w:cs="Times New Roman" w:eastAsia="Times New Roman" w:hAnsi="Times New Roman"/>
          <w:sz w:val="18"/>
          <w:szCs w:val="18"/>
          <w:color w:val="auto"/>
        </w:rPr>
        <w:t xml:space="preserve">, until an amount has been distributed in respect of each such Unit under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8.01(b)(iv)</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8.01(b)(v)</w:t>
      </w:r>
      <w:r>
        <w:rPr>
          <w:rFonts w:ascii="Times New Roman" w:cs="Times New Roman" w:eastAsia="Times New Roman" w:hAnsi="Times New Roman"/>
          <w:sz w:val="18"/>
          <w:szCs w:val="18"/>
          <w:color w:val="auto"/>
        </w:rPr>
        <w:t xml:space="preserve"> equal to (1) in the case of Series A Preferred Units, the product of (A) the Adjustment Ratio in effect for such Unit (if any) multiplied by (B) the amount distributed in respect of any Series B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(2) in the case of Series Seed Preferred Units, the product of (A) the Adjustment Ratio in effect for such Unit (if any) multiplied by (B) the amount distributed in respect of any Series B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and (3) in the case of Common Units and Non-Voting Incentive Units, the amount distributed in respect of any Series B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359" w:name="page360"/>
    <w:bookmarkEnd w:id="359"/>
    <w:p>
      <w:pPr>
        <w:ind w:left="420" w:right="60" w:firstLine="948"/>
        <w:spacing w:after="0" w:line="253" w:lineRule="auto"/>
        <w:tabs>
          <w:tab w:leader="none" w:pos="181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Sixth, subject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to the Members holding Common Units, Non-Voting Incentive Units, Series Seed Preferred Units, Series A Preferred Units and Series B Preferred Units, pro rata in proportion to the remaining amount to be distributed to such holders under this </w:t>
      </w:r>
      <w:r>
        <w:rPr>
          <w:rFonts w:ascii="Times New Roman" w:cs="Times New Roman" w:eastAsia="Times New Roman" w:hAnsi="Times New Roman"/>
          <w:sz w:val="18"/>
          <w:szCs w:val="18"/>
          <w:u w:val="single" w:color="auto"/>
          <w:color w:val="auto"/>
        </w:rPr>
        <w:t>Section 8.01(b)(vi)</w:t>
      </w:r>
      <w:r>
        <w:rPr>
          <w:rFonts w:ascii="Times New Roman" w:cs="Times New Roman" w:eastAsia="Times New Roman" w:hAnsi="Times New Roman"/>
          <w:sz w:val="18"/>
          <w:szCs w:val="18"/>
          <w:color w:val="auto"/>
        </w:rPr>
        <w:t xml:space="preserve">, until an amount has been distributed in respect of each such Unit under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8.01(b)(iv), Section 8.01(b)(v)</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8.01(b)(vi)</w:t>
      </w:r>
      <w:r>
        <w:rPr>
          <w:rFonts w:ascii="Times New Roman" w:cs="Times New Roman" w:eastAsia="Times New Roman" w:hAnsi="Times New Roman"/>
          <w:sz w:val="18"/>
          <w:szCs w:val="18"/>
          <w:color w:val="auto"/>
        </w:rPr>
        <w:t xml:space="preserve"> equal to (1) in the case of Series B Preferred Units, the product of (A) the Adjustment Ratio in effect for such Unit (if any) multiplied by (B) the amount distributed in respect of any Series C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(2) in the case of Series A Preferred Units, the product of (A) the Adjustment Ratio in effect for such Unit (if any) multiplied by (B) the amount distributed in respect of any Series C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(3) in the case of Series Seed Preferred Units, the product of (A) the Adjustment Ratio in effect for such Unit (if any) multiplied by (B) the amount distributed in respect of any Series C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and (4) in the case of Common Units and Non-Voting Incentive Units, the amount distributed in respect of any Series C Preferred Unit under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and</w:t>
      </w:r>
    </w:p>
    <w:p>
      <w:pPr>
        <w:spacing w:after="0" w:line="86" w:lineRule="exact"/>
        <w:rPr>
          <w:rFonts w:ascii="Times New Roman" w:cs="Times New Roman" w:eastAsia="Times New Roman" w:hAnsi="Times New Roman"/>
          <w:sz w:val="18"/>
          <w:szCs w:val="18"/>
          <w:color w:val="auto"/>
        </w:rPr>
      </w:pPr>
    </w:p>
    <w:p>
      <w:pPr>
        <w:ind w:left="1860" w:hanging="492"/>
        <w:spacing w:after="0"/>
        <w:tabs>
          <w:tab w:leader="none" w:pos="18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Seventh, subject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to all holders of Units in proportion to their Percentage Interest.</w:t>
      </w:r>
    </w:p>
    <w:p>
      <w:pPr>
        <w:spacing w:after="0" w:line="225" w:lineRule="exact"/>
        <w:rPr>
          <w:rFonts w:ascii="Times New Roman" w:cs="Times New Roman" w:eastAsia="Times New Roman" w:hAnsi="Times New Roman"/>
          <w:sz w:val="18"/>
          <w:szCs w:val="18"/>
          <w:color w:val="auto"/>
        </w:rPr>
      </w:pPr>
    </w:p>
    <w:p>
      <w:pPr>
        <w:ind w:left="-20" w:firstLine="987"/>
        <w:spacing w:after="0" w:line="253" w:lineRule="auto"/>
        <w:tabs>
          <w:tab w:leader="none" w:pos="135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to the contrary, no holder of Non-Voting Incentive Units shall participate in (and no such Non-Voting Incentive Unit shall be treated as outstanding for purposes of apportioning) any distributions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 in respect of any Non-Voting Incentive Units that are unvested at the time of such distribution, absent a separate written agreement between the Member and the Company and (ii), until a total amount equal to the Strike Price with respect to such Non-Voting Incentive Unit has been distributed in respect of each other Non-Voting Incentive Unit pursuant to </w:t>
      </w:r>
      <w:r>
        <w:rPr>
          <w:rFonts w:ascii="Times New Roman" w:cs="Times New Roman" w:eastAsia="Times New Roman" w:hAnsi="Times New Roman"/>
          <w:sz w:val="18"/>
          <w:szCs w:val="18"/>
          <w:u w:val="single" w:color="auto"/>
          <w:color w:val="auto"/>
        </w:rPr>
        <w:t>Sections 8.01(b)(iii)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8.01(b)(v)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8.01(b)(vi)</w:t>
      </w:r>
      <w:r>
        <w:rPr>
          <w:rFonts w:ascii="Times New Roman" w:cs="Times New Roman" w:eastAsia="Times New Roman" w:hAnsi="Times New Roman"/>
          <w:sz w:val="18"/>
          <w:szCs w:val="18"/>
          <w:color w:val="auto"/>
        </w:rPr>
        <w:t xml:space="preserve"> (reduced in the case of Non-Voting Incentive Units also subject to a Strike Price by the amount of such Strike Price) subsequent to the issuance of such Non-Voting Incentive Units, except, in each case, other than Tax Distributions treated as advances on distributions made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Notwithstanding any provision in this Agreement to the contrary, no holder of a Common Unit shall participate in (and no such Common Unit shall be treated as outstanding for purposes of apportioning) any distributions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in respect of any Common Units that are unvested at the time of such distribution, absent a separate written agreement between the Member and the Company. The Board of Directors shall have the discretion to make any determinations required under this clause, including as to the extent to which Non-Voting Incentive Units with an associated Strike Price and unvested Common Units will be excluded from participating in Company Distributions on account of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70" w:right="459" w:bottom="1440" w:gutter="0" w:footer="0" w:header="0"/>
        </w:sectPr>
      </w:pPr>
    </w:p>
    <w:bookmarkStart w:id="360" w:name="page361"/>
    <w:bookmarkEnd w:id="360"/>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8.02</w:t>
      </w:r>
      <w:r>
        <w:rPr>
          <w:sz w:val="20"/>
          <w:szCs w:val="20"/>
          <w:color w:val="auto"/>
        </w:rPr>
        <w:tab/>
      </w:r>
      <w:r>
        <w:rPr>
          <w:rFonts w:ascii="Times New Roman" w:cs="Times New Roman" w:eastAsia="Times New Roman" w:hAnsi="Times New Roman"/>
          <w:sz w:val="17"/>
          <w:szCs w:val="17"/>
          <w:u w:val="single" w:color="auto"/>
          <w:color w:val="auto"/>
        </w:rPr>
        <w:t>Tax Distributions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1" w:lineRule="auto"/>
        <w:tabs>
          <w:tab w:leader="none" w:pos="136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three (3) weeks prior to the end of any fiscal quarter of the Company, the Company, at the sole discretion of the Board of Directors, shall deliver to each Member a statement setting forth the amount of income and gain (and, to the extent reasonably practicable, each item thereof) expected to be allocated by the Company to such Member for federal income tax purposes with respect to such fiscal quarter, as estimated by the Board of Directors, in consultation with the Officers and tax and accounting advisors. Notwithstanding any other provision of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prior to and in preference over any distributions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Company, at the sole discretion of the Board of Directors, shall distribute to such Member, at least seven (7) days prior to the estimated tax payment due date for such fiscal quarter, an amount of cash equal to the amounts estimated by the Board of Directors, in consultation with the Officers and its tax and accounting advisors, to represent the assumed federal, state and local income tax liability (such liability, a “</w:t>
      </w:r>
      <w:r>
        <w:rPr>
          <w:rFonts w:ascii="Times New Roman" w:cs="Times New Roman" w:eastAsia="Times New Roman" w:hAnsi="Times New Roman"/>
          <w:sz w:val="18"/>
          <w:szCs w:val="18"/>
          <w:b w:val="1"/>
          <w:bCs w:val="1"/>
          <w:color w:val="auto"/>
        </w:rPr>
        <w:t>Tax Liability</w:t>
      </w:r>
      <w:r>
        <w:rPr>
          <w:rFonts w:ascii="Times New Roman" w:cs="Times New Roman" w:eastAsia="Times New Roman" w:hAnsi="Times New Roman"/>
          <w:sz w:val="18"/>
          <w:szCs w:val="18"/>
          <w:color w:val="auto"/>
        </w:rPr>
        <w:t xml:space="preserve">”) that would be incurred by such Member with respect to such Member’s allocable share of the Company’s taxable net income for such quarter (any such distribution, and any other distribution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Tax Distribution</w:t>
      </w:r>
      <w:r>
        <w:rPr>
          <w:rFonts w:ascii="Times New Roman" w:cs="Times New Roman" w:eastAsia="Times New Roman" w:hAnsi="Times New Roman"/>
          <w:sz w:val="18"/>
          <w:szCs w:val="18"/>
          <w:color w:val="auto"/>
        </w:rPr>
        <w:t>”). In calculating the amount of each Tax Distribution, the Company shall assume that each Member’s Tax Liability is equal to (i) the highest combined marginal federal, state and local income tax rate applicable for such period to an individual resident in the jurisdiction with the highest combined marginal federal, state and local income tax rate, as determined by the Board of Directors in consultation with its tax and accounting advisors (the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multiplied by (ii) such Member’s allocable share of the taxable income of the Company (as reduced, but not below zero, by any prior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allocated to such Member that was not previously taken into account under this sentence). The Tax Rate may be adjusted by the Board of Directors (provided that the same percentage shall apply to each Member) to account for preferential rates of income tax applicable to certain kinds of income for individuals. In addition, within ninety (90) days after the end of each Fiscal Year, the Company shall distribute to each Member an amount equal to the excess, if any, of (x) such Member’s Tax Liability with respect to such Fiscal Year minus (y) the sum of all other Tax Distributions distributed to such Member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 respect to such Fiscal Year. For purposes of calculating the Tax Liability of a Member, the Company shall take into account any allocations of income or gain to a Member with respect to any accrued dividend or other amount properly treated as a guaranteed payment for capital under Section 707(c) of the Code. Notwithstanding the foregoing, Tax Distributions shall not be available to a Member with respect to any guaranteed payment for services under Section 707(c) of the Code or any other payment for services to a Member not in his, her or its capacity as a Member under Section 707(a) of the Code. Notwithstanding anything herein to the contrary, Tax Distributions pursuant to this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shall be treated as advances of the first Distributions under </w:t>
      </w:r>
      <w:r>
        <w:rPr>
          <w:rFonts w:ascii="Times New Roman" w:cs="Times New Roman" w:eastAsia="Times New Roman" w:hAnsi="Times New Roman"/>
          <w:sz w:val="18"/>
          <w:szCs w:val="18"/>
          <w:u w:val="single" w:color="auto"/>
          <w:color w:val="auto"/>
        </w:rPr>
        <w:t>Section 8.01(b)(iii)-(vi)</w:t>
      </w:r>
      <w:r>
        <w:rPr>
          <w:rFonts w:ascii="Times New Roman" w:cs="Times New Roman" w:eastAsia="Times New Roman" w:hAnsi="Times New Roman"/>
          <w:sz w:val="18"/>
          <w:szCs w:val="18"/>
          <w:color w:val="auto"/>
        </w:rPr>
        <w:t xml:space="preserve"> that would otherwise be made to such Member, and shall reduce or offset amounts otherwise distributable pursuant to </w:t>
      </w:r>
      <w:r>
        <w:rPr>
          <w:rFonts w:ascii="Times New Roman" w:cs="Times New Roman" w:eastAsia="Times New Roman" w:hAnsi="Times New Roman"/>
          <w:sz w:val="18"/>
          <w:szCs w:val="18"/>
          <w:u w:val="single" w:color="auto"/>
          <w:color w:val="auto"/>
        </w:rPr>
        <w:t>Section 8.01(b)(iii)-(vi)</w:t>
      </w:r>
      <w:r>
        <w:rPr>
          <w:rFonts w:ascii="Times New Roman" w:cs="Times New Roman" w:eastAsia="Times New Roman" w:hAnsi="Times New Roman"/>
          <w:sz w:val="18"/>
          <w:szCs w:val="18"/>
          <w:color w:val="auto"/>
        </w:rPr>
        <w:t xml:space="preserve"> accordingly; provided, however that Tax Distributions to the Members holding Series Seed Preferred Units, Series A Preferred Units, Series B Preferred Units and/or Series C Preferred Units pursuant to this Section 8.02(a) shall not be treated as advances of Distributions under Section 8.01(b)(i) or (ii), as applicable, that would otherwise be made to such Member, and shall not reduce or offset amounts otherwise distributable pursuant to Section 8.01(b)(i) or (ii), as applicable.</w:t>
      </w:r>
    </w:p>
    <w:p>
      <w:pPr>
        <w:spacing w:after="0" w:line="203" w:lineRule="exact"/>
        <w:rPr>
          <w:rFonts w:ascii="Times New Roman" w:cs="Times New Roman" w:eastAsia="Times New Roman" w:hAnsi="Times New Roman"/>
          <w:sz w:val="18"/>
          <w:szCs w:val="18"/>
          <w:color w:val="auto"/>
        </w:rPr>
      </w:pPr>
    </w:p>
    <w:p>
      <w:pPr>
        <w:ind w:right="60" w:firstLine="987"/>
        <w:spacing w:after="0" w:line="254" w:lineRule="auto"/>
        <w:tabs>
          <w:tab w:leader="none" w:pos="13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(i) the sum of all Tax Distributions distributed to any Member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 respect to a Fiscal Year exceed (ii) such Member’s Tax Liability with respect to such Fiscal Year, such excess shall be considered a Tax Distribution in respect of the immediately succeeding Fiscal Year for purposes of determining the Company’s obligation to make Tax Distributions with respect to such immediately succeeding Fiscal Year. To the extent that (iii) any Member’s Tax Liability with respect to such Fiscal Year exceeds (iv) the sum of all Tax Distributions distributed to such Member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 respect to such Fiscal Year, the Company shall distribute such excess to such Member as soon as possible, and any such distributions shall be made in preference of, and in addition to, any subsequent Tax Distributions for subsequent Fiscal Years. For the avoidance of doubt,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shall apply in the event of a redetermination of the Tax Liability of a Member after the close of a Fiscal Year, whether as a result of an audit and assessment by a taxing authority or otherwise.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61" w:name="page362"/>
    <w:bookmarkEnd w:id="361"/>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8.03 </w:t>
      </w:r>
      <w:r>
        <w:rPr>
          <w:rFonts w:ascii="Times New Roman" w:cs="Times New Roman" w:eastAsia="Times New Roman" w:hAnsi="Times New Roman"/>
          <w:sz w:val="18"/>
          <w:szCs w:val="18"/>
          <w:u w:val="single" w:color="auto"/>
          <w:color w:val="auto"/>
        </w:rPr>
        <w:t>Limitations on Distributions</w:t>
      </w:r>
      <w:r>
        <w:rPr>
          <w:rFonts w:ascii="Times New Roman" w:cs="Times New Roman" w:eastAsia="Times New Roman" w:hAnsi="Times New Roman"/>
          <w:sz w:val="18"/>
          <w:szCs w:val="18"/>
          <w:color w:val="auto"/>
        </w:rPr>
        <w:t>. No distribution shall be made to a Member if and to the extent that such distribution would cause the Company to be insolvent.</w:t>
      </w:r>
    </w:p>
    <w:p>
      <w:pPr>
        <w:spacing w:after="0" w:line="270"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8.04</w:t>
      </w:r>
      <w:r>
        <w:rPr>
          <w:sz w:val="20"/>
          <w:szCs w:val="20"/>
          <w:color w:val="auto"/>
        </w:rPr>
        <w:tab/>
      </w:r>
      <w:r>
        <w:rPr>
          <w:rFonts w:ascii="Times New Roman" w:cs="Times New Roman" w:eastAsia="Times New Roman" w:hAnsi="Times New Roman"/>
          <w:sz w:val="17"/>
          <w:szCs w:val="17"/>
          <w:u w:val="single" w:color="auto"/>
          <w:color w:val="auto"/>
        </w:rPr>
        <w:t>In-Kind Distributions; Distributions of Subsidiaries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680" w:firstLine="987"/>
        <w:spacing w:after="0" w:line="282" w:lineRule="auto"/>
        <w:tabs>
          <w:tab w:leader="none" w:pos="137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in-kind distribution shall be distributed on the basis of the property’s then Fair Market Value and shall be distributed to the Members in proportion to their overall shares of the amounts then being distributed.</w:t>
      </w:r>
    </w:p>
    <w:p>
      <w:pPr>
        <w:spacing w:after="0" w:line="161" w:lineRule="exact"/>
        <w:rPr>
          <w:rFonts w:ascii="Times New Roman" w:cs="Times New Roman" w:eastAsia="Times New Roman" w:hAnsi="Times New Roman"/>
          <w:sz w:val="18"/>
          <w:szCs w:val="18"/>
          <w:color w:val="auto"/>
        </w:rPr>
      </w:pPr>
    </w:p>
    <w:p>
      <w:pPr>
        <w:ind w:left="4" w:firstLine="987"/>
        <w:spacing w:after="0" w:line="267" w:lineRule="auto"/>
        <w:tabs>
          <w:tab w:leader="none" w:pos="1385"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herein to the contrary, unless otherwise determined by a unanimous vote of the Board of Directors, in the event the Board of Directors determines to distribute a subsidiary of the Company to the Members and such distribution is not being made in connection with or after a public offering of such subsidiary pursuant to which such subsidiary will or has become traded on a national securities exchange, such distribution shall be made to all the Members in a manner such that, to the extent reasonably possible, each Member receives equity interests in such subsidiary having rights, preferences, privileges and obligations substantially similar to those that exist with respect to the interests of the Member in the Company at the time of such distribution, subject to such adjustments as the Board of Directors determines fair and equitable to take into account the relative values of the Company and such subsidiary. In the event of such distribution, the rights to distributions from the Company thereafter shall be proportionately reduced in a manner determined fair and equitable by the Board of Directors. By way of illustration and not limitation, in the event the Company distributes a subsidiary pursuant to this </w:t>
      </w:r>
      <w:r>
        <w:rPr>
          <w:rFonts w:ascii="Times New Roman" w:cs="Times New Roman" w:eastAsia="Times New Roman" w:hAnsi="Times New Roman"/>
          <w:sz w:val="17"/>
          <w:szCs w:val="17"/>
          <w:u w:val="single" w:color="auto"/>
          <w:color w:val="auto"/>
        </w:rPr>
        <w:t>Section 8.04(b)</w:t>
      </w:r>
      <w:r>
        <w:rPr>
          <w:rFonts w:ascii="Times New Roman" w:cs="Times New Roman" w:eastAsia="Times New Roman" w:hAnsi="Times New Roman"/>
          <w:sz w:val="17"/>
          <w:szCs w:val="17"/>
          <w:color w:val="auto"/>
        </w:rPr>
        <w:t xml:space="preserve"> having a Fair Market Value equal to ten percent (10%) of the Fair Market Value of the Company, the Members holding Series Seed Preferred Units, Series A1 Preferred Units, Series B Preferred Units and Series C Preferred Units shall receive similar interests in such subsidiary provided (i) the equivalent of the Unpaid Preferred Unit Preference Amount of such similar interests shall equal ten percent (10%) of the then-remaining Unpaid Preferred Unit Preference Amount for such series of Preferred Units and</w:t>
      </w:r>
    </w:p>
    <w:p>
      <w:pPr>
        <w:ind w:left="264" w:hanging="264"/>
        <w:spacing w:after="0"/>
        <w:tabs>
          <w:tab w:leader="none" w:pos="26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then-remaining Unpaid Preferred Unit Preference Amount for such series of Preferred Units shall be reduced by ten percent (10%).</w:t>
      </w:r>
    </w:p>
    <w:p>
      <w:pPr>
        <w:spacing w:after="0" w:line="20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Tax Information</w:t>
      </w:r>
      <w:r>
        <w:rPr>
          <w:rFonts w:ascii="Times New Roman" w:cs="Times New Roman" w:eastAsia="Times New Roman" w:hAnsi="Times New Roman"/>
          <w:sz w:val="18"/>
          <w:szCs w:val="18"/>
          <w:color w:val="auto"/>
        </w:rPr>
        <w:t>. The Members shall deliver to the Company, at the same time or times prescribed by applicable law and at any times reasonably requested by the Company, such information, documentation or certification as may be prescribed by law or reasonably requested by the Company to determine whether withholding may be required with respect to the Member’s interest in the Company or in connection with tax filings in any jurisdiction in which or through which the Company invests, including any information or certification required for the Company (or any other entity in which the Company directly or indirectly invests) to comply with any tax return or information filing requirements or to obtain a reduced rate of, or exemptions from, any applicable tax, whether pursuant to the laws of such jurisdiction or an applicable tax treaty; provided, however, that nothing in this Agreement shall require Baupost to provide information relating to its direct or indirect members, shareholders, partners, beneficiaries, or other beneficial owners unless required by applicable law.</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 MATTERS AND REPORTS; ACCOUNTING</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Tax Reports to Current and Former Members</w:t>
      </w:r>
      <w:r>
        <w:rPr>
          <w:rFonts w:ascii="Times New Roman" w:cs="Times New Roman" w:eastAsia="Times New Roman" w:hAnsi="Times New Roman"/>
          <w:sz w:val="18"/>
          <w:szCs w:val="18"/>
          <w:color w:val="auto"/>
        </w:rPr>
        <w:t>. After the end of each Fiscal Year, the Company shall use reasonable best efforts to prepare and mail, or cause its accountants to prepare and mail, not later than seventy-five (75) days following the end of such Fiscal Year, to each Member and, to the extent necessary, to each former Member (or its legal representatives), a report setting forth in sufficient detail such information as is required to be furnished to members by law and as shall enable such Member or former Member (or its legal representatives) to prepare their respective U.S. federal and state income tax returns or informational returns; provided, however, that the Company shall in all events provide the tax information and documentation specified in this sentence not later than ninety (90) days following the end of such Fiscal Year.</w:t>
      </w:r>
    </w:p>
    <w:p>
      <w:pPr>
        <w:spacing w:after="0" w:line="18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Accounting Records</w:t>
      </w:r>
      <w:r>
        <w:rPr>
          <w:rFonts w:ascii="Times New Roman" w:cs="Times New Roman" w:eastAsia="Times New Roman" w:hAnsi="Times New Roman"/>
          <w:sz w:val="18"/>
          <w:szCs w:val="18"/>
          <w:color w:val="auto"/>
        </w:rPr>
        <w:t>. The Company shall maintain complete books and records accurately reflecting the accounts, business, transactions and Members of the Company.</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Tax Accounting Method</w:t>
      </w:r>
      <w:r>
        <w:rPr>
          <w:rFonts w:ascii="Times New Roman" w:cs="Times New Roman" w:eastAsia="Times New Roman" w:hAnsi="Times New Roman"/>
          <w:sz w:val="18"/>
          <w:szCs w:val="18"/>
          <w:color w:val="auto"/>
        </w:rPr>
        <w:t>. Those documents relating to allocations of items of income, gain, loss, deduction or credit and Capital Accounts shall be kept under federal income tax accounting principles as provided herein.</w:t>
      </w:r>
    </w:p>
    <w:p>
      <w:pPr>
        <w:spacing w:after="0" w:line="27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9.04</w:t>
      </w:r>
      <w:r>
        <w:rPr>
          <w:sz w:val="20"/>
          <w:szCs w:val="20"/>
          <w:color w:val="auto"/>
        </w:rPr>
        <w:tab/>
      </w:r>
      <w:r>
        <w:rPr>
          <w:rFonts w:ascii="Times New Roman" w:cs="Times New Roman" w:eastAsia="Times New Roman" w:hAnsi="Times New Roman"/>
          <w:sz w:val="17"/>
          <w:szCs w:val="17"/>
          <w:u w:val="single" w:color="auto"/>
          <w:color w:val="auto"/>
        </w:rPr>
        <w:t>Effectively-Connected Income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shall cause the Company not to engage in any activity that would cause a Member (or any direct or indirect owner thereof, as applicable) that is not a United States person within the meaning of Code Section 7701(a)(30) to recognize, solely as a result of its status as a Member (or any direct or indirect owner thereof, as applicable) of the Company, income that is “effectively connected with the conduct of a trade or business within the United States” within the meaning of Code Section 864(c) of the Code, to be treated as engaged in a “trade or business within the United States” within the meaning of Section 864(b) of the Code, to be treated as engaged in “commercial activity” within the meaning of Section 892 of the Code, or own any interest treated as a “United States real property interest” within the meaning of Code Section 897(c).</w:t>
      </w:r>
    </w:p>
    <w:p>
      <w:pPr>
        <w:spacing w:after="0" w:line="187"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UBTI</w:t>
      </w:r>
      <w:r>
        <w:rPr>
          <w:rFonts w:ascii="Times New Roman" w:cs="Times New Roman" w:eastAsia="Times New Roman" w:hAnsi="Times New Roman"/>
          <w:sz w:val="18"/>
          <w:szCs w:val="18"/>
          <w:color w:val="auto"/>
        </w:rPr>
        <w:t>. The Board of Directors shall cause the Company not to engage in any activity that would cause a Member (or any direct or indirect owner thereof, as applicable) to have any “unrelated business taxable income” (as that term is defined in Section 512 of the Code), any “unrelated debt-financed income” (as that term is defined in Section 514 of the Code) or any item of gross income that would be included in determining the unrelated business taxable income of such Member (or any direct or indirect owner thereof, as applicable).</w:t>
      </w:r>
    </w:p>
    <w:p>
      <w:pPr>
        <w:spacing w:after="0" w:line="180"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9.06 Tax Information Notwithstanding anything to the contrary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the Board of Directors will cause the Company to use commercially reasonable efforts to prepare, or cause to be prepared, and furnish to Baupost, Rock Springs, Eventide and Foresite:</w:t>
      </w:r>
    </w:p>
    <w:p>
      <w:pPr>
        <w:spacing w:after="0" w:line="162" w:lineRule="exact"/>
        <w:rPr>
          <w:sz w:val="20"/>
          <w:szCs w:val="20"/>
          <w:color w:val="auto"/>
        </w:rPr>
      </w:pPr>
    </w:p>
    <w:p>
      <w:pPr>
        <w:ind w:right="20" w:firstLine="987"/>
        <w:spacing w:after="0" w:line="282" w:lineRule="auto"/>
        <w:tabs>
          <w:tab w:leader="none" w:pos="136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taxable income for each fiscal year not later than February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following fiscal year, reporting ordinary income items separate from items of capital gain;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63" w:name="page364"/>
    <w:bookmarkEnd w:id="363"/>
    <w:p>
      <w:pPr>
        <w:ind w:left="-20" w:firstLine="987"/>
        <w:spacing w:after="0" w:line="253" w:lineRule="auto"/>
        <w:tabs>
          <w:tab w:leader="none" w:pos="136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Schedule K-1’s not later than April 30th following such fiscal year and (ii) detailed supporting schedules of Schedule K-1 to report (A) any Unrelated Business Taxable Income, if applicable, (B) any “unrecaptured section 1250 gain” within the meaning of the Code and the Treasury Regulations, recognized on the date of the sale of real estate assets, if applicable, and (C) the state sources of each item of income, gain, loss and deduction, as applicable. The Board of Directors shall cause the Company to use commercially reasonable efforts to provide any other U.S. or non-U.S. tax reporting information as may reasonably be requested by Baupost, Rock Springs, Eventide or Foresite, as applicable, provided that the information requested is in the Company’s possession (or can be obtained with reasonable efforts) and can be provided without undue burden or the violation of any applicable legal or contractual restrictions, policies or confidentiality obligations relating to such information (in each case at Baupost’s, Rock Springs’s, Eventide’s or Foresite’s expense if applicable). All financial and tax statements and reports furnished pursuant to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will be in a form reasonably approved by Baupost, Rock Springs, Eventide or Foresite, as applicable, in writing, provided that, for the avoidance of doubt, Baupost, Rock Springs, Eventide or Foresite, as applicable, shall not have any approval rights over the filing of the Company’s tax returns. Notwithstanding the foregoing, any notice, documentation or other information provided to Baupost, Rock Springs, Eventide or Foresite pursuant to this Section 9.06 shall also be provided to Cowen.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RESTRICTIONS ON TRANSFER; RIGHT OF FIRST REFUSAL;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OF CO-SALE; DRAG-ALONG RIGHTS; AND PRE-EMPTIVE RIGHTS</w:t>
      </w:r>
    </w:p>
    <w:p>
      <w:pPr>
        <w:spacing w:after="0" w:line="207"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color w:val="auto"/>
        </w:rPr>
        <w:t>10.01</w:t>
      </w:r>
      <w:r>
        <w:rPr>
          <w:sz w:val="20"/>
          <w:szCs w:val="20"/>
          <w:color w:val="auto"/>
        </w:rPr>
        <w:tab/>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120" w:firstLine="987"/>
        <w:spacing w:after="0" w:line="254" w:lineRule="auto"/>
        <w:tabs>
          <w:tab w:leader="none" w:pos="135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no Member holding Common Units and/or Non-Voting Incentive Units shall, directly or indirectly, sell, exchange, transfer (by gift or otherwise), assign, distribute, pledge, create a security interest, lien or trust with respect to, or otherwise dispose of or encumber such Units owned by such Member or any interest in or option on or based on the value of such Units (any of the foregoing being referred to as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without the prior written consent of the Board of Directors, which consent may be granted or withheld in the sole discretion of the Board of Directors. Any purported Transfer of Units in violation of the provisions of this ARTICLE X shall be void and of no force and effect whatsoever, and the Company shall not record any such event on its books or treat any such transferee as the owner of such Units for any purpose. Any Transfer permitted by this Agreement shall be termed a “</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and the transferee of any Permitted Transfer shall be termed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36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following Transfers shall be limited only by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for the purposes of clarity shall not be subject to the restrictions set forth in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10.08</w:t>
      </w:r>
      <w:r>
        <w:rPr>
          <w:rFonts w:ascii="Times New Roman" w:cs="Times New Roman" w:eastAsia="Times New Roman" w:hAnsi="Times New Roman"/>
          <w:sz w:val="18"/>
          <w:szCs w:val="18"/>
          <w:color w:val="auto"/>
        </w:rPr>
        <w:t xml:space="preserve">: (i) by any Member to the spouse, children (natural or adopted) or siblings (and siblings’ children) of such Member or to a trust or family limited partnership for the benefit of any of them; (ii) upon the death of any Member, to such Member’s heirs, executors or administrators or to a trust under such Member’s will, or between such Member and such Member’s guardian or conservator; or (iii) with respect to a Member that is not a natural person, to another individual or entity that is an Affiliate of such Member; provided, however, that in no event shall any unvested Non-Voting Incentive Units or unvested Common Units be transferred pursuant to this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60" w:top="270" w:right="479" w:bottom="1440" w:gutter="0" w:footer="0" w:header="0"/>
        </w:sectPr>
      </w:pPr>
    </w:p>
    <w:bookmarkStart w:id="364" w:name="page365"/>
    <w:bookmarkEnd w:id="364"/>
    <w:p>
      <w:pPr>
        <w:ind w:right="60" w:firstLine="987"/>
        <w:spacing w:after="0" w:line="256" w:lineRule="auto"/>
        <w:tabs>
          <w:tab w:leader="none" w:pos="136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Imputed Underpayment Amount that is properly allocable to a transferor of an interest, as reasonably determined by the Board of Directors, shall be treated as a Withholding Payment with respect to the applicable transferee in accordance with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Furthermore, as a condition to any Transfer, each transferor shall be required to agree (i) to continue to comply with the provisions of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notwithstanding such Transfer and (ii) to indemnify and hold harmless the Company and the Board of Directors from and against any and all liability with respect to the transferee’s Withholding Payments resulting from Imputed Underpayment Amounts attributable to the transferor to the extent that the transferee fails to do so.</w:t>
      </w:r>
    </w:p>
    <w:p>
      <w:pPr>
        <w:spacing w:after="0" w:line="29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u w:val="single" w:color="auto"/>
          <w:color w:val="auto"/>
        </w:rPr>
        <w:t>Effective Date and Requirements of Transfer</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61" w:lineRule="auto"/>
        <w:tabs>
          <w:tab w:leader="none" w:pos="136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valid Transfer of a Member’s Units, or part thereof, pursuant to the provisions of this Agreement, shall be effective as of the close of business on the day in which such Transfer occurs (including fulfillment of all conditions and requirements with respect thereto). The Company shall, from the effective date of such Transfer, thereafter make all further distributions, on account of the Units (or part thereof) so assigned to the Permitted Transferee of such interest, or part thereof.</w:t>
      </w:r>
    </w:p>
    <w:p>
      <w:pPr>
        <w:spacing w:after="0" w:line="179"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Transfer permitted hereunder shall be subject to the following requirements (in addition to any other requirements contained in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Agreement):</w:t>
      </w:r>
    </w:p>
    <w:p>
      <w:pPr>
        <w:spacing w:after="0" w:line="98" w:lineRule="exact"/>
        <w:rPr>
          <w:rFonts w:ascii="Times New Roman" w:cs="Times New Roman" w:eastAsia="Times New Roman" w:hAnsi="Times New Roman"/>
          <w:sz w:val="17"/>
          <w:szCs w:val="17"/>
          <w:color w:val="auto"/>
        </w:rPr>
      </w:pPr>
    </w:p>
    <w:p>
      <w:pPr>
        <w:ind w:left="440" w:right="280" w:firstLine="948"/>
        <w:spacing w:after="0" w:line="282" w:lineRule="auto"/>
        <w:tabs>
          <w:tab w:leader="none" w:pos="174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already a Member, the transferee shall execute a counterpart to this Agreement thereby agreeing to be bound by all the terms and conditions of this Agreement;</w:t>
      </w:r>
    </w:p>
    <w:p>
      <w:pPr>
        <w:spacing w:after="0" w:line="53" w:lineRule="exact"/>
        <w:rPr>
          <w:rFonts w:ascii="Times New Roman" w:cs="Times New Roman" w:eastAsia="Times New Roman" w:hAnsi="Times New Roman"/>
          <w:sz w:val="18"/>
          <w:szCs w:val="18"/>
          <w:color w:val="auto"/>
        </w:rPr>
      </w:pPr>
    </w:p>
    <w:p>
      <w:pPr>
        <w:jc w:val="both"/>
        <w:ind w:left="440" w:right="100" w:firstLine="948"/>
        <w:spacing w:after="0" w:line="261" w:lineRule="auto"/>
        <w:tabs>
          <w:tab w:leader="none" w:pos="178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shall establish that the proposed Transfer will not cause or result in a breach of any agreement binding upon the Company or any violation of law, including without limitation, federal or state securities laws, and that the proposed Transfer would not cause or require (A) the Company to be an investment company as defined in the Investment Company Act of 1940, as amended or (B) the registration of the Company’s securities under federal securities laws; and</w:t>
      </w:r>
    </w:p>
    <w:p>
      <w:pPr>
        <w:spacing w:after="0" w:line="71" w:lineRule="exact"/>
        <w:rPr>
          <w:rFonts w:ascii="Times New Roman" w:cs="Times New Roman" w:eastAsia="Times New Roman" w:hAnsi="Times New Roman"/>
          <w:sz w:val="18"/>
          <w:szCs w:val="18"/>
          <w:color w:val="auto"/>
        </w:rPr>
      </w:pPr>
    </w:p>
    <w:p>
      <w:pPr>
        <w:ind w:left="440" w:firstLine="948"/>
        <w:spacing w:after="0" w:line="261" w:lineRule="auto"/>
        <w:tabs>
          <w:tab w:leader="none" w:pos="183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shall establish to the satisfaction of the Board of Directors that the proposed Transfer would not adversely affect the classification of the Company as a partnership for federal or state tax purposes, cause the Company to fail to qualify for any applicable regulatory safe harbor from treatment as a publicly traded partnership treated as a corporation under Section 7704 of the Code, or have a substantial adverse effect with respect to federal income taxes payable by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365" w:name="page366"/>
    <w:bookmarkEnd w:id="365"/>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sz w:val="20"/>
          <w:szCs w:val="20"/>
          <w:color w:val="auto"/>
        </w:rPr>
        <w:tab/>
      </w:r>
      <w:r>
        <w:rPr>
          <w:rFonts w:ascii="Times New Roman" w:cs="Times New Roman" w:eastAsia="Times New Roman" w:hAnsi="Times New Roman"/>
          <w:sz w:val="17"/>
          <w:szCs w:val="17"/>
          <w:color w:val="auto"/>
        </w:rPr>
        <w:t xml:space="preserve">Any Transfer that the Board of Directors reasonably determines may have a consequence described in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shall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w:t>
      </w:r>
    </w:p>
    <w:p>
      <w:pPr>
        <w:spacing w:after="0" w:line="31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10.03</w:t>
      </w:r>
      <w:r>
        <w:rPr>
          <w:sz w:val="20"/>
          <w:szCs w:val="20"/>
          <w:color w:val="auto"/>
        </w:rPr>
        <w:tab/>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89" w:lineRule="auto"/>
        <w:tabs>
          <w:tab w:leader="none" w:pos="1371"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Sections 10.01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10.02</w:t>
      </w:r>
      <w:r>
        <w:rPr>
          <w:rFonts w:ascii="Times New Roman" w:cs="Times New Roman" w:eastAsia="Times New Roman" w:hAnsi="Times New Roman"/>
          <w:sz w:val="17"/>
          <w:szCs w:val="17"/>
          <w:color w:val="auto"/>
        </w:rPr>
        <w:t>, each holder of Common Units and vested Non-Voting Incentive Units hereby unconditionally and irrevocably grants to the Company a Right of First Refusal to purchase all but not less than all of Transfer Units that such Member may propose to transfer in a Proposed Transfer, at the same price and on the same terms and conditions as those offered to the Proposed Transferee.</w:t>
      </w:r>
    </w:p>
    <w:p>
      <w:pPr>
        <w:spacing w:after="0" w:line="157" w:lineRule="exact"/>
        <w:rPr>
          <w:rFonts w:ascii="Times New Roman" w:cs="Times New Roman" w:eastAsia="Times New Roman" w:hAnsi="Times New Roman"/>
          <w:sz w:val="17"/>
          <w:szCs w:val="17"/>
          <w:color w:val="auto"/>
        </w:rPr>
      </w:pPr>
    </w:p>
    <w:p>
      <w:pPr>
        <w:ind w:right="60" w:firstLine="987"/>
        <w:spacing w:after="0" w:line="254" w:lineRule="auto"/>
        <w:tabs>
          <w:tab w:leader="none" w:pos="138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Each holder of Common Units and vested Non-Voting Incentive Units proposing to make a Proposed Transfer must deliver a Transfer Notice to the Company and each Preferred Member not later than forty-five (45) days prior to the consummation of such Proposed Transfer. Such Transfer Notice shall contain the material terms and conditions (including price and form of consideration) of the Proposed Transfer and the identity of the Proposed Transferee. To exercise its Right of First Refusal under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the Company must deliver a Company Notice to the selling holder of Common Units or vested Non-Voting Incentive Units, as applicable, within fifteen (15) days after delivery of the Transfer Notice. In the event of a conflict between this Agreement and any other agreement that may have been entered into by a holder of Common Units or vested Non-Voting Incentive Units, as applicable, with the Company that contains a preexisting right of first refusal, the Company and the holder of Common Units or vested Non-Voting Incentive Units, as applicable, acknowledge and agree that the terms of this Agreement shall control and the preexisting right of first refusal shall be deemed satisfied by compliance with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37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Secondary Refusal Right to Preferred Members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each holder of Common Units and vested Non-Voting Incentive Units hereby unconditionally and irrevocably grants to the Preferred Members a Secondary Refusal Right to purchase all or any portion of the Transfer Units not purchased by the Company pursuant to the Right of First Refusal, as provided in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If the Company does not intend to exercise its Right of Refusal with respect to all Transfer Units subject to a Proposed Transfer, the Company must deliver a Secondary Notice to the selling holder of Common Units or vested Non-Voting Incentive Units, as applicable, and to each Preferred Member to that effect no later than fifteen (15) days after the selling holder of Common Units or vested Non-Voting Incentive Units, as applicable, delivers the Transfer Notice to the Company. To exercise its Secondary Refusal Right, a Preferred Member must deliver a Preferred Member Notice to the selling holder of Common Units or vested Non-Voting Incentive Units, as applicable, and the Company within ten (10) days after the Company’s deadline for its delivery of the Secondary Notice as provided in the preceding sentence.</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38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Undersubscription of Transfer Units</w:t>
      </w:r>
      <w:r>
        <w:rPr>
          <w:rFonts w:ascii="Times New Roman" w:cs="Times New Roman" w:eastAsia="Times New Roman" w:hAnsi="Times New Roman"/>
          <w:sz w:val="18"/>
          <w:szCs w:val="18"/>
          <w:color w:val="auto"/>
        </w:rPr>
        <w:t xml:space="preserve">. If options to purchase have been exercised by the Company and the Preferred Members with respect to some but not all of the Transfer Units by the end of the 10-day period specified in the last sentence of </w:t>
      </w:r>
      <w:r>
        <w:rPr>
          <w:rFonts w:ascii="Times New Roman" w:cs="Times New Roman" w:eastAsia="Times New Roman" w:hAnsi="Times New Roman"/>
          <w:sz w:val="18"/>
          <w:szCs w:val="18"/>
          <w:u w:val="single" w:color="auto"/>
          <w:color w:val="auto"/>
        </w:rPr>
        <w:t>Section 10.03(c)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Member Notice Period</w:t>
      </w:r>
      <w:r>
        <w:rPr>
          <w:rFonts w:ascii="Times New Roman" w:cs="Times New Roman" w:eastAsia="Times New Roman" w:hAnsi="Times New Roman"/>
          <w:sz w:val="18"/>
          <w:szCs w:val="18"/>
          <w:color w:val="auto"/>
        </w:rPr>
        <w:t>”), then the Company shall, immediately after the expiration of the Preferred Member Notice Period, send written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Undersubscription Notice</w:t>
      </w:r>
      <w:r>
        <w:rPr>
          <w:rFonts w:ascii="Times New Roman" w:cs="Times New Roman" w:eastAsia="Times New Roman" w:hAnsi="Times New Roman"/>
          <w:sz w:val="18"/>
          <w:szCs w:val="18"/>
          <w:color w:val="auto"/>
        </w:rPr>
        <w:t>”) to those Preferred Members who fully exercised their Secondary Refusal Right within the Preferred Member Notice Period (the “</w:t>
      </w:r>
      <w:r>
        <w:rPr>
          <w:rFonts w:ascii="Times New Roman" w:cs="Times New Roman" w:eastAsia="Times New Roman" w:hAnsi="Times New Roman"/>
          <w:sz w:val="18"/>
          <w:szCs w:val="18"/>
          <w:b w:val="1"/>
          <w:bCs w:val="1"/>
          <w:color w:val="auto"/>
        </w:rPr>
        <w:t>Exercising Preferred Members</w:t>
      </w:r>
      <w:r>
        <w:rPr>
          <w:rFonts w:ascii="Times New Roman" w:cs="Times New Roman" w:eastAsia="Times New Roman" w:hAnsi="Times New Roman"/>
          <w:sz w:val="18"/>
          <w:szCs w:val="18"/>
          <w:color w:val="auto"/>
        </w:rPr>
        <w:t xml:space="preserve">”). Each Exercising Preferred Member shall, subject to the provisions of this </w:t>
      </w:r>
      <w:r>
        <w:rPr>
          <w:rFonts w:ascii="Times New Roman" w:cs="Times New Roman" w:eastAsia="Times New Roman" w:hAnsi="Times New Roman"/>
          <w:sz w:val="18"/>
          <w:szCs w:val="18"/>
          <w:u w:val="single" w:color="auto"/>
          <w:color w:val="auto"/>
        </w:rPr>
        <w:t>Section 10.03(d)</w:t>
      </w:r>
      <w:r>
        <w:rPr>
          <w:rFonts w:ascii="Times New Roman" w:cs="Times New Roman" w:eastAsia="Times New Roman" w:hAnsi="Times New Roman"/>
          <w:sz w:val="18"/>
          <w:szCs w:val="18"/>
          <w:color w:val="auto"/>
        </w:rPr>
        <w:t xml:space="preserve">, have an additional option to purchase all or any part of the balance of any such remaining unsubscribed Transfer Units on the terms and conditions set forth in the Transfer Notice. To exercise such option, an Exercising Preferred Member must deliver an Undersubscription Notice to the selling holder of Common Units or vested Non-Voting Incentive Units, as applicable, and the Company within ten (10) days after the expiration of the Preferred Member Notice Period. In the event there are two or more such Exercising Preferred Members that choose to exercise the last-mentioned option for a total number of remaining Units in excess of the number available, the remaining Units available for purchase under this </w:t>
      </w:r>
      <w:r>
        <w:rPr>
          <w:rFonts w:ascii="Times New Roman" w:cs="Times New Roman" w:eastAsia="Times New Roman" w:hAnsi="Times New Roman"/>
          <w:sz w:val="18"/>
          <w:szCs w:val="18"/>
          <w:u w:val="single" w:color="auto"/>
          <w:color w:val="auto"/>
        </w:rPr>
        <w:t>Section 10.03(d)</w:t>
      </w:r>
      <w:r>
        <w:rPr>
          <w:rFonts w:ascii="Times New Roman" w:cs="Times New Roman" w:eastAsia="Times New Roman" w:hAnsi="Times New Roman"/>
          <w:sz w:val="18"/>
          <w:szCs w:val="18"/>
          <w:color w:val="auto"/>
        </w:rPr>
        <w:t xml:space="preserve"> shall be allocated to such Exercising Preferred Members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Transfer Units such Exercising Preferred Members have elected to purchase pursuant to the Secondary Refusal Right (without giving effect to any Transfer Units that any such Exercising Preferred Member has elected to purchase pursuant to the Company Undersubscription Notice). If the options to purchase the remaining Units are exercised in full by the Exercising Preferred Members, the Company shall immediately notify all of the Exercising Preferred Members and the selling holder of Common Units or vested Non-Voting Incentive Units, as applicable, of that fact.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366" w:name="page367"/>
    <w:bookmarkEnd w:id="366"/>
    <w:p>
      <w:pPr>
        <w:ind w:left="-40" w:right="20" w:firstLine="987"/>
        <w:spacing w:after="0" w:line="253" w:lineRule="auto"/>
        <w:tabs>
          <w:tab w:leader="none" w:pos="133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 to Proposed Transferee</w:t>
      </w:r>
      <w:r>
        <w:rPr>
          <w:rFonts w:ascii="Times New Roman" w:cs="Times New Roman" w:eastAsia="Times New Roman" w:hAnsi="Times New Roman"/>
          <w:sz w:val="18"/>
          <w:szCs w:val="18"/>
          <w:color w:val="auto"/>
        </w:rPr>
        <w:t xml:space="preserve">. Notwithstanding the foregoing, if the total number of Transfer Units that the Company and the Exercising Preferred Members have agreed to purchase in the Company Notice, the Preferred Member Notice and Undersubscription Notices is less than the total number of Transfer Units, then the selling holder of Common Units or vested Non-Voting Incentive Units, as applicable, shall be free to sell such number of Transfer Units not subscribed for by the Company and the Exercising Preferred Members to the Proposed Transferee on terms and conditions substantially similar to (and in no event more favorable than) the terms and conditions set forth in the Transfer Notice, it being understood and agreed that (i) any such sale or transfer shall be subject to the other terms and restrictions of this Agreement, including, without limitation, the terms and restrictions set forth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(ii) any future Proposed Transfer by a holder of Common Units or vested Non-Voting Incentive Units, as applicable, shall remain subject to the terms and conditions of this Agreement, including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 (iii) such sale shall be consummated within sixty (60) days after receipt of the Proposed Transfer Notice by the Company, and if such sale is not consummated within such sixty (60) day period, such sale shall again be subject to the Right of First Refusal and Right of Co-Sale on the terms set forth herein.</w:t>
      </w:r>
    </w:p>
    <w:p>
      <w:pPr>
        <w:spacing w:after="0" w:line="194" w:lineRule="exact"/>
        <w:rPr>
          <w:rFonts w:ascii="Times New Roman" w:cs="Times New Roman" w:eastAsia="Times New Roman" w:hAnsi="Times New Roman"/>
          <w:sz w:val="18"/>
          <w:szCs w:val="18"/>
          <w:color w:val="auto"/>
        </w:rPr>
      </w:pPr>
    </w:p>
    <w:p>
      <w:pPr>
        <w:ind w:left="-40" w:firstLine="987"/>
        <w:spacing w:after="0" w:line="254" w:lineRule="auto"/>
        <w:tabs>
          <w:tab w:leader="none" w:pos="131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Closing</w:t>
      </w:r>
      <w:r>
        <w:rPr>
          <w:rFonts w:ascii="Times New Roman" w:cs="Times New Roman" w:eastAsia="Times New Roman" w:hAnsi="Times New Roman"/>
          <w:sz w:val="18"/>
          <w:szCs w:val="18"/>
          <w:color w:val="auto"/>
        </w:rPr>
        <w:t>. If the consideration proposed to be paid for the Transfer Units is in property, services or other non-cash consideration, the fair market value of the consideration shall be as determined in good faith by the Board of Directors and as set forth in the Company Notice. If the Company or any Preferred Member cannot for any reason pay for the Transfer Units in the same form of non-cash consideration, the Company or such Preferred Member may pay the cash value equivalent thereof, as determined in good faith by the Board of Directors and as set forth in the Company Notice. The closing of the purchase of Transfer Units by the Company and the Preferred Members shall take place, and all payments from the Company and the Preferred Members shall have been delivered to the selling holder of Common Units or vested Non-Voting Incentive Units, as applicable, by the later of (i) the date specified in the Transfer Notice as the intended date of the Proposed Transfer and (ii) forty-five (45) days after delivery of the Transfer Notice.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480" w:top="270" w:right="479" w:bottom="1440" w:gutter="0" w:footer="0" w:header="0"/>
        </w:sectPr>
      </w:pPr>
    </w:p>
    <w:bookmarkStart w:id="367" w:name="page368"/>
    <w:bookmarkEnd w:id="367"/>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10.04</w:t>
      </w:r>
      <w:r>
        <w:rPr>
          <w:sz w:val="20"/>
          <w:szCs w:val="20"/>
          <w:color w:val="auto"/>
        </w:rPr>
        <w:tab/>
      </w:r>
      <w:r>
        <w:rPr>
          <w:rFonts w:ascii="Times New Roman" w:cs="Times New Roman" w:eastAsia="Times New Roman" w:hAnsi="Times New Roman"/>
          <w:sz w:val="17"/>
          <w:szCs w:val="17"/>
          <w:u w:val="single" w:color="auto"/>
          <w:color w:val="auto"/>
        </w:rPr>
        <w:t>Right of Co-Sale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u w:val="single" w:color="auto"/>
          <w:color w:val="auto"/>
        </w:rPr>
        <w:t>Exercise of Right</w:t>
      </w:r>
      <w:r>
        <w:rPr>
          <w:rFonts w:ascii="Times New Roman" w:cs="Times New Roman" w:eastAsia="Times New Roman" w:hAnsi="Times New Roman"/>
          <w:sz w:val="17"/>
          <w:szCs w:val="17"/>
          <w:color w:val="auto"/>
        </w:rPr>
        <w:t>. If any Transfer Units subject to a Proposed Transfer are not purchased pursuant to</w:t>
      </w:r>
      <w:r>
        <w:rPr>
          <w:rFonts w:ascii="Times New Roman" w:cs="Times New Roman" w:eastAsia="Times New Roman" w:hAnsi="Times New Roman"/>
          <w:sz w:val="17"/>
          <w:szCs w:val="17"/>
          <w:u w:val="single" w:color="auto"/>
          <w:color w:val="auto"/>
        </w:rPr>
        <w:t xml:space="preserve"> Section 10.03 </w:t>
      </w:r>
      <w:r>
        <w:rPr>
          <w:rFonts w:ascii="Times New Roman" w:cs="Times New Roman" w:eastAsia="Times New Roman" w:hAnsi="Times New Roman"/>
          <w:sz w:val="17"/>
          <w:szCs w:val="17"/>
          <w:color w:val="auto"/>
        </w:rPr>
        <w:t>above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Units</w:t>
      </w:r>
      <w:r>
        <w:rPr>
          <w:rFonts w:ascii="Times New Roman" w:cs="Times New Roman" w:eastAsia="Times New Roman" w:hAnsi="Times New Roman"/>
          <w:sz w:val="18"/>
          <w:szCs w:val="18"/>
          <w:color w:val="auto"/>
        </w:rPr>
        <w:t xml:space="preserve">”) and thereafter are to be sold to a Proposed Transferee (subject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each respective Preferred Member may elect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its Right of Co-Sale and participate for an amount of consideration in respect of each such Preferred Member’s Units equal to the Co-Sale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Liquidation Value (as defined below) (on the terms and conditions (other than consideration) set forth in the Transfer Notice described above)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Each Preferred Member who desires to exercise its Right of Co-Sale (each, a “</w:t>
      </w:r>
      <w:r>
        <w:rPr>
          <w:rFonts w:ascii="Times New Roman" w:cs="Times New Roman" w:eastAsia="Times New Roman" w:hAnsi="Times New Roman"/>
          <w:sz w:val="18"/>
          <w:szCs w:val="18"/>
          <w:b w:val="1"/>
          <w:bCs w:val="1"/>
          <w:color w:val="auto"/>
        </w:rPr>
        <w:t>Participating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must give the selling holder of Available Units, written notice to that effect within fifteen (15) days after the deadline for delivery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Notice described above, and upon giving such notice such Preferred Member shall be deemed to have effectively exercised the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Co-Sale.</w:t>
      </w:r>
    </w:p>
    <w:p>
      <w:pPr>
        <w:spacing w:after="0" w:line="207" w:lineRule="exact"/>
        <w:rPr>
          <w:sz w:val="20"/>
          <w:szCs w:val="20"/>
          <w:color w:val="auto"/>
        </w:rPr>
      </w:pPr>
    </w:p>
    <w:p>
      <w:pPr>
        <w:ind w:right="60" w:firstLine="987"/>
        <w:spacing w:after="0" w:line="252" w:lineRule="auto"/>
        <w:tabs>
          <w:tab w:leader="none" w:pos="138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Units Includable</w:t>
      </w:r>
      <w:r>
        <w:rPr>
          <w:rFonts w:ascii="Times New Roman" w:cs="Times New Roman" w:eastAsia="Times New Roman" w:hAnsi="Times New Roman"/>
          <w:sz w:val="18"/>
          <w:szCs w:val="18"/>
          <w:color w:val="auto"/>
        </w:rPr>
        <w:t>. Each Participating Preferred Member may include in the Proposed Transfer all or any part of such Participating Preferred Member’s Units equal to the product obtained by multiplying (i) the aggregate number of Available Units subject to the Proposed Transfer (excluding Units purchased by the Company or the Participating Preferred Members pursuant to the Right of First Refusal or the Secondary Refusal Right) by (ii) a fraction, the numerator of which is the number of outstanding Units (not including Non-Voting Incentive Units) owned by such Participating Preferred Member immediately before consummation of the Proposed Transfer and the denominator of which is the total number of Units (not including Non-Voting Incentive Units) owned, in the aggregate, by all Participating Preferred Members immediately prior to the consummation of the Proposed Transfer, plus the number of Available Units held by the selling holder of Common Units or vested Non-Voting Incentive Units, as applicable. The “</w:t>
      </w:r>
      <w:r>
        <w:rPr>
          <w:rFonts w:ascii="Times New Roman" w:cs="Times New Roman" w:eastAsia="Times New Roman" w:hAnsi="Times New Roman"/>
          <w:sz w:val="18"/>
          <w:szCs w:val="18"/>
          <w:b w:val="1"/>
          <w:bCs w:val="1"/>
          <w:color w:val="auto"/>
        </w:rPr>
        <w:t>Co-Sale Per Unit Liquidation Value</w:t>
      </w:r>
      <w:r>
        <w:rPr>
          <w:rFonts w:ascii="Times New Roman" w:cs="Times New Roman" w:eastAsia="Times New Roman" w:hAnsi="Times New Roman"/>
          <w:sz w:val="18"/>
          <w:szCs w:val="18"/>
          <w:color w:val="auto"/>
        </w:rPr>
        <w:t>” for each Unit shall be equal to the amount that would be distributed with respect to such Unit if the Company sold its assets for their Fair Market Value (as determined in good faith by the Board of Directors, based on the Co-Sale Purchase Price, such Board determination to be final and binding), satisfied its liabilities and distributed the net proceeds to the holders of Units (including Non-Voting Incentive Units that are outstanding and vested as of the date of such determination) in liquidation of the Company. To the extent one or more of the Participating Preferred Members exercise such right of participation in accordance with the terms and conditions set forth herein, the number of Available Units that the selling holder of Common Units or vested Non-Voting Incentive Units, as applicable, may sell in the Proposed Transfer shall be correspondingly reduced and the Proposed Transferee may alter the total purchase price of all Transfer Units based on the classes of Units that the Participating Preferred Members propose to sell by exercising such right of participation (the “</w:t>
      </w:r>
      <w:r>
        <w:rPr>
          <w:rFonts w:ascii="Times New Roman" w:cs="Times New Roman" w:eastAsia="Times New Roman" w:hAnsi="Times New Roman"/>
          <w:sz w:val="18"/>
          <w:szCs w:val="18"/>
          <w:b w:val="1"/>
          <w:bCs w:val="1"/>
          <w:color w:val="auto"/>
        </w:rPr>
        <w:t>Co-Sale Purchase Price</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firstLine="987"/>
        <w:spacing w:after="0" w:line="253" w:lineRule="auto"/>
        <w:tabs>
          <w:tab w:leader="none" w:pos="137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Covenants</w:t>
      </w:r>
      <w:r>
        <w:rPr>
          <w:rFonts w:ascii="Times New Roman" w:cs="Times New Roman" w:eastAsia="Times New Roman" w:hAnsi="Times New Roman"/>
          <w:sz w:val="18"/>
          <w:szCs w:val="18"/>
          <w:color w:val="auto"/>
        </w:rPr>
        <w:t xml:space="preserve">. The parties hereby agree that the terms and conditions of any sale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will be memorialized in, and governed by, a written purchase and sale agreement with customary terms and provisions for such a transaction and the parties further covenant and agree to enter into such an agreement as a condition precedent to any sale or other transfer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Neither the Transfer of Transfer Units by the selling holder of Common Units or vested Non-Voting Incentive Units, as applicable, nor the Transfer of Units by a Participating Preferred Member shall be effective, unless, contemporaneously with such Transfer, the Proposed Transferee executes a counterpart to this Agreement, thereby agreeing to be bound to all the terms and conditions of this Agreement. If any Proposed Transferee or Transferees refuse(s) to purchase securities subject to the Right of Co-Sale from any Participating Preferred Member exercising its Right of Co-Sale hereunder, no holder of Common Units or vested Non-Voting Incentive Units, as applicable, may sell any Transfer Units to such Proposed Transferee or Transferees unless and until, simultaneously with such sale, such holder of Common Units or vested Non-Voting Incentive Units, as applicable, purchases all securities subject to the Right of Co-Sale from such Participating Preferred Member on the same terms and conditions (including the proposed purchase price) as set forth in the Transfer Notice.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368" w:name="page369"/>
    <w:bookmarkEnd w:id="368"/>
    <w:p>
      <w:pPr>
        <w:ind w:left="-20" w:right="160" w:firstLine="987"/>
        <w:spacing w:after="0" w:line="258" w:lineRule="auto"/>
        <w:tabs>
          <w:tab w:leader="none" w:pos="136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Compliance</w:t>
      </w:r>
      <w:r>
        <w:rPr>
          <w:rFonts w:ascii="Times New Roman" w:cs="Times New Roman" w:eastAsia="Times New Roman" w:hAnsi="Times New Roman"/>
          <w:sz w:val="18"/>
          <w:szCs w:val="18"/>
          <w:color w:val="auto"/>
        </w:rPr>
        <w:t xml:space="preserve">. If any Proposed Transfer is not consummated within sixty (60) days after receipt of the Transfer Notice by the Company, the holder of Common Units or vested Non-Voting Incentive Units, as applicable, proposing the Proposed Transfer may not sell any Transfer Units unless they first comply in full with each provision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The exercise or election not to exercise any right by any Preferred Member hereunder shall not adversely affect its right to participate in any other sales of Transfer Units subject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color w:val="auto"/>
        </w:rPr>
        <w:t>10.05</w:t>
      </w:r>
      <w:r>
        <w:rPr>
          <w:sz w:val="20"/>
          <w:szCs w:val="20"/>
          <w:color w:val="auto"/>
        </w:rPr>
        <w:tab/>
      </w:r>
      <w:r>
        <w:rPr>
          <w:rFonts w:ascii="Times New Roman" w:cs="Times New Roman" w:eastAsia="Times New Roman" w:hAnsi="Times New Roman"/>
          <w:sz w:val="17"/>
          <w:szCs w:val="17"/>
          <w:u w:val="single" w:color="auto"/>
          <w:color w:val="auto"/>
        </w:rPr>
        <w:t>Effect of Failure to Comply with Right of First Refusal and Right of Co-Sale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60" w:firstLine="987"/>
        <w:spacing w:after="0" w:line="274" w:lineRule="auto"/>
        <w:tabs>
          <w:tab w:leader="none" w:pos="135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Void; Equitable Relief</w:t>
      </w:r>
      <w:r>
        <w:rPr>
          <w:rFonts w:ascii="Times New Roman" w:cs="Times New Roman" w:eastAsia="Times New Roman" w:hAnsi="Times New Roman"/>
          <w:sz w:val="17"/>
          <w:szCs w:val="17"/>
          <w:color w:val="auto"/>
        </w:rPr>
        <w:t xml:space="preserve">. Any Proposed Transfer not made in compliance with the requirements of this Agreement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Units not made in strict compliance with this Agreement).</w:t>
      </w:r>
    </w:p>
    <w:p>
      <w:pPr>
        <w:spacing w:after="0" w:line="172" w:lineRule="exact"/>
        <w:rPr>
          <w:rFonts w:ascii="Times New Roman" w:cs="Times New Roman" w:eastAsia="Times New Roman" w:hAnsi="Times New Roman"/>
          <w:sz w:val="17"/>
          <w:szCs w:val="17"/>
          <w:color w:val="auto"/>
        </w:rPr>
      </w:pPr>
    </w:p>
    <w:p>
      <w:pPr>
        <w:ind w:left="-20" w:right="100" w:firstLine="987"/>
        <w:spacing w:after="0" w:line="256" w:lineRule="auto"/>
        <w:tabs>
          <w:tab w:leader="none" w:pos="136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Violation of First Refusal Right</w:t>
      </w:r>
      <w:r>
        <w:rPr>
          <w:rFonts w:ascii="Times New Roman" w:cs="Times New Roman" w:eastAsia="Times New Roman" w:hAnsi="Times New Roman"/>
          <w:sz w:val="18"/>
          <w:szCs w:val="18"/>
          <w:color w:val="auto"/>
        </w:rPr>
        <w:t>. If any holder of Common Units or vested Non-Voting Incentive Units, as applicable, becomes obligated to sell any Transfer Units to the Company or any Preferred Member under this Agreement and fails to deliver such Transfer Units in accordance with the terms of this Agreement, the Company and/or such Preferred Member may, at its option, in addition to all other remedies it may have, send to such holder of Common Units or vested Non-Voting Incentive Units, as applicable, the purchase price for such Transfer Units as is herein specified and transfer to the name of the Company or such Preferred Member (or request that the Company effect such transfer in the name of a Preferred Member) on the Company’s books the Transfer Units to be sold.</w:t>
      </w:r>
    </w:p>
    <w:p>
      <w:pPr>
        <w:spacing w:after="0" w:line="187" w:lineRule="exact"/>
        <w:rPr>
          <w:rFonts w:ascii="Times New Roman" w:cs="Times New Roman" w:eastAsia="Times New Roman" w:hAnsi="Times New Roman"/>
          <w:sz w:val="18"/>
          <w:szCs w:val="18"/>
          <w:color w:val="auto"/>
        </w:rPr>
      </w:pPr>
    </w:p>
    <w:p>
      <w:pPr>
        <w:ind w:left="-20" w:firstLine="987"/>
        <w:spacing w:after="0" w:line="253" w:lineRule="auto"/>
        <w:tabs>
          <w:tab w:leader="none" w:pos="135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Violation of Co-Sale Right</w:t>
      </w:r>
      <w:r>
        <w:rPr>
          <w:rFonts w:ascii="Times New Roman" w:cs="Times New Roman" w:eastAsia="Times New Roman" w:hAnsi="Times New Roman"/>
          <w:sz w:val="18"/>
          <w:szCs w:val="18"/>
          <w:color w:val="auto"/>
        </w:rPr>
        <w:t>. If any holder of Common Units or vested Non-Voting Incentive Units, as applicable, purports to sell any Transfer Units in contravention of the Right of Co-Sale (a “</w:t>
      </w:r>
      <w:r>
        <w:rPr>
          <w:rFonts w:ascii="Times New Roman" w:cs="Times New Roman" w:eastAsia="Times New Roman" w:hAnsi="Times New Roman"/>
          <w:sz w:val="18"/>
          <w:szCs w:val="18"/>
          <w:b w:val="1"/>
          <w:bCs w:val="1"/>
          <w:color w:val="auto"/>
        </w:rPr>
        <w:t>Prohibited Transfer</w:t>
      </w:r>
      <w:r>
        <w:rPr>
          <w:rFonts w:ascii="Times New Roman" w:cs="Times New Roman" w:eastAsia="Times New Roman" w:hAnsi="Times New Roman"/>
          <w:sz w:val="18"/>
          <w:szCs w:val="18"/>
          <w:color w:val="auto"/>
        </w:rPr>
        <w:t xml:space="preserve">”), each Preferred Member who desires to exercise its Right of Co-Sale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may, in addition to such remedies as may be available by law, in equity or hereunder, require such holder of Common Units or vested Non-Voting Incentive Units, as applicable, to purchase from such Preferred Member the type and number of Units that such Preferred Member would have been entitled to sell to the Proposed Transferee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had the Prohibited Transfer been effected pursuant to and in compliance with the terms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The sale will be made on the same terms and subject to the same conditions as would have applied had the holder of Common Units or vested Non-Voting Incentive Units, as applicable, not made the Prohibited Transfer, except that the sale (including, without limitation, the delivery of the purchase price) must be made within ninety (90) days after the Preferred Member learns of the Prohibited Transfer, as opposed to the timeframe proscribed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Such holder of Common Units or vested Non-Voting Incentive Units, as applicable, shall also reimburse each Preferred Member for any and all reasonable and documented out-of-pocket fees and expenses, including reasonable legal fees and expenses, incurred pursuant to the exercise or the attempted exercise of the Preferred Member’s rights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60" w:top="270" w:right="459" w:bottom="1440" w:gutter="0" w:footer="0" w:header="0"/>
        </w:sectPr>
      </w:pPr>
    </w:p>
    <w:bookmarkStart w:id="369" w:name="page370"/>
    <w:bookmarkEnd w:id="369"/>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10.06</w:t>
      </w:r>
      <w:r>
        <w:rPr>
          <w:sz w:val="20"/>
          <w:szCs w:val="20"/>
          <w:color w:val="auto"/>
        </w:rPr>
        <w:tab/>
      </w:r>
      <w:r>
        <w:rPr>
          <w:rFonts w:ascii="Times New Roman" w:cs="Times New Roman" w:eastAsia="Times New Roman" w:hAnsi="Times New Roman"/>
          <w:sz w:val="17"/>
          <w:szCs w:val="17"/>
          <w:u w:val="single" w:color="auto"/>
          <w:color w:val="auto"/>
        </w:rPr>
        <w:t>Drag-Along Right</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60" w:firstLine="987"/>
        <w:spacing w:after="0" w:line="268" w:lineRule="auto"/>
        <w:tabs>
          <w:tab w:leader="none" w:pos="137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shall mean either: (a) a transaction or series of related transactions in which a Person, or a group of related Persons, that is or are not Affiliated with the Company, acquires from the Members Units representing more than fifty percent (50%) of the outstanding voting power of the Company (a “</w:t>
      </w:r>
      <w:r>
        <w:rPr>
          <w:rFonts w:ascii="Times New Roman" w:cs="Times New Roman" w:eastAsia="Times New Roman" w:hAnsi="Times New Roman"/>
          <w:sz w:val="18"/>
          <w:szCs w:val="18"/>
          <w:b w:val="1"/>
          <w:bCs w:val="1"/>
          <w:color w:val="auto"/>
        </w:rPr>
        <w:t>Unit Sale</w:t>
      </w:r>
      <w:r>
        <w:rPr>
          <w:rFonts w:ascii="Times New Roman" w:cs="Times New Roman" w:eastAsia="Times New Roman" w:hAnsi="Times New Roman"/>
          <w:sz w:val="18"/>
          <w:szCs w:val="18"/>
          <w:color w:val="auto"/>
        </w:rPr>
        <w:t>”); or (b) a transaction that qualifies as a Change of Control.</w:t>
      </w:r>
    </w:p>
    <w:p>
      <w:pPr>
        <w:spacing w:after="0" w:line="170" w:lineRule="exact"/>
        <w:rPr>
          <w:rFonts w:ascii="Times New Roman" w:cs="Times New Roman" w:eastAsia="Times New Roman" w:hAnsi="Times New Roman"/>
          <w:sz w:val="18"/>
          <w:szCs w:val="18"/>
          <w:color w:val="auto"/>
        </w:rPr>
      </w:pPr>
    </w:p>
    <w:p>
      <w:pPr>
        <w:ind w:right="160" w:firstLine="987"/>
        <w:spacing w:after="0" w:line="317" w:lineRule="auto"/>
        <w:tabs>
          <w:tab w:leader="none" w:pos="1381"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Actions to be Taken</w:t>
      </w:r>
      <w:r>
        <w:rPr>
          <w:rFonts w:ascii="Times New Roman" w:cs="Times New Roman" w:eastAsia="Times New Roman" w:hAnsi="Times New Roman"/>
          <w:sz w:val="17"/>
          <w:szCs w:val="17"/>
          <w:color w:val="auto"/>
        </w:rPr>
        <w:t>. In the event that (A) the Requisite Preferred Holders (the “</w:t>
      </w:r>
      <w:r>
        <w:rPr>
          <w:rFonts w:ascii="Times New Roman" w:cs="Times New Roman" w:eastAsia="Times New Roman" w:hAnsi="Times New Roman"/>
          <w:sz w:val="17"/>
          <w:szCs w:val="17"/>
          <w:b w:val="1"/>
          <w:bCs w:val="1"/>
          <w:color w:val="auto"/>
        </w:rPr>
        <w:t>Selling Investors</w:t>
      </w:r>
      <w:r>
        <w:rPr>
          <w:rFonts w:ascii="Times New Roman" w:cs="Times New Roman" w:eastAsia="Times New Roman" w:hAnsi="Times New Roman"/>
          <w:sz w:val="17"/>
          <w:szCs w:val="17"/>
          <w:color w:val="auto"/>
        </w:rPr>
        <w:t xml:space="preserve">”), and (B) the Board of Directors approve a Sale of the Company in writing, specifying that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shall apply to such transaction, then each Member hereby agrees:</w:t>
      </w:r>
    </w:p>
    <w:p>
      <w:pPr>
        <w:spacing w:after="0" w:line="27" w:lineRule="exact"/>
        <w:rPr>
          <w:rFonts w:ascii="Times New Roman" w:cs="Times New Roman" w:eastAsia="Times New Roman" w:hAnsi="Times New Roman"/>
          <w:sz w:val="17"/>
          <w:szCs w:val="17"/>
          <w:color w:val="auto"/>
        </w:rPr>
      </w:pPr>
    </w:p>
    <w:p>
      <w:pPr>
        <w:ind w:left="440" w:right="40" w:firstLine="948"/>
        <w:spacing w:after="0" w:line="258" w:lineRule="auto"/>
        <w:tabs>
          <w:tab w:leader="none" w:pos="174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transaction requires Member approval, with respect to all Units that such Member owns or over which such Member otherwise exercises voting power, to vote (in person, by proxy or by action by written consent, as applicable) all Units in favor of, and adopt, such Sale of the Company (together with any related amendment to this Agreement required in order to implement such Sale of the Company) and to vote in opposition to any and all other proposals that could reasonably be expected to delay or impair the ability of the Company to consummate such Sale of the Company;</w:t>
      </w:r>
    </w:p>
    <w:p>
      <w:pPr>
        <w:spacing w:after="0" w:line="75" w:lineRule="exact"/>
        <w:rPr>
          <w:rFonts w:ascii="Times New Roman" w:cs="Times New Roman" w:eastAsia="Times New Roman" w:hAnsi="Times New Roman"/>
          <w:sz w:val="18"/>
          <w:szCs w:val="18"/>
          <w:color w:val="auto"/>
        </w:rPr>
      </w:pPr>
    </w:p>
    <w:p>
      <w:pPr>
        <w:ind w:left="440" w:firstLine="948"/>
        <w:spacing w:after="0" w:line="266" w:lineRule="auto"/>
        <w:tabs>
          <w:tab w:leader="none" w:pos="179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transaction is a Unit Sale, to sell the same proportion of Units beneficially held by such Member as is being sold by the Selling Investors to the Person to whom the Selling Investors propose to sell their Units, and, except as permitted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 xml:space="preserve"> below, on the same terms and conditions as the Selling Investors;</w:t>
      </w:r>
    </w:p>
    <w:p>
      <w:pPr>
        <w:spacing w:after="0" w:line="67" w:lineRule="exact"/>
        <w:rPr>
          <w:rFonts w:ascii="Times New Roman" w:cs="Times New Roman" w:eastAsia="Times New Roman" w:hAnsi="Times New Roman"/>
          <w:sz w:val="18"/>
          <w:szCs w:val="18"/>
          <w:color w:val="auto"/>
        </w:rPr>
      </w:pPr>
    </w:p>
    <w:p>
      <w:pPr>
        <w:jc w:val="both"/>
        <w:ind w:left="440" w:right="240" w:firstLine="948"/>
        <w:spacing w:after="0" w:line="261" w:lineRule="auto"/>
        <w:tabs>
          <w:tab w:leader="none" w:pos="184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and deliver all related documentation and take such other action in support of the Sale of the Company as shall reasonably be requested by the Company or the Selling Investors in order to carry out the terms and provision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including without limitation executing and delivering instruments of conveyance and transfer, and any purchase agreement, merger agreement, indemnity agreement, escrow agreement, consent, waiver, governmental filing, and any similar or related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370" w:name="page371"/>
    <w:bookmarkEnd w:id="370"/>
    <w:p>
      <w:pPr>
        <w:ind w:left="4" w:firstLine="948"/>
        <w:spacing w:after="0" w:line="266" w:lineRule="auto"/>
        <w:tabs>
          <w:tab w:leader="none" w:pos="13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to deposit, and to cause their Affiliates not to deposit, except as provided in this Agreement, any Units owned by such party or Affiliate in a voting trust or subject any Units to any arrangement or agreement with respect to the voting of such Units, unless specifically requested to do so by the acquirer in connection with the Sale of the Company;</w:t>
      </w:r>
    </w:p>
    <w:p>
      <w:pPr>
        <w:spacing w:after="0" w:line="67" w:lineRule="exact"/>
        <w:rPr>
          <w:rFonts w:ascii="Times New Roman" w:cs="Times New Roman" w:eastAsia="Times New Roman" w:hAnsi="Times New Roman"/>
          <w:sz w:val="18"/>
          <w:szCs w:val="18"/>
          <w:color w:val="auto"/>
        </w:rPr>
      </w:pPr>
    </w:p>
    <w:p>
      <w:pPr>
        <w:ind w:left="4" w:right="40" w:firstLine="948"/>
        <w:spacing w:after="0" w:line="282" w:lineRule="auto"/>
        <w:tabs>
          <w:tab w:leader="none" w:pos="134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exercising any dissenters’ rights or rights of appraisal under applicable law at any time with respect to such Sale of the Company; and</w:t>
      </w:r>
    </w:p>
    <w:p>
      <w:pPr>
        <w:spacing w:after="0" w:line="53" w:lineRule="exact"/>
        <w:rPr>
          <w:rFonts w:ascii="Times New Roman" w:cs="Times New Roman" w:eastAsia="Times New Roman" w:hAnsi="Times New Roman"/>
          <w:sz w:val="18"/>
          <w:szCs w:val="18"/>
          <w:color w:val="auto"/>
        </w:rPr>
      </w:pPr>
    </w:p>
    <w:p>
      <w:pPr>
        <w:ind w:left="4" w:right="60" w:firstLine="948"/>
        <w:spacing w:after="0" w:line="255" w:lineRule="auto"/>
        <w:tabs>
          <w:tab w:leader="none" w:pos="13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consideration to be paid in exchange for the Units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includes any securities and due receipt thereof by any Member would require under applicable law (x) the registration or qualification of such securities or of any person as a broker or dealer or agent with respect to such securities or (y) the provision to any Member of any information other than such information as a prudent issuer would generally furnish in an offering made solely to “accredited investors” as defined in Regulation D promulgated under the Securities Act, the Company may cause to be paid to any such Member in lieu thereof, against surrender of the Units which would have otherwise been sold by such Member, an amount in cash equal to the fair value (as determined in good faith by the Company) of the securities which such Member would otherwise receive as of the date of the issuance of such securities in exchange for the Units.</w:t>
      </w:r>
    </w:p>
    <w:p>
      <w:pPr>
        <w:spacing w:after="0" w:line="81" w:lineRule="exact"/>
        <w:rPr>
          <w:sz w:val="20"/>
          <w:szCs w:val="20"/>
          <w:color w:val="auto"/>
        </w:rPr>
      </w:pPr>
    </w:p>
    <w:p>
      <w:pPr>
        <w:ind w:left="4" w:right="60" w:firstLine="948"/>
        <w:spacing w:after="0" w:line="282" w:lineRule="auto"/>
        <w:tabs>
          <w:tab w:leader="none" w:pos="13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Notwithstanding the forgoing, a Member will not be required to comply with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above in connection with any proposed Sale of the Company (the “</w:t>
      </w:r>
      <w:r>
        <w:rPr>
          <w:rFonts w:ascii="Times New Roman" w:cs="Times New Roman" w:eastAsia="Times New Roman" w:hAnsi="Times New Roman"/>
          <w:sz w:val="18"/>
          <w:szCs w:val="18"/>
          <w:b w:val="1"/>
          <w:bCs w:val="1"/>
          <w:color w:val="auto"/>
        </w:rPr>
        <w:t>Proposed Sale</w:t>
      </w:r>
      <w:r>
        <w:rPr>
          <w:rFonts w:ascii="Times New Roman" w:cs="Times New Roman" w:eastAsia="Times New Roman" w:hAnsi="Times New Roman"/>
          <w:sz w:val="18"/>
          <w:szCs w:val="18"/>
          <w:color w:val="auto"/>
        </w:rPr>
        <w:t>”) unless:</w:t>
      </w:r>
    </w:p>
    <w:p>
      <w:pPr>
        <w:spacing w:after="0" w:line="54" w:lineRule="exact"/>
        <w:rPr>
          <w:sz w:val="20"/>
          <w:szCs w:val="20"/>
          <w:color w:val="auto"/>
        </w:rPr>
      </w:pPr>
    </w:p>
    <w:p>
      <w:pPr>
        <w:ind w:left="4" w:right="20" w:firstLine="948"/>
        <w:spacing w:after="0" w:line="270" w:lineRule="auto"/>
        <w:tabs>
          <w:tab w:leader="none" w:pos="1305"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representations and warranties to be made by such Member in connection with the Proposed Sale are limited to representations and warranties related to authority, ownership and the ability to convey title to such Units, including but not limited to representations and warranties that (A) the Member holds all right, title and interest in and to the Units such Member purports to hold, free and clear of all liens and encumbrances, (B) the obligations of the Member in connection with the transaction have been duly authorized, if applicable,</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28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entered into by the Member have been duly executed by the Member and delivered to the acquirer and are enforceable against the Member in accordance with their respective terms and (D) neither the execution and delivery of documents to be entered into in connection with the transaction, nor the performance of the Member’s obligations thereunder, will cause a breach or violation of the terms of any agreement, law or judgment, order or decree of any court or governmental agency;</w:t>
      </w:r>
    </w:p>
    <w:p>
      <w:pPr>
        <w:spacing w:after="0" w:line="80" w:lineRule="exact"/>
        <w:rPr>
          <w:rFonts w:ascii="Times New Roman" w:cs="Times New Roman" w:eastAsia="Times New Roman" w:hAnsi="Times New Roman"/>
          <w:sz w:val="18"/>
          <w:szCs w:val="18"/>
          <w:color w:val="auto"/>
        </w:rPr>
      </w:pPr>
    </w:p>
    <w:p>
      <w:pPr>
        <w:jc w:val="both"/>
        <w:ind w:left="4" w:right="120" w:firstLine="948"/>
        <w:spacing w:after="0" w:line="261" w:lineRule="auto"/>
        <w:tabs>
          <w:tab w:leader="none" w:pos="135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shall not be liable for the inaccuracy of any representation or warranty made by any other Person in connection with the Proposed Sale, other than for the inaccuracy of any representation or warranty made by the Company in connection with the Proposed Sale (except to the extent that funds may be paid out of an escrow established to cover breach of representations, warranties and covenants of the Company as well as breach by any Member of any of identical representations, warranties and covenants provided by all Members);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4"/>
          </w:cols>
          <w:pgMar w:left="876" w:top="270" w:right="459" w:bottom="1440" w:gutter="0" w:footer="0" w:header="0"/>
        </w:sectPr>
      </w:pPr>
    </w:p>
    <w:bookmarkStart w:id="371" w:name="page372"/>
    <w:bookmarkEnd w:id="371"/>
    <w:p>
      <w:pPr>
        <w:ind w:left="440" w:right="40" w:firstLine="948"/>
        <w:spacing w:after="0" w:line="258" w:lineRule="auto"/>
        <w:tabs>
          <w:tab w:leader="none" w:pos="184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liability for indemnification, if any, of such Member in the Proposed Sale and for the inaccuracy of any representations and warranties made by the Company in connection with such Proposed Sale, is several and not joint with any other Person (except to the extent that funds may be paid out of an escrow established to cover breach of representations, warranties and covenants of the Company), and is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proportion to the amount of consideration paid to such Member in connection with such Proposed Sale (in accordance with the provisions of this Agreement related to the allocation of the escrow);</w:t>
      </w:r>
    </w:p>
    <w:p>
      <w:pPr>
        <w:spacing w:after="0" w:line="73" w:lineRule="exact"/>
        <w:rPr>
          <w:rFonts w:ascii="Times New Roman" w:cs="Times New Roman" w:eastAsia="Times New Roman" w:hAnsi="Times New Roman"/>
          <w:sz w:val="18"/>
          <w:szCs w:val="18"/>
          <w:color w:val="auto"/>
        </w:rPr>
      </w:pPr>
    </w:p>
    <w:p>
      <w:pPr>
        <w:ind w:left="440" w:firstLine="948"/>
        <w:spacing w:after="0" w:line="258" w:lineRule="auto"/>
        <w:tabs>
          <w:tab w:leader="none" w:pos="183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liability for indemnification shall be limited to such Member’s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(determined based on the respective proceeds payable to each Member in connection with such Proposed Sale in accordance with the provisions of this Agreement) of a negotiated aggregate indemnification amount that applies equally to all Members but that in no event exceeds the amount of consideration actually paid to such Member in connection with such Proposed Sale, except with respect to claims of fraud by such Member, the liability for which need not be limited as to such Member;</w:t>
      </w:r>
    </w:p>
    <w:p>
      <w:pPr>
        <w:spacing w:after="0" w:line="77" w:lineRule="exact"/>
        <w:rPr>
          <w:rFonts w:ascii="Times New Roman" w:cs="Times New Roman" w:eastAsia="Times New Roman" w:hAnsi="Times New Roman"/>
          <w:sz w:val="18"/>
          <w:szCs w:val="18"/>
          <w:color w:val="auto"/>
        </w:rPr>
      </w:pPr>
    </w:p>
    <w:p>
      <w:pPr>
        <w:ind w:left="440" w:firstLine="948"/>
        <w:spacing w:after="0" w:line="254" w:lineRule="auto"/>
        <w:tabs>
          <w:tab w:leader="none" w:pos="178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consummation of the Proposed Sale: (A) except as provided in </w:t>
      </w:r>
      <w:r>
        <w:rPr>
          <w:rFonts w:ascii="Times New Roman" w:cs="Times New Roman" w:eastAsia="Times New Roman" w:hAnsi="Times New Roman"/>
          <w:sz w:val="18"/>
          <w:szCs w:val="18"/>
          <w:u w:val="single" w:color="auto"/>
          <w:color w:val="auto"/>
        </w:rPr>
        <w:t>Section 10.06(b)(vi)</w:t>
      </w:r>
      <w:r>
        <w:rPr>
          <w:rFonts w:ascii="Times New Roman" w:cs="Times New Roman" w:eastAsia="Times New Roman" w:hAnsi="Times New Roman"/>
          <w:sz w:val="18"/>
          <w:szCs w:val="18"/>
          <w:color w:val="auto"/>
        </w:rPr>
        <w:t xml:space="preserve">, each holder of each class or series of Units will receive the same form of consideration for their Units of such class or series as is received by other holders in respect of their Units of such same class or series of Units; and (B) unless the Requisite Preferred Holders, the Series B Vote and the Series C Vote elect to receive a lesser amount by written notice given to the Company at least five (5) days prior to the effective date of any such Proposed Sale, the aggregate consideration receivable by all holders of Units shall be allocated among the holders of Preferred Units, Common Units and Non-Voting Incentive Units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this Agreement as if such consideration were distributed to the Members pursuant thereto; except as provided in Section 10.06(b)(vi), subject to clause (v) above, requiring the same form of consideration to be available to the holders of any single class or series of Units, if any holders of any Units are given an option as to the form and amount of consideration to be received as a result of the Proposed Sale, all holders of such Units will be given the same option; and</w:t>
      </w:r>
    </w:p>
    <w:p>
      <w:pPr>
        <w:spacing w:after="0" w:line="80"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83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who is not an employee of the Company shall be required to agree to any general release of claims or covenant not to compete with or covenant not to solicit or hire customers, employees or suppliers of any party to the Proposed Sale.</w:t>
      </w:r>
    </w:p>
    <w:p>
      <w:pPr>
        <w:spacing w:after="0" w:line="162" w:lineRule="exact"/>
        <w:rPr>
          <w:sz w:val="20"/>
          <w:szCs w:val="20"/>
          <w:color w:val="auto"/>
        </w:rPr>
      </w:pPr>
    </w:p>
    <w:p>
      <w:pPr>
        <w:ind w:firstLine="987"/>
        <w:spacing w:after="0" w:line="277" w:lineRule="auto"/>
        <w:tabs>
          <w:tab w:leader="none" w:pos="1381"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Sales of Control of the Company</w:t>
      </w:r>
      <w:r>
        <w:rPr>
          <w:rFonts w:ascii="Times New Roman" w:cs="Times New Roman" w:eastAsia="Times New Roman" w:hAnsi="Times New Roman"/>
          <w:sz w:val="17"/>
          <w:szCs w:val="17"/>
          <w:color w:val="auto"/>
        </w:rPr>
        <w:t xml:space="preserve">. No Member shall be a party to any Unit Sale unless (i) approved by the Requisite Preferred Holders and (ii) all holders of Preferred Units are allowed to participate in such transaction and the consideration received pursuant to such transaction is allocated among the parties thereto in the manner specified in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(as if such transaction were a Capital Transaction and such consideration were distributed to the Members pursuant thereto), unless the Requisite Preferred Holders, the Series B Vote and the Series C Vote elect otherwise by written notice given to the Company at least five (5) days prior to the effective date of any such transaction or series of related transactions.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372" w:name="page373"/>
    <w:bookmarkEnd w:id="372"/>
    <w:p>
      <w:pPr>
        <w:ind w:right="60" w:firstLine="987"/>
        <w:spacing w:after="0" w:line="254" w:lineRule="auto"/>
        <w:tabs>
          <w:tab w:leader="none" w:pos="137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Irrevocable Proxy and Power of Attorney</w:t>
      </w:r>
      <w:r>
        <w:rPr>
          <w:rFonts w:ascii="Times New Roman" w:cs="Times New Roman" w:eastAsia="Times New Roman" w:hAnsi="Times New Roman"/>
          <w:sz w:val="18"/>
          <w:szCs w:val="18"/>
          <w:color w:val="auto"/>
        </w:rPr>
        <w:t xml:space="preserve">. As security for the performance of each Member’s obligations in connection with such Sale of the Company, after the approval of the Board of Directors and the holders of Preferred Units has been obtained pursuant to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above, each Member hereby grants to the Company, with full power of substitution and resubstitution, an irrevocable proxy to vote all Units at all meetings of the Members held or taken after the date of this Agreement with respect to a Sale of the Company or to execute any written consent in lieu thereof, and hereby irrevocably appoints the Company, with full power of substitution and resubstitution, as such Member’s attorney-in-fact with authority to sign any documents with respect to any such vote or any actions by written consent of the Members taken after the date of this Agreement with respect to such Sale of the Company. This proxy shall be deemed to be coupled with an interest and shall be irrevocable. This proxy shall terminate upon the consummation of, or termination of, negotiations with respect to, the applicable Sale of the Company.</w:t>
      </w:r>
    </w:p>
    <w:p>
      <w:pPr>
        <w:spacing w:after="0" w:line="19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Subject to the terms and conditions of this Section 10.07 and applicable securities laws, if the Company proposes to offer or sell any New Securities, the Company shall first offer such New Securities to each Preferred Member. A Preferred Member shall be entitled to apportion the right of first offer hereby granted to it among itself and its Affiliates in such proportions as it deems appropriate.</w:t>
      </w:r>
    </w:p>
    <w:p>
      <w:pPr>
        <w:spacing w:after="0" w:line="172" w:lineRule="exact"/>
        <w:rPr>
          <w:sz w:val="20"/>
          <w:szCs w:val="20"/>
          <w:color w:val="auto"/>
        </w:rPr>
      </w:pPr>
    </w:p>
    <w:p>
      <w:pPr>
        <w:ind w:right="220" w:firstLine="987"/>
        <w:spacing w:after="0" w:line="268" w:lineRule="auto"/>
        <w:tabs>
          <w:tab w:leader="none" w:pos="136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such Preferred Member, stating (i) its bona fide intention to offer such New Securities, (ii) the number of such New Securities to be offered, and (iii) the price and terms, if any, upon which it proposes to offer such New Securities, including a summary of the rights and privileges of such New Securities.</w:t>
      </w:r>
    </w:p>
    <w:p>
      <w:pPr>
        <w:spacing w:after="0" w:line="174" w:lineRule="exact"/>
        <w:rPr>
          <w:rFonts w:ascii="Times New Roman" w:cs="Times New Roman" w:eastAsia="Times New Roman" w:hAnsi="Times New Roman"/>
          <w:sz w:val="18"/>
          <w:szCs w:val="18"/>
          <w:color w:val="auto"/>
        </w:rPr>
      </w:pPr>
    </w:p>
    <w:p>
      <w:pPr>
        <w:ind w:firstLine="987"/>
        <w:spacing w:after="0" w:line="253" w:lineRule="auto"/>
        <w:tabs>
          <w:tab w:leader="none" w:pos="138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such Preferred Member may elect to purchase or otherwise acquire, at the price and on the terms specified in the Offer Notice, up to that portion of such New Securities which equals the proportion that the Capital Units then held by such Preferred Member bears to the total number of Capital Units then held by all Members. At the expiration of such twenty (20) day period, the Company shall promptly notify each Preferred Member that elects to purchase or acquire all the units available to it (each, a “</w:t>
      </w:r>
      <w:r>
        <w:rPr>
          <w:rFonts w:ascii="Times New Roman" w:cs="Times New Roman" w:eastAsia="Times New Roman" w:hAnsi="Times New Roman"/>
          <w:sz w:val="18"/>
          <w:szCs w:val="18"/>
          <w:b w:val="1"/>
          <w:bCs w:val="1"/>
          <w:color w:val="auto"/>
        </w:rPr>
        <w:t>Fully Exercising Preferred Member</w:t>
      </w:r>
      <w:r>
        <w:rPr>
          <w:rFonts w:ascii="Times New Roman" w:cs="Times New Roman" w:eastAsia="Times New Roman" w:hAnsi="Times New Roman"/>
          <w:sz w:val="18"/>
          <w:szCs w:val="18"/>
          <w:color w:val="auto"/>
        </w:rPr>
        <w:t xml:space="preserve">”) of any other Member’s failure to do likewise. During the ten (10) day period commencing after the Company has given such notice, each Fully Exercising Preferred Member may, by giving notice to the Company, elect to purchase or acquire, in addition to the number of units specified above, up to that portion of the New Securities for which Preferred Members were entitled to subscribe but that were not subscribed for by the participating Preferred Members which is equal to the proportion that the Capital Units then held, by such Fully Exercising Preferred Member bears to the Capital Units then held, by all Fully Exercising Preferred Members who wish to purchase such unsubscribed Capital Units. The closing of any sale pursuant to this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shall occur within the later of one hundred twenty (120) days of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10.07(c)</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373" w:name="page374"/>
    <w:bookmarkEnd w:id="373"/>
    <w:p>
      <w:pPr>
        <w:ind w:right="180" w:firstLine="987"/>
        <w:spacing w:after="0" w:line="256" w:lineRule="auto"/>
        <w:tabs>
          <w:tab w:leader="none" w:pos="137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all New Securities referred to in the Offer Notice are not elected to be purchased or acquired as provided in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Preferred Members in accordance with this Section 10.07.</w:t>
      </w:r>
    </w:p>
    <w:p>
      <w:pPr>
        <w:spacing w:after="0" w:line="187" w:lineRule="exact"/>
        <w:rPr>
          <w:rFonts w:ascii="Times New Roman" w:cs="Times New Roman" w:eastAsia="Times New Roman" w:hAnsi="Times New Roman"/>
          <w:sz w:val="18"/>
          <w:szCs w:val="18"/>
          <w:color w:val="auto"/>
        </w:rPr>
      </w:pPr>
    </w:p>
    <w:p>
      <w:pPr>
        <w:ind w:right="380" w:firstLine="987"/>
        <w:spacing w:after="0" w:line="261" w:lineRule="auto"/>
        <w:tabs>
          <w:tab w:leader="none" w:pos="138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in the event that the application of the provisions of this Section 10.07 are waived by the Members with respect to an offering by the Company, to the extent that any Preferred Member participates in such offering, the other Preferred Members shall be entitled to also participate in such offering on a pro rata basis relative to such participating Preferred Member in accordance with the provisions of this Section 10.07.</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3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set forth in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10.06 and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xml:space="preserve"> shall terminate and be of no further force or effect (i) immediately before the consummation of the IPO or (ii) upon a Change of Control, whichever event occurs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-185420</wp:posOffset>
            </wp:positionV>
            <wp:extent cx="2857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4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Substitution of Members</w:t>
      </w:r>
      <w:r>
        <w:rPr>
          <w:rFonts w:ascii="Times New Roman" w:cs="Times New Roman" w:eastAsia="Times New Roman" w:hAnsi="Times New Roman"/>
          <w:sz w:val="18"/>
          <w:szCs w:val="18"/>
          <w:color w:val="auto"/>
        </w:rPr>
        <w:t>. A transferee of a Unit shall have the right to become a substitute Member only with the consent of the Board of Directors. The admission of a substitute Member shall not result in the release of the Member who assigned the Unit from any liability that such Member may have to the Company.</w:t>
      </w:r>
    </w:p>
    <w:p>
      <w:pPr>
        <w:spacing w:after="0" w:line="28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10.09</w:t>
      </w:r>
      <w:r>
        <w:rPr>
          <w:sz w:val="20"/>
          <w:szCs w:val="20"/>
          <w:color w:val="auto"/>
        </w:rPr>
        <w:tab/>
      </w:r>
      <w:r>
        <w:rPr>
          <w:rFonts w:ascii="Times New Roman" w:cs="Times New Roman" w:eastAsia="Times New Roman" w:hAnsi="Times New Roman"/>
          <w:sz w:val="17"/>
          <w:szCs w:val="17"/>
          <w:u w:val="single" w:color="auto"/>
          <w:color w:val="auto"/>
        </w:rPr>
        <w:t>Conversion to Corporation and Registration Rights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1" w:lineRule="auto"/>
        <w:tabs>
          <w:tab w:leader="none" w:pos="136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acknowledge that the Company may need to convert into a corporation organized under the DGCL at some future date in connection with preparation for an IPO or in order to facilitate a financing or for tax purposes or for some other reason. Whether the Company is directly converted into a corporation or indirectly converted into a corporation pursuant to any other type of merger or reorganization, any conversion of the Company into a corporation must be approved by (i) the Board of Directors, (ii) the Requisite Preferred Holders, (iii) the Series B Vote and (iv) the Series C Vote. If the conversion into a corporation is approved in accordance with the preceding sentence or in connection with the consummation of an IPO pursuant to which the offering price per share is equal to at least (1.2) times the Series C Original Issue Price (subject to adjustments for unit splits, combinations and similar events) with gross proceeds to the Company of at least $35,000,000 (a “</w:t>
      </w:r>
      <w:r>
        <w:rPr>
          <w:rFonts w:ascii="Times New Roman" w:cs="Times New Roman" w:eastAsia="Times New Roman" w:hAnsi="Times New Roman"/>
          <w:sz w:val="18"/>
          <w:szCs w:val="18"/>
          <w:b w:val="1"/>
          <w:bCs w:val="1"/>
          <w:color w:val="auto"/>
        </w:rPr>
        <w:t>QPO</w:t>
      </w:r>
      <w:r>
        <w:rPr>
          <w:rFonts w:ascii="Times New Roman" w:cs="Times New Roman" w:eastAsia="Times New Roman" w:hAnsi="Times New Roman"/>
          <w:sz w:val="18"/>
          <w:szCs w:val="18"/>
          <w:color w:val="auto"/>
        </w:rPr>
        <w:t>”), all Members will take appropriate steps to implement a corporate conversion of the Company, whether pursuant to conversion, merger or reorganization of the Company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which may include, as an example, contribution of their Units to a newly formed corporation or distribution of a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owns all material assets of the Company and its subsidiaries to the Members in liquidation of the Company (in each case, such surviving entity,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on terms that preserve and reflect the substantive economic rights of their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 Corporate Conversion is in connection with the consummation of a QPO, if such Units are entitled to distributions under </w:t>
      </w:r>
      <w:r>
        <w:rPr>
          <w:rFonts w:ascii="Times New Roman" w:cs="Times New Roman" w:eastAsia="Times New Roman" w:hAnsi="Times New Roman"/>
          <w:sz w:val="18"/>
          <w:szCs w:val="18"/>
          <w:u w:val="single" w:color="auto"/>
          <w:color w:val="auto"/>
        </w:rPr>
        <w:t>Sections 8.01(b)(i)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8.01(b)(v), 8.01(b)(vi)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8.01(b)(vii)</w:t>
      </w:r>
      <w:r>
        <w:rPr>
          <w:rFonts w:ascii="Times New Roman" w:cs="Times New Roman" w:eastAsia="Times New Roman" w:hAnsi="Times New Roman"/>
          <w:sz w:val="18"/>
          <w:szCs w:val="18"/>
          <w:color w:val="auto"/>
        </w:rPr>
        <w:t xml:space="preserve"> then, following the consummation of such IPO, such Unit (or security in Holdings) shall be converted to common equity of Holdings and only be entitled to the equivalent of economic rights under </w:t>
      </w:r>
      <w:r>
        <w:rPr>
          <w:rFonts w:ascii="Times New Roman" w:cs="Times New Roman" w:eastAsia="Times New Roman" w:hAnsi="Times New Roman"/>
          <w:sz w:val="18"/>
          <w:szCs w:val="18"/>
          <w:u w:val="single" w:color="auto"/>
          <w:color w:val="auto"/>
        </w:rPr>
        <w:t>Section 8.01(b)(vii)</w:t>
      </w:r>
      <w:r>
        <w:rPr>
          <w:rFonts w:ascii="Times New Roman" w:cs="Times New Roman" w:eastAsia="Times New Roman" w:hAnsi="Times New Roman"/>
          <w:sz w:val="18"/>
          <w:szCs w:val="18"/>
          <w:color w:val="auto"/>
        </w:rPr>
        <w:t xml:space="preserve"> (determined taking into account the application of any Strike Price under Section 8.01(c) in respect of Non-Voting Incentive Units); provided that, notwithstanding the foregoing, the Board of Directors shall have discretion to modify the economic rights associated with any shares issued to holders of Non-Voting Incentive Units to preserve the status of such units as “profits interests” within the meaning of IRS Revenue Procedures 93-27 and 2001-43. For the avoidance of doubt, it is the intention of the parties that any shares or the number of shares in Holdings to be received pursuant to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will afford to the party receiving the same economic interest, rights, benefits and obligations as were associated with the Units held by such party immediately prior to such reorganization, both generally and relative to the holders of other shares of Holdings (but subject to the terms hereof, including the proviso in the immediately preceding sentence). In addition, the consent to any conversion transaction pursuant to the terms of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shall be conclusive and binding on all Members, and the Members hereby waive any dissenters’ or appraisal rights that they may have pursuant to the Act, and agree to take any actions necessary (including voting Units) in order to facilitate and effect such conversion transaction. The Company and the Members agree to use commercially reasonable efforts to effect such Corporate Conversion in a manner intended to be tax-free for the holders of the Units to the extent permitted by any applicable law. In connection with preparation for an IPO, the Company shall have the right to take action with respect to any Option issued pursuant to the 2020 Unit Option and Grant Plan to facilitate a reorganization of the Company which may include, as examples, substitution of such Options in a newly formed corporation on terms and for securities that preserve and reflect the economic interest, rights, benefits and obligations as were associated with such Options held by such party immediately prior to such reorganization and execution of a lock-up agreement (consistent with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of this Agreement).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374" w:name="page375"/>
    <w:bookmarkEnd w:id="374"/>
    <w:p>
      <w:pPr>
        <w:ind w:left="-20" w:right="400" w:firstLine="987"/>
        <w:spacing w:after="0" w:line="282" w:lineRule="auto"/>
        <w:tabs>
          <w:tab w:leader="none" w:pos="136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following a Corporate Conversion, the Company shall enter into the Registration Rights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the Preferred Members at such time.</w:t>
      </w:r>
    </w:p>
    <w:p>
      <w:pPr>
        <w:spacing w:after="0" w:line="161" w:lineRule="exact"/>
        <w:rPr>
          <w:rFonts w:ascii="Times New Roman" w:cs="Times New Roman" w:eastAsia="Times New Roman" w:hAnsi="Times New Roman"/>
          <w:sz w:val="18"/>
          <w:szCs w:val="18"/>
          <w:color w:val="auto"/>
        </w:rPr>
      </w:pPr>
    </w:p>
    <w:p>
      <w:pPr>
        <w:ind w:left="-20" w:firstLine="987"/>
        <w:spacing w:after="0" w:line="258" w:lineRule="auto"/>
        <w:tabs>
          <w:tab w:leader="none" w:pos="135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Corporate Conversion, each Member hereby agrees, if requested by the Company and such transaction requires Member approval, with respect to all Units that such Member owns or over which such Member otherwise exercises voting power, to vote (in person, by proxy or by action by written consent, as applicable) all Units in favor of, and adopt, such Corporate Conversion and any related documents (including any documents required to effect the reorganization of the Company) and to vote in opposition to any and all other proposals that could reasonably be expected to delay or impair the ability of the Company to consummate such Corporate Conversion.</w:t>
      </w:r>
    </w:p>
    <w:p>
      <w:pPr>
        <w:spacing w:after="0" w:line="291"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52" w:lineRule="auto"/>
        <w:tabs>
          <w:tab w:leader="none" w:pos="135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hereby agrees that it will not, without the prior written consent of the managing underwriter, during the period commencing on the date of the final prospectus relating to the initial public offering by the Company (or its successor)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xml:space="preserve">”), and ending on the date specified by the Company (or its successor)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equity securities of the Company (or its successor) held immediately before the effective date of the registration statement for the IPO or (ii) enter into any swap or other arrangement that transfers to another, in whole or in part, any of the economic consequences of ownership of such equity securities of the Company (or its successor), whether any such transaction described in clause (i) or (ii) above is to be settled by delivery of equity securities of the Company (or its successor), in cash, or otherwise. The foregoing provisions of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shall only apply to the IPO, shall not apply to the sale of any shares to an underwriter pursuant to an underwriting agreement, and shall be applicable to the Members only if all officers and directors are subject to the same restrictions and the Company (or its successor) obtains a similar agreement from all stockholders (individually and together with their Affiliates) owning one percent (1%) or more of the equity securities of the Company (or its successor). The underwriters in connection with the IPO are intended third party beneficiaries of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Member further agrees to execute such agreements as may be reasonably requested by the underwriters in connection with the IPO that are consistent with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or that are necessary to give further effect thereto. If any of the obligations described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are waived or terminated with respect to any of the securities of any such Member, officer, director or greater than one-percent stockholder (in any such case, the “</w:t>
      </w:r>
      <w:r>
        <w:rPr>
          <w:rFonts w:ascii="Times New Roman" w:cs="Times New Roman" w:eastAsia="Times New Roman" w:hAnsi="Times New Roman"/>
          <w:sz w:val="18"/>
          <w:szCs w:val="18"/>
          <w:b w:val="1"/>
          <w:bCs w:val="1"/>
          <w:color w:val="auto"/>
        </w:rPr>
        <w:t>Released Securities</w:t>
      </w:r>
      <w:r>
        <w:rPr>
          <w:rFonts w:ascii="Times New Roman" w:cs="Times New Roman" w:eastAsia="Times New Roman" w:hAnsi="Times New Roman"/>
          <w:sz w:val="18"/>
          <w:szCs w:val="18"/>
          <w:color w:val="auto"/>
        </w:rPr>
        <w:t>”), the foregoing provisions shall be waived or terminated, as applicable, to the same extent and with respect to the same percentage of securities of each Member as the percentage of Released Securities represent with respect to the securities held by the applicable Member, officer, director or greater than one-percent stockholder.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60" w:top="270" w:right="459" w:bottom="1440" w:gutter="0" w:footer="0" w:header="0"/>
        </w:sectPr>
      </w:pPr>
    </w:p>
    <w:bookmarkStart w:id="375" w:name="page376"/>
    <w:bookmarkEnd w:id="375"/>
    <w:p>
      <w:pPr>
        <w:ind w:right="220" w:firstLine="987"/>
        <w:spacing w:after="0" w:line="282" w:lineRule="auto"/>
        <w:tabs>
          <w:tab w:leader="none" w:pos="138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order to enforce the covenant in </w:t>
      </w:r>
      <w:r>
        <w:rPr>
          <w:rFonts w:ascii="Times New Roman" w:cs="Times New Roman" w:eastAsia="Times New Roman" w:hAnsi="Times New Roman"/>
          <w:sz w:val="18"/>
          <w:szCs w:val="18"/>
          <w:u w:val="single" w:color="auto"/>
          <w:color w:val="auto"/>
        </w:rPr>
        <w:t>Section 10.10(a)</w:t>
      </w:r>
      <w:r>
        <w:rPr>
          <w:rFonts w:ascii="Times New Roman" w:cs="Times New Roman" w:eastAsia="Times New Roman" w:hAnsi="Times New Roman"/>
          <w:sz w:val="18"/>
          <w:szCs w:val="18"/>
          <w:color w:val="auto"/>
        </w:rPr>
        <w:t xml:space="preserve"> above, the Company may impose stop-transfer instructions with respect to the equity securities of each Member (and transferees and assignees thereof) until the end of such restricted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DISSOLUTION, LIQUIDATION, AND TERMINATION; INCORPORATION</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Company shall be dissolved upon (i) the entry of a decree of judicial dissolution pursuant to Section 18-802 of the Act or (ii) the decision of the Board of Directors and a Majority Interest.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Liquidating Distributions</w:t>
      </w:r>
      <w:r>
        <w:rPr>
          <w:rFonts w:ascii="Times New Roman" w:cs="Times New Roman" w:eastAsia="Times New Roman" w:hAnsi="Times New Roman"/>
          <w:sz w:val="18"/>
          <w:szCs w:val="18"/>
          <w:color w:val="auto"/>
        </w:rPr>
        <w:t>. In settling accounts upon dissolution, winding up and liquidation of the Company, the assets of the Company shall be applied and distributed as expeditiously as possible in the following order:</w:t>
      </w:r>
    </w:p>
    <w:p>
      <w:pPr>
        <w:spacing w:after="0" w:line="162" w:lineRule="exact"/>
        <w:rPr>
          <w:sz w:val="20"/>
          <w:szCs w:val="20"/>
          <w:color w:val="auto"/>
        </w:rPr>
      </w:pPr>
    </w:p>
    <w:p>
      <w:pPr>
        <w:ind w:right="200" w:firstLine="987"/>
        <w:spacing w:after="0" w:line="261" w:lineRule="auto"/>
        <w:tabs>
          <w:tab w:leader="none" w:pos="136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(or make reasonable provision for the payment of) all creditors of the Company, including, to the extent permitted by law, Members or other Affiliates that are creditors, in satisfaction of liabilities of the Company in the order of priority provided by law, including expenses relating to the dissolution and winding up of the Company, discharging liabilities of the Company, distributing the assets of the Company and terminating the Company as a limited liability company in accordance with this Agreement and the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376" w:name="page377"/>
    <w:bookmarkEnd w:id="376"/>
    <w:p>
      <w:pPr>
        <w:ind w:left="1380" w:hanging="393"/>
        <w:spacing w:after="0"/>
        <w:tabs>
          <w:tab w:leader="none" w:pos="13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Members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Members in accordance with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subject to the other provisions of ARTICLE VIII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11.03</w:t>
      </w:r>
      <w:r>
        <w:rPr>
          <w:sz w:val="20"/>
          <w:szCs w:val="20"/>
          <w:color w:val="auto"/>
        </w:rPr>
        <w:tab/>
      </w:r>
      <w:r>
        <w:rPr>
          <w:rFonts w:ascii="Times New Roman" w:cs="Times New Roman" w:eastAsia="Times New Roman" w:hAnsi="Times New Roman"/>
          <w:sz w:val="17"/>
          <w:szCs w:val="17"/>
          <w:u w:val="single" w:color="auto"/>
          <w:color w:val="auto"/>
        </w:rPr>
        <w:t>Allocation of Sale Proceeds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56" w:lineRule="auto"/>
        <w:tabs>
          <w:tab w:leader="none" w:pos="137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net proceeds paid or deemed paid in connection with a Sale Event (which shall include the aggregate consideration payable to holders of Units of the Company or received by the Company in connection with any Change of Control), after the full payment to any creditors of the Company and the establishment of reasonable reserves for contingent liabilities of the Company, to the extent required by law or in the Board of Director’s reasonable discretion, shall be allocated and distributed among the Members by treating such proceeds as distributions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hereof, subject to the other provisions of ARTICLE VIII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For purposes hereof, a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shall mean a Change of Control.</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37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proceeds from a Sale Event are in a form other than cash, such non-cash proceeds shall be, as determined by Board of Director and approved by the Requisite Preferred Holders, either (i) reduced to cash or some other easily divisible and reasonably liquid asset for subsequent distribution among the Members in the order provided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or (ii) distributed in-kind among the Members in the order provided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in each case subject to the other provisions of ARTICLE VIII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To the extent that non-cash proceeds from a Sale Event are not reduced to cash or other liquid asset and are distributed in-kind to the Members, distributions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shall be made in a manner such that all Members receive their pro rata share of the cash proceeds from such transaction and each class or type of non-cash proceeds (unless otherwise agreed to by the Members). The value of such non-cash proceeds shall be equal to the Fair Market Value of the non-cash proceeds at the time of the distribution as determined in good faith by the Board of Directors Director and approved by the Requisite Preferred Holders.</w:t>
      </w:r>
    </w:p>
    <w:p>
      <w:pPr>
        <w:spacing w:after="0" w:line="191" w:lineRule="exact"/>
        <w:rPr>
          <w:rFonts w:ascii="Times New Roman" w:cs="Times New Roman" w:eastAsia="Times New Roman" w:hAnsi="Times New Roman"/>
          <w:sz w:val="18"/>
          <w:szCs w:val="18"/>
          <w:color w:val="auto"/>
        </w:rPr>
      </w:pPr>
    </w:p>
    <w:p>
      <w:pPr>
        <w:ind w:right="40" w:firstLine="987"/>
        <w:spacing w:after="0" w:line="258" w:lineRule="auto"/>
        <w:tabs>
          <w:tab w:leader="none" w:pos="136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proceeds of a Sale Event are set aside as a reserve against contingent liabilities and are not used to satisfy such liabilities and are subsequently distributed, such unused proceeds shall be distributed to the Members in the order provided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subject to the other provisions of ARTICLE VIII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as if such amounts had been distributed immediately following the receipt of the proceeds of the Sale Event and no such reserves had been established, but taking into account all other distributions made prior to or contemporaneously with such distribution of unused reserves.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377" w:name="page378"/>
    <w:bookmarkEnd w:id="377"/>
    <w:p>
      <w:pPr>
        <w:ind w:firstLine="987"/>
        <w:spacing w:after="0" w:line="253" w:lineRule="auto"/>
        <w:tabs>
          <w:tab w:leader="none" w:pos="137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that any portion of the consideration payable to the Members of the Company in any Sale Event is payable only upon satisfaction of contingencies (the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the agreement governing such Sale Event shall provide that (i) the portion of such consideration that is not Additional Consideration (such portion, the “</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participating Members by treating such proceeds as distributions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hereof and shall take into account any amounts previously distributed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as if the Initial Consideration were the only consideration payable in connection with such Sale Event; and (ii) any Additional Consideration which becomes payable to the Members upon satisfaction of such contingencies shall be allocated among the participating Members by treating such proceeds as distributions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hereof after taking into account the previous payment of the Initial Consideration as part of the same transaction and any other amounts previously distributed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in each case subject to the other provisions of ARTICLE VIII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Section 11.03(d)</w:t>
      </w:r>
      <w:r>
        <w:rPr>
          <w:rFonts w:ascii="Times New Roman" w:cs="Times New Roman" w:eastAsia="Times New Roman" w:hAnsi="Times New Roman"/>
          <w:sz w:val="18"/>
          <w:szCs w:val="18"/>
          <w:color w:val="auto"/>
        </w:rPr>
        <w:t>, consideration placed into escrow or retained as holdback to be available for satisfaction of indemnification or similar obligations in connection with such Sale Event shall be deemed to be Additional Consideration.</w:t>
      </w:r>
    </w:p>
    <w:p>
      <w:pPr>
        <w:spacing w:after="0" w:line="19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u w:val="single" w:color="auto"/>
          <w:color w:val="auto"/>
        </w:rPr>
        <w:t>Orderly Winding Up</w:t>
      </w:r>
      <w:r>
        <w:rPr>
          <w:rFonts w:ascii="Times New Roman" w:cs="Times New Roman" w:eastAsia="Times New Roman" w:hAnsi="Times New Roman"/>
          <w:sz w:val="18"/>
          <w:szCs w:val="18"/>
          <w:color w:val="auto"/>
        </w:rPr>
        <w:t>. Notwithstanding anything herein to the contrary, upon winding up and liquidation, if required to maximize the proceeds of liquidation, the Members may, upon approval of the Requisite Preferred Holders, transfer the assets of the Company to a liquidating trust or trustees.</w:t>
      </w:r>
    </w:p>
    <w:p>
      <w:pPr>
        <w:spacing w:after="0" w:line="3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XII</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12.01</w:t>
      </w:r>
      <w:r>
        <w:rPr>
          <w:sz w:val="20"/>
          <w:szCs w:val="20"/>
          <w:color w:val="auto"/>
        </w:rPr>
        <w:tab/>
      </w:r>
      <w:r>
        <w:rPr>
          <w:rFonts w:ascii="Times New Roman" w:cs="Times New Roman" w:eastAsia="Times New Roman" w:hAnsi="Times New Roman"/>
          <w:sz w:val="17"/>
          <w:szCs w:val="17"/>
          <w:u w:val="single" w:color="auto"/>
          <w:color w:val="auto"/>
        </w:rPr>
        <w:t>Terms Defined Elsewhere in the Agreement</w:t>
      </w:r>
      <w:r>
        <w:rPr>
          <w:rFonts w:ascii="Times New Roman" w:cs="Times New Roman" w:eastAsia="Times New Roman" w:hAnsi="Times New Roman"/>
          <w:sz w:val="17"/>
          <w:szCs w:val="17"/>
          <w:color w:val="auto"/>
        </w:rPr>
        <w:t>. For purposes of this Agreement, the following terms have the meaning set forth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3620" w:type="dxa"/>
            <w:vAlign w:val="bottom"/>
          </w:tcPr>
          <w:p>
            <w:pPr>
              <w:spacing w:after="0"/>
              <w:rPr>
                <w:sz w:val="14"/>
                <w:szCs w:val="14"/>
                <w:color w:val="auto"/>
              </w:rPr>
            </w:pPr>
          </w:p>
        </w:tc>
        <w:tc>
          <w:tcPr>
            <w:tcW w:w="2500" w:type="dxa"/>
            <w:vAlign w:val="bottom"/>
            <w:gridSpan w:val="3"/>
          </w:tcPr>
          <w:p>
            <w:pPr>
              <w:ind w:left="1820"/>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18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71"/>
              </w:rPr>
              <w:t>A&amp;R</w:t>
            </w:r>
          </w:p>
        </w:tc>
        <w:tc>
          <w:tcPr>
            <w:tcW w:w="362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30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w:t>
            </w:r>
          </w:p>
        </w:tc>
        <w:tc>
          <w:tcPr>
            <w:tcW w:w="25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Consideration</w:t>
            </w:r>
          </w:p>
        </w:tc>
        <w:tc>
          <w:tcPr>
            <w:tcW w:w="25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11.03(d)</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Units</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12.02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12.02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5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Units</w:t>
            </w:r>
          </w:p>
        </w:tc>
        <w:tc>
          <w:tcPr>
            <w:tcW w:w="25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10.04(a)</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Bad Actor Disqualification Event</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Baupost Director</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Account</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12.02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2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12.02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78" w:name="page379"/>
    <w:bookmarkEnd w:id="3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Capital Transaction</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Capital Transaction Proceeds</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Capital Units</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3.02(b)(iii)</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CEO Director</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3.02(b)(iii)</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Preamble</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Distributions</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Notice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Undersubscription Notice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10.03(d)</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Conversion</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10.09(a)</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Co-Sale Per Unit Liquidation Value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10.04(b)</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Co-Sale Purchase Price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10.04(b)</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Covered Persons</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3.11(b)</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Designated Affiliate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Designated Affiliate License Agreements</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Designated Affiliate Sale</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8.01(d)</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5.01</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12.02</w:t>
            </w:r>
          </w:p>
        </w:tc>
      </w:tr>
      <w:tr>
        <w:trPr>
          <w:trHeight w:val="365"/>
        </w:trPr>
        <w:tc>
          <w:tcPr>
            <w:tcW w:w="4200" w:type="dxa"/>
            <w:vAlign w:val="bottom"/>
          </w:tcPr>
          <w:p>
            <w:pPr>
              <w:spacing w:after="0"/>
              <w:rPr>
                <w:sz w:val="24"/>
                <w:szCs w:val="24"/>
                <w:color w:val="auto"/>
              </w:rPr>
            </w:pPr>
          </w:p>
        </w:tc>
        <w:tc>
          <w:tcPr>
            <w:tcW w:w="23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0019"/>
          </w:cols>
          <w:pgMar w:left="440" w:top="270" w:right="1440" w:bottom="1440" w:gutter="0" w:footer="0" w:header="0"/>
        </w:sectPr>
      </w:pPr>
    </w:p>
    <w:bookmarkStart w:id="379" w:name="page380"/>
    <w:bookmarkEnd w:id="3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Economic Capital Account</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Exercising Preferred Members</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10.03(d)</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5.06(b)</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Fair Market Value</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Fully Exercising Preferred Member</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10.07(b)</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3.02(b)(ii)</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Foresite</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Holding</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10.09(a)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Imputed Underpayment Amount</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13.01(b)</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5.06(a)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Initial Consideration</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11.03(d)</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10.10</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Investor Business Opportunity</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3.11(b)</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Majority Interest</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2.03(a)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Preamble</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Non-Voting Incentive Units</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OIF</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3.02(b)(i)</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Offer Notice</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10.07(a)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4.01</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Indemnitors</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5.02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Preferred Member</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10.04(a)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Partnership Representative</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5"/>
              </w:rPr>
              <w:t>3.03(a)(viii)</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w:t>
            </w:r>
          </w:p>
        </w:tc>
        <w:tc>
          <w:tcPr>
            <w:tcW w:w="2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10.01(a)</w:t>
            </w:r>
          </w:p>
        </w:tc>
      </w:tr>
      <w:tr>
        <w:trPr>
          <w:trHeight w:val="364"/>
        </w:trPr>
        <w:tc>
          <w:tcPr>
            <w:tcW w:w="3980" w:type="dxa"/>
            <w:vAlign w:val="bottom"/>
          </w:tcPr>
          <w:p>
            <w:pPr>
              <w:spacing w:after="0"/>
              <w:rPr>
                <w:sz w:val="24"/>
                <w:szCs w:val="24"/>
                <w:color w:val="auto"/>
              </w:rPr>
            </w:pPr>
          </w:p>
        </w:tc>
        <w:tc>
          <w:tcPr>
            <w:tcW w:w="2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0019"/>
          </w:cols>
          <w:pgMar w:left="440" w:top="270" w:right="1440" w:bottom="1440" w:gutter="0" w:footer="0" w:header="0"/>
        </w:sectPr>
      </w:pPr>
    </w:p>
    <w:bookmarkStart w:id="380" w:name="page381"/>
    <w:bookmarkEnd w:id="3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Transferee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10.01(a)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Preferred Director</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5"/>
              </w:rPr>
              <w:t>3.02(b)(iii)</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Preferred Member</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Preferred Member Notice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Preferred Member Notice Period</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10.03(d)</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Preferred Units</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Preferred Unit Preference Amount</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4.01</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Prior Agreement</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Recitals</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Proceeding</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5.06(c)</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Proceeds Available for Distribution</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Prohibited Transfer</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10.05(c)</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Proposed Sale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10.06(c)</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Proposed Transfer</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Proposed Transfer Notice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Proposed Transferee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Purchase Agreement</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QPO</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10.09</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Released Securities</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10.10</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Required Reserve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Requisite Preferred Holders</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Revised Audit Procedures</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Right of Co-Sale</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12.02</w:t>
            </w:r>
          </w:p>
        </w:tc>
      </w:tr>
      <w:tr>
        <w:trPr>
          <w:trHeight w:val="364"/>
        </w:trPr>
        <w:tc>
          <w:tcPr>
            <w:tcW w:w="3980" w:type="dxa"/>
            <w:vAlign w:val="bottom"/>
          </w:tcPr>
          <w:p>
            <w:pPr>
              <w:spacing w:after="0"/>
              <w:rPr>
                <w:sz w:val="24"/>
                <w:szCs w:val="24"/>
                <w:color w:val="auto"/>
              </w:rPr>
            </w:pPr>
          </w:p>
        </w:tc>
        <w:tc>
          <w:tcPr>
            <w:tcW w:w="2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0019"/>
          </w:cols>
          <w:pgMar w:left="440" w:top="270" w:right="1440" w:bottom="1440" w:gutter="0" w:footer="0" w:header="0"/>
        </w:sectPr>
      </w:pPr>
    </w:p>
    <w:bookmarkStart w:id="381" w:name="page382"/>
    <w:bookmarkEnd w:id="3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Right of First Refusal</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Rule 506(d) Related Party</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 Event</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5"/>
              </w:rPr>
              <w:t>11.03(a)</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 of the Company</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5"/>
              </w:rPr>
              <w:t>10.06(a)</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Secondary Notice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Secondary Refusal Right</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4.01</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Investors</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4"/>
              </w:rPr>
              <w:t>10.06(b)</w:t>
            </w:r>
          </w:p>
        </w:tc>
      </w:tr>
      <w:tr>
        <w:trPr>
          <w:trHeight w:val="33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Seed Preferred Units</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2.10(a)</w:t>
            </w:r>
          </w:p>
        </w:tc>
      </w:tr>
      <w:tr>
        <w:trPr>
          <w:trHeight w:val="3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Units</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Director</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B Accrued Dividend</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Units</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B Original Issue Price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B Vote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C Original Issue Price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C Vote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A1 Accrued Dividend</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Seed Accrued Dividend</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A1 Original Issue Price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Series Seed Original Issue Price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2.10(e)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Target Balance</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Tax Distribution</w:t>
            </w: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8.02</w:t>
            </w:r>
          </w:p>
        </w:tc>
      </w:tr>
      <w:tr>
        <w:trPr>
          <w:trHeight w:val="365"/>
        </w:trPr>
        <w:tc>
          <w:tcPr>
            <w:tcW w:w="386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0019"/>
          </w:cols>
          <w:pgMar w:left="440" w:top="270" w:right="1440" w:bottom="1440" w:gutter="0" w:footer="0" w:header="0"/>
        </w:sectPr>
      </w:pPr>
    </w:p>
    <w:bookmarkStart w:id="382" w:name="page383"/>
    <w:bookmarkEnd w:id="3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Tax Liability</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8.02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8.02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5"/>
              </w:rPr>
              <w:t>10.02(a)</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Transferring Member</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Transfer Notice</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Transfer Units</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4.01</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Treasury Regulation</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 Certificate</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2.10(g)</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 Sale</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5"/>
              </w:rPr>
              <w:t>10.06(a)</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2.10(a)</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Units Deemed Outstanding</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Unpaid Preferred Cap</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Unpaid Preferred Unit Preference Amount</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12.02</w:t>
            </w:r>
          </w:p>
        </w:tc>
      </w:tr>
      <w:tr>
        <w:trPr>
          <w:trHeight w:val="32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Payment</w:t>
            </w:r>
          </w:p>
        </w:tc>
        <w:tc>
          <w:tcPr>
            <w:tcW w:w="19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5"/>
              </w:rPr>
              <w:t>13.01(a)</w:t>
            </w:r>
          </w:p>
        </w:tc>
      </w:tr>
    </w:tbl>
    <w:p>
      <w:pPr>
        <w:spacing w:after="0" w:line="198"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12.02</w:t>
      </w:r>
      <w:r>
        <w:rPr>
          <w:sz w:val="20"/>
          <w:szCs w:val="20"/>
          <w:color w:val="auto"/>
        </w:rPr>
        <w:tab/>
      </w:r>
      <w:r>
        <w:rPr>
          <w:rFonts w:ascii="Times New Roman" w:cs="Times New Roman" w:eastAsia="Times New Roman" w:hAnsi="Times New Roman"/>
          <w:sz w:val="17"/>
          <w:szCs w:val="17"/>
          <w:u w:val="single" w:color="auto"/>
          <w:color w:val="auto"/>
        </w:rPr>
        <w:t>Other Definitions</w:t>
      </w:r>
      <w:r>
        <w:rPr>
          <w:rFonts w:ascii="Times New Roman" w:cs="Times New Roman" w:eastAsia="Times New Roman" w:hAnsi="Times New Roman"/>
          <w:sz w:val="17"/>
          <w:szCs w:val="17"/>
          <w:color w:val="auto"/>
        </w:rPr>
        <w:t>. For purposes of this Agreement the following terms have the following meanings: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Units</w:t>
      </w:r>
      <w:r>
        <w:rPr>
          <w:rFonts w:ascii="Times New Roman" w:cs="Times New Roman" w:eastAsia="Times New Roman" w:hAnsi="Times New Roman"/>
          <w:sz w:val="18"/>
          <w:szCs w:val="18"/>
          <w:color w:val="auto"/>
        </w:rPr>
        <w:t>” shall mean all Capital Units issued, deemed to be issued by the Company after the date hereof, other than Exempted Securities.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Price</w:t>
      </w:r>
      <w:r>
        <w:rPr>
          <w:rFonts w:ascii="Times New Roman" w:cs="Times New Roman" w:eastAsia="Times New Roman" w:hAnsi="Times New Roman"/>
          <w:sz w:val="18"/>
          <w:szCs w:val="18"/>
          <w:color w:val="auto"/>
        </w:rPr>
        <w:t xml:space="preserve">” shall initially be equal to $0.25 for the Series Seed Preferred Units, $1.00 for the Series A1 Preferred Units, $1.56 for the Series B Preferred Unit and $1.97 for the Series C Preferred Unit, each subject to adjustment as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Ratio</w:t>
      </w:r>
      <w:r>
        <w:rPr>
          <w:rFonts w:ascii="Times New Roman" w:cs="Times New Roman" w:eastAsia="Times New Roman" w:hAnsi="Times New Roman"/>
          <w:sz w:val="18"/>
          <w:szCs w:val="18"/>
          <w:color w:val="auto"/>
        </w:rPr>
        <w:t>” shall equal the Series Seed Original Issue Price, Series A1 Original Issue Price, Series B Preferred Stock and Series C Preferred Stock as applicable, divided by the applicable Adjustment Price.</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Person that directly, or indirectly through one or more intermediaries, Controls, is Controlled by or is under common Control with the Person specified, including without limitation any general partner, limited partner, member, managing member, manager, employee, officer or director of such Person and any venture capital or other investment fund now or hereafter existing that is controlled by or under common control with one or more general partners or managing members of, or shares the same management company or investment advisor with, such Person.</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00"/>
          </w:cols>
          <w:pgMar w:left="440" w:top="270" w:right="5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AIG</w:t>
      </w:r>
      <w:r>
        <w:rPr>
          <w:rFonts w:ascii="Times New Roman" w:cs="Times New Roman" w:eastAsia="Times New Roman" w:hAnsi="Times New Roman"/>
          <w:sz w:val="18"/>
          <w:szCs w:val="18"/>
          <w:color w:val="auto"/>
        </w:rPr>
        <w:t>” means AIG DECO Fund I, L.P..</w:t>
      </w:r>
    </w:p>
    <w:p>
      <w:pPr>
        <w:spacing w:after="0" w:line="225" w:lineRule="exact"/>
        <w:rPr>
          <w:sz w:val="20"/>
          <w:szCs w:val="20"/>
          <w:color w:val="auto"/>
        </w:rPr>
      </w:pPr>
    </w:p>
    <w:p>
      <w:pPr>
        <w:jc w:val="both"/>
        <w:ind w:right="6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Baupost</w:t>
      </w:r>
      <w:r>
        <w:rPr>
          <w:rFonts w:ascii="Times New Roman" w:cs="Times New Roman" w:eastAsia="Times New Roman" w:hAnsi="Times New Roman"/>
          <w:sz w:val="17"/>
          <w:szCs w:val="17"/>
          <w:color w:val="auto"/>
        </w:rPr>
        <w:t>” means Baupost Private Investments A-1, L.L.C., Baupost Private Investments B-1, L.L.C., Baupost Private Investments C-1, L.L.C., Baupost Private Investments P-1, L.L.C., Baupost Private Investments Y-1, L.L.C., Baupost Private Investments BVI-1, L.L.C., Baupost Private Investments BVII-1, L.L.C., Baupost Private Investments BVIII-1, L.L.C., and Baupost Private Investments BVIV-1, L.L.C., collectively.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xml:space="preserve">” means the capital account maintained by the Company for each Member as described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Contribution</w:t>
      </w:r>
      <w:r>
        <w:rPr>
          <w:rFonts w:ascii="Times New Roman" w:cs="Times New Roman" w:eastAsia="Times New Roman" w:hAnsi="Times New Roman"/>
          <w:sz w:val="18"/>
          <w:szCs w:val="18"/>
          <w:color w:val="auto"/>
        </w:rPr>
        <w:t>” means, for any Member, all cash and the agreed fair market value of the property contributed by the Member to the Company.</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Transaction</w:t>
      </w:r>
      <w:r>
        <w:rPr>
          <w:rFonts w:ascii="Times New Roman" w:cs="Times New Roman" w:eastAsia="Times New Roman" w:hAnsi="Times New Roman"/>
          <w:sz w:val="18"/>
          <w:szCs w:val="18"/>
          <w:color w:val="auto"/>
        </w:rPr>
        <w:t>” means any dissolution, winding up or liquidation of the Company or any subsidiary or any sale or other disposition of all or substantially all of the assets of the Company or any subsidiary in a single transaction or an integrated series of transactions entered into with the intent of disposing of all or substantially all of the assets of the Company or any subsidiary, including by way of merger or consolidation of the Company with or into any other entity.</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Transaction Proceeds</w:t>
      </w:r>
      <w:r>
        <w:rPr>
          <w:rFonts w:ascii="Times New Roman" w:cs="Times New Roman" w:eastAsia="Times New Roman" w:hAnsi="Times New Roman"/>
          <w:sz w:val="18"/>
          <w:szCs w:val="18"/>
          <w:color w:val="auto"/>
        </w:rPr>
        <w:t>” means the net amounts received resulting from any Capital Transactions after deducting (a) all costs and expenses of the Company directly related to the Capital Transaction, (b) the amount (if any) to discharge all debts and obligations of the Company required to be paid as a result of the Capital Transaction, and (c) any reasonable reserves that are required for the fixed, contingent or future liabilities or obligations of the Company.</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(i) a merger or consolidation with a Person or Persons in which (A) the Company is a constituent party or (B) a subsidiary of the Company is a constituent party and the Company issues equity ownership interests pursuant to such merger or consolidation, except any such merger or consolidation in which the equity ownership interests of the Company outstanding immediately prior to such merger or consolidation continue to represent, or are converted into or exchanged for shares of equity securities that represent, immediately following such merger or consolidation, at least a majority, by voting power, of the equity ownership of the surviving or resulting entity (or the ultimate parent entity of such surviving or resulting entity) or (ii) (1) the sale, lease, transfer, exclusive license or other disposition, in a single transaction or series of related transactions, by the Company or any subsidiary of the Company of all or substantially all the assets of the Company and its subsidiaries taken as a whole, or (2) the sale or disposition (whether by merger, consolidation or otherwise, and whether in a single transaction or a series of related transactions)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“Company Distributions” </w:t>
      </w:r>
      <w:r>
        <w:rPr>
          <w:rFonts w:ascii="Times New Roman" w:cs="Times New Roman" w:eastAsia="Times New Roman" w:hAnsi="Times New Roman"/>
          <w:sz w:val="18"/>
          <w:szCs w:val="18"/>
          <w:color w:val="auto"/>
        </w:rPr>
        <w:t>means Proceeds Available for Distribution and distributed Capital Transaction Proceeds.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Notice</w:t>
      </w:r>
      <w:r>
        <w:rPr>
          <w:rFonts w:ascii="Times New Roman" w:cs="Times New Roman" w:eastAsia="Times New Roman" w:hAnsi="Times New Roman"/>
          <w:sz w:val="18"/>
          <w:szCs w:val="18"/>
          <w:color w:val="auto"/>
        </w:rPr>
        <w:t>” means written notice from the Company notifying the selling Member that the Company intends to exercise its Right of First Refusal as to some or all of the Transfer Units with respect to any Proposed Member Transfer.</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documents and information, whether written or oral (including, without limitation, confidential and proprietary information with respect to customers, sales, marketing, production, costs, business operations and assets), of the Company.</w:t>
      </w:r>
    </w:p>
    <w:p>
      <w:pPr>
        <w:spacing w:after="0" w:line="15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of a Person means the possession, direct or indirect, of the power to vote in excess of 50% of the voting power of such Person, to appoint the majority of the managers, general partners or the equivalent of such Person, or to direct or cause the direction of the management and policies of such Person (e.g., as managing member or in a similar capacity but not including an advisory or management agreement (in the case of a managed account)).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Cowen</w:t>
      </w:r>
      <w:r>
        <w:rPr>
          <w:rFonts w:ascii="Times New Roman" w:cs="Times New Roman" w:eastAsia="Times New Roman" w:hAnsi="Times New Roman"/>
          <w:sz w:val="18"/>
          <w:szCs w:val="18"/>
          <w:color w:val="auto"/>
        </w:rPr>
        <w:t>” means Cowen Healthcare Investments II LP, CHI EF II LP, Cowen Healthcare Investments III, LP and CHI EF III LP, collectively.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means a member of the Company’s Board of Directors.</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Economic Capital Account</w:t>
      </w:r>
      <w:r>
        <w:rPr>
          <w:rFonts w:ascii="Times New Roman" w:cs="Times New Roman" w:eastAsia="Times New Roman" w:hAnsi="Times New Roman"/>
          <w:sz w:val="18"/>
          <w:szCs w:val="18"/>
          <w:color w:val="auto"/>
        </w:rPr>
        <w:t>” means, with respect to any Member, such Member’s Capital Account balance as of the date of determination, after crediting to such Capital Account any amounts that the Member is deemed obligated to restore under Treasury Regulations Section 1.704-2.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Eventide</w:t>
      </w:r>
      <w:r>
        <w:rPr>
          <w:rFonts w:ascii="Times New Roman" w:cs="Times New Roman" w:eastAsia="Times New Roman" w:hAnsi="Times New Roman"/>
          <w:sz w:val="18"/>
          <w:szCs w:val="18"/>
          <w:color w:val="auto"/>
        </w:rPr>
        <w:t>” means Mutual Fund Series Trust, On Behalf Of Eventide Healthcare &amp; Life Sciences Fund, together with their Affiliates.</w:t>
      </w:r>
    </w:p>
    <w:p>
      <w:pPr>
        <w:spacing w:after="0" w:line="225"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Exempted Securities</w:t>
      </w:r>
      <w:r>
        <w:rPr>
          <w:rFonts w:ascii="Times New Roman" w:cs="Times New Roman" w:eastAsia="Times New Roman" w:hAnsi="Times New Roman"/>
          <w:sz w:val="17"/>
          <w:szCs w:val="17"/>
          <w:color w:val="auto"/>
        </w:rPr>
        <w:t>” shall mean: (i) Non-Voting Incentive Units or Options issued pursuant to an employee unit or option plan approved by the Board of Directors; or (ii) Units issued to banks, equipment lessors or other financial institutions, or to real property lessors, pursuant to a debt financing, equipment leasing or real property leasing transaction approved by the Board of Directors (including at least two (2) Preferred Directors).</w:t>
      </w:r>
    </w:p>
    <w:p>
      <w:pPr>
        <w:spacing w:after="0" w:line="15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as of the date of determination, the cash price (as determined in the reasonable discretion of the Board of Directors) at which a willing seller would sell, and a willing buyer would buy, each being apprised of all relevant facts and neither acting under compulsion, such asset in an arm’s-length negotiated transaction with an unaffiliated third party without time constraints.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Foresite</w:t>
      </w:r>
      <w:r>
        <w:rPr>
          <w:rFonts w:ascii="Times New Roman" w:cs="Times New Roman" w:eastAsia="Times New Roman" w:hAnsi="Times New Roman"/>
          <w:sz w:val="18"/>
          <w:szCs w:val="18"/>
          <w:color w:val="auto"/>
        </w:rPr>
        <w:t>” means Foresite Capital Fund V, L.P., together with its Affiliates.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66" w:right="479" w:bottom="1440" w:gutter="0" w:footer="0" w:header="0"/>
        </w:sectPr>
      </w:pPr>
    </w:p>
    <w:bookmarkStart w:id="385" w:name="page386"/>
    <w:bookmarkEnd w:id="38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Lead Directors</w:t>
      </w:r>
      <w:r>
        <w:rPr>
          <w:rFonts w:ascii="Times New Roman" w:cs="Times New Roman" w:eastAsia="Times New Roman" w:hAnsi="Times New Roman"/>
          <w:sz w:val="18"/>
          <w:szCs w:val="18"/>
          <w:color w:val="auto"/>
        </w:rPr>
        <w:t>” means the Series B Director, the F2 Director and the OIF Director.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any holder of Units of the Company.</w:t>
      </w:r>
    </w:p>
    <w:p>
      <w:pPr>
        <w:spacing w:after="0" w:line="225"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xml:space="preserve">” means any equity securities (or securities exercisable for or convertible into equity securities) of any kind or class issued by the Company after the date hereof, including Preferred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shall constitute New Securities for any purpose hereunder: (i) Non-Voting Incentive Units; (ii) Preferred Units issued pursuant to the Purchase Agreement; or (iii) Exempted Securities.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shall mean rights, options or warrants to subscribe for, purchase or otherwise acquire Units or convertible securities.</w:t>
      </w:r>
    </w:p>
    <w:p>
      <w:pPr>
        <w:spacing w:after="0" w:line="225"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shall mean (i) for the Series Seed Preferred Units, October 17, 2016, (ii) for the Series A1 Preferred Units, April 28, 2017, (iii) for the Series B Preferred Units, October 4, 2019 and (iv) for the Series C Preferred Units, December 16, 2020.</w:t>
      </w:r>
    </w:p>
    <w:p>
      <w:pPr>
        <w:spacing w:after="0" w:line="15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Percentage Interest</w:t>
      </w:r>
      <w:r>
        <w:rPr>
          <w:rFonts w:ascii="Times New Roman" w:cs="Times New Roman" w:eastAsia="Times New Roman" w:hAnsi="Times New Roman"/>
          <w:sz w:val="18"/>
          <w:szCs w:val="18"/>
          <w:color w:val="auto"/>
        </w:rPr>
        <w:t xml:space="preserve">” of each Member at any time shall mean (i) the sum of (A) the number of Preferred Units held by such Member multiplied by the applicable Adjustment Ratio in effect at such time, (B) the number of Common Units held by such Member at such time (other than Common Units that are unvested at such time), and (C) the number of Non-Voting Incentive Units held by such Member at such time (other than Non-Voting Incentive Units that are unvested at such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sum of (A) the number of Preferred Units then outstanding multiplied by the applicable Adjustment Ratio in effect at such time, (B) the number of Common Units then outstanding at such time (other than Common Units that are unvested at such time), and (C) the number of Non-Voting Incentive Units held by such Member at such time (other than Non-Voting Incentive Units that are unvested at such time).</w:t>
      </w:r>
    </w:p>
    <w:p>
      <w:pPr>
        <w:spacing w:after="0" w:line="183"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firm, joint venture, association, joint-stock company, trust, estate, unincorporated organization, governmental or regulatory body or other entity.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Member</w:t>
      </w:r>
      <w:r>
        <w:rPr>
          <w:rFonts w:ascii="Times New Roman" w:cs="Times New Roman" w:eastAsia="Times New Roman" w:hAnsi="Times New Roman"/>
          <w:sz w:val="18"/>
          <w:szCs w:val="18"/>
          <w:color w:val="auto"/>
        </w:rPr>
        <w:t>” means any Member holding Preferred Units.</w:t>
      </w:r>
    </w:p>
    <w:p>
      <w:pPr>
        <w:spacing w:after="0" w:line="225" w:lineRule="exact"/>
        <w:rPr>
          <w:sz w:val="20"/>
          <w:szCs w:val="20"/>
          <w:color w:val="auto"/>
        </w:rPr>
      </w:pPr>
    </w:p>
    <w:p>
      <w:pPr>
        <w:ind w:left="4"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Member Notice</w:t>
      </w:r>
      <w:r>
        <w:rPr>
          <w:rFonts w:ascii="Times New Roman" w:cs="Times New Roman" w:eastAsia="Times New Roman" w:hAnsi="Times New Roman"/>
          <w:sz w:val="18"/>
          <w:szCs w:val="18"/>
          <w:color w:val="auto"/>
        </w:rPr>
        <w:t>” means written notice from a Preferred Member notifying the Company and the selling Member that such Preferred Member intends to exercise its Secondary Refusal Right as to a portion of the Transfer Units with respect to any Proposed Transfer.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Unit Preference Amount</w:t>
      </w:r>
      <w:r>
        <w:rPr>
          <w:rFonts w:ascii="Times New Roman" w:cs="Times New Roman" w:eastAsia="Times New Roman" w:hAnsi="Times New Roman"/>
          <w:sz w:val="18"/>
          <w:szCs w:val="18"/>
          <w:color w:val="auto"/>
        </w:rPr>
        <w:t>” means, (i) in respect of each Series Seed Preferred Unit, the sum of (a) the Series Seed Original Issue Price plus</w:t>
      </w:r>
    </w:p>
    <w:p>
      <w:pPr>
        <w:spacing w:after="0" w:line="31" w:lineRule="exact"/>
        <w:rPr>
          <w:sz w:val="20"/>
          <w:szCs w:val="20"/>
          <w:color w:val="auto"/>
        </w:rPr>
      </w:pPr>
    </w:p>
    <w:p>
      <w:pPr>
        <w:ind w:left="4" w:right="80" w:hanging="4"/>
        <w:spacing w:after="0" w:line="253" w:lineRule="auto"/>
        <w:tabs>
          <w:tab w:leader="none" w:pos="25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Seed Accrued Dividend plus (c) any other dividends declared but unpaid thereon, (ii) in respect of each Series A1 Preferred Unit, the sum of (a) the Series A1 Original Issue Price plus (b) the Series A1 Accrued Dividend plus (c) any other dividends declared but unpaid thereon, (iii) in respect of each Series B Preferred Unit, the sum of (a) the Series B Original Issue Price plus (b) the Series B Accrued Dividends plus (c) any other dividends declared but unpaid thereon, and (iv) in respect of each Series C Preferred Unit, the sum of (a) the Series C Original Issue Price plus (b) the Series C Accrued Dividends plus (c) any other dividends declared but unpaid thereon.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66" w:right="459" w:bottom="1440" w:gutter="0" w:footer="0" w:header="0"/>
        </w:sectPr>
      </w:pPr>
    </w:p>
    <w:bookmarkStart w:id="386" w:name="page387"/>
    <w:bookmarkEnd w:id="386"/>
    <w:p>
      <w:pPr>
        <w:ind w:right="4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Proceeds Available for Distribution</w:t>
      </w:r>
      <w:r>
        <w:rPr>
          <w:rFonts w:ascii="Times New Roman" w:cs="Times New Roman" w:eastAsia="Times New Roman" w:hAnsi="Times New Roman"/>
          <w:sz w:val="18"/>
          <w:szCs w:val="18"/>
          <w:color w:val="auto"/>
        </w:rPr>
        <w:t>” means all cash amounts received (excluding proceeds from Capital Contributions and Capital Transaction Proceeds) after deduction for payments of operating expenses, other cash expenditures, and any amounts set aside for the restoration, increase or creation of reasonable reserves.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means any assignment, sale, offer to sell, pledge, mortgage, hypothecation, encumbrance, disposition of or any other like transfer or encumbering of any Transfer Units (or any interest therein) proposed by any of the Members holding Common Units.</w:t>
      </w:r>
    </w:p>
    <w:p>
      <w:pPr>
        <w:spacing w:after="0" w:line="15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Transfer Notice</w:t>
      </w:r>
      <w:r>
        <w:rPr>
          <w:rFonts w:ascii="Times New Roman" w:cs="Times New Roman" w:eastAsia="Times New Roman" w:hAnsi="Times New Roman"/>
          <w:sz w:val="18"/>
          <w:szCs w:val="18"/>
          <w:color w:val="auto"/>
        </w:rPr>
        <w:t>” means written notice from a Member holding Common Units setting forth the terms and conditions of a Proposed Transfer.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Transferee</w:t>
      </w:r>
      <w:r>
        <w:rPr>
          <w:rFonts w:ascii="Times New Roman" w:cs="Times New Roman" w:eastAsia="Times New Roman" w:hAnsi="Times New Roman"/>
          <w:sz w:val="18"/>
          <w:szCs w:val="18"/>
          <w:color w:val="auto"/>
        </w:rPr>
        <w:t>” means the prospective purchaser or transferee of the Transfer Units.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Series B Preferred Unit Purchase Agreement, by and among the Company and certain Members party thereto, dated as of the date hereof, as may be amended from time to time.</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Preferred Holders</w:t>
      </w:r>
      <w:r>
        <w:rPr>
          <w:rFonts w:ascii="Times New Roman" w:cs="Times New Roman" w:eastAsia="Times New Roman" w:hAnsi="Times New Roman"/>
          <w:sz w:val="18"/>
          <w:szCs w:val="18"/>
          <w:color w:val="auto"/>
        </w:rPr>
        <w:t>” means the Members holding at least seventy-five (75%) of the outstanding Preferred Units, voting together as a single class.</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Revised Audit Procedures</w:t>
      </w:r>
      <w:r>
        <w:rPr>
          <w:rFonts w:ascii="Times New Roman" w:cs="Times New Roman" w:eastAsia="Times New Roman" w:hAnsi="Times New Roman"/>
          <w:sz w:val="18"/>
          <w:szCs w:val="18"/>
          <w:color w:val="auto"/>
        </w:rPr>
        <w:t>” means the partnership audit rules enacted under Section 1101 of the Bipartisan Budget Act of 2015 and any analogous state or local law.</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Co-Sale</w:t>
      </w:r>
      <w:r>
        <w:rPr>
          <w:rFonts w:ascii="Times New Roman" w:cs="Times New Roman" w:eastAsia="Times New Roman" w:hAnsi="Times New Roman"/>
          <w:sz w:val="18"/>
          <w:szCs w:val="18"/>
          <w:color w:val="auto"/>
        </w:rPr>
        <w:t>” means the right, but not an obligation, of a Preferred Member to participate in a Proposed Transfer on the terms and conditions specified in the Proposed Transfer Notice.</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xml:space="preserve">” means the right, but not an obligation, of the Company, or its permitted transferees or assigns, to purchase some or all of the Transfer Units with respect to a Proposed Transfer pursuant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on the terms and conditions specified in the Transfer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Rock Springs</w:t>
      </w:r>
      <w:r>
        <w:rPr>
          <w:rFonts w:ascii="Times New Roman" w:cs="Times New Roman" w:eastAsia="Times New Roman" w:hAnsi="Times New Roman"/>
          <w:sz w:val="18"/>
          <w:szCs w:val="18"/>
          <w:color w:val="auto"/>
        </w:rPr>
        <w:t>” means Rock Springs Capital Master Fund LP and Four Pines Master Fund LP, together with their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506(d) Related Party</w:t>
      </w:r>
      <w:r>
        <w:rPr>
          <w:rFonts w:ascii="Times New Roman" w:cs="Times New Roman" w:eastAsia="Times New Roman" w:hAnsi="Times New Roman"/>
          <w:sz w:val="18"/>
          <w:szCs w:val="18"/>
          <w:color w:val="auto"/>
        </w:rPr>
        <w:t>” means a person or entity covered by the “Bad Actor disqualification” provision of Rule 506(d) of the Securities Act.</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Secondary Notice</w:t>
      </w:r>
      <w:r>
        <w:rPr>
          <w:rFonts w:ascii="Times New Roman" w:cs="Times New Roman" w:eastAsia="Times New Roman" w:hAnsi="Times New Roman"/>
          <w:sz w:val="18"/>
          <w:szCs w:val="18"/>
          <w:color w:val="auto"/>
        </w:rPr>
        <w:t>” means written notice from the Company notifying the Preferred Members and the selling Member that the Company does not intend to exercise its Right of First Refusal as to all Transfer Units with respect to any Proposed Transfer.</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Secondary Refusal Right</w:t>
      </w:r>
      <w:r>
        <w:rPr>
          <w:rFonts w:ascii="Times New Roman" w:cs="Times New Roman" w:eastAsia="Times New Roman" w:hAnsi="Times New Roman"/>
          <w:sz w:val="18"/>
          <w:szCs w:val="18"/>
          <w:color w:val="auto"/>
        </w:rPr>
        <w:t xml:space="preserve">” means the right, but not an obligation, of each Preferred Member to purchase up to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any Transfer Units not purchased pursuant to the Right of First Refusal, on the terms and conditions specified in the Proposed Transfer Notice.</w:t>
      </w:r>
    </w:p>
    <w:p>
      <w:pPr>
        <w:spacing w:after="0" w:line="155" w:lineRule="exact"/>
        <w:rPr>
          <w:sz w:val="20"/>
          <w:szCs w:val="20"/>
          <w:color w:val="auto"/>
        </w:rPr>
      </w:pPr>
    </w:p>
    <w:p>
      <w:pPr>
        <w:ind w:right="48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Series A1 Accrued Dividend</w:t>
      </w:r>
      <w:r>
        <w:rPr>
          <w:rFonts w:ascii="Times New Roman" w:cs="Times New Roman" w:eastAsia="Times New Roman" w:hAnsi="Times New Roman"/>
          <w:sz w:val="17"/>
          <w:szCs w:val="17"/>
          <w:color w:val="auto"/>
        </w:rPr>
        <w:t>” means, from and after the Original Issue Date of the Series A1 Preferred Units, a cumulative, non-compounding dividend accruing at the rate per annum of 6% of the Unpaid Series A1 Original Issue Price per Series A1 Preferred Unit, subject to appropriate</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20"/>
          </w:cols>
          <w:pgMar w:left="440" w:top="266" w:right="539" w:bottom="1440" w:gutter="0" w:footer="0" w:header="0"/>
        </w:sectPr>
      </w:pPr>
    </w:p>
    <w:bookmarkStart w:id="387" w:name="page388"/>
    <w:bookmarkEnd w:id="38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adjustment in the event of any Unit splits, combination or other recapitalization or reclassification; provided, however, that such divided shall only accrue until such time as the Unpaid Preferred Unit Preference Amount for such Preferred Unit has been reduced to zero. “Unpaid Series A1 Original Issue Price” shall mean the Series A1 Original Issue Price reduced by all payments made with respect to each Series A1 Preferred Unit pursuant to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other than payments of Series A1 Accrued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A1 Original Issue Price</w:t>
      </w:r>
      <w:r>
        <w:rPr>
          <w:rFonts w:ascii="Times New Roman" w:cs="Times New Roman" w:eastAsia="Times New Roman" w:hAnsi="Times New Roman"/>
          <w:sz w:val="18"/>
          <w:szCs w:val="18"/>
          <w:color w:val="auto"/>
        </w:rPr>
        <w:t>” means $1.00.</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B Accrued Dividend</w:t>
      </w:r>
      <w:r>
        <w:rPr>
          <w:rFonts w:ascii="Times New Roman" w:cs="Times New Roman" w:eastAsia="Times New Roman" w:hAnsi="Times New Roman"/>
          <w:sz w:val="18"/>
          <w:szCs w:val="18"/>
          <w:color w:val="auto"/>
        </w:rPr>
        <w:t xml:space="preserve">” means, from and after the Original Issue Date of the Series B Preferred Units, a cumulative, non-compounding dividend accruing at the rate per annum of 6% of the Unpaid Series B Original Issue Price per Series B Preferred Unit, subject to appropriate adjustment in the event of any Unit splits, combination or other recapitalization or reclassification; provided, however, that such divided shall only accrue until such time as the Unpaid Preferred Unit Preference Amount for such Preferred Unit has been reduced to zero. “Unpaid Series B Original Issue Price” shall mean the Series B Original Issue Price reduced by all payments made with respect to each Series B Preferred Unit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other than payments of Series B Accrued Dividends.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B Original Issue Price</w:t>
      </w:r>
      <w:r>
        <w:rPr>
          <w:rFonts w:ascii="Times New Roman" w:cs="Times New Roman" w:eastAsia="Times New Roman" w:hAnsi="Times New Roman"/>
          <w:sz w:val="18"/>
          <w:szCs w:val="18"/>
          <w:color w:val="auto"/>
        </w:rPr>
        <w:t>” means $1.56.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B Vote</w:t>
      </w:r>
      <w:r>
        <w:rPr>
          <w:rFonts w:ascii="Times New Roman" w:cs="Times New Roman" w:eastAsia="Times New Roman" w:hAnsi="Times New Roman"/>
          <w:sz w:val="18"/>
          <w:szCs w:val="18"/>
          <w:color w:val="auto"/>
        </w:rPr>
        <w:t>” means Members holding at least a majority of the outstanding Series B Preferred Units.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Accrued Dividend</w:t>
      </w:r>
      <w:r>
        <w:rPr>
          <w:rFonts w:ascii="Times New Roman" w:cs="Times New Roman" w:eastAsia="Times New Roman" w:hAnsi="Times New Roman"/>
          <w:sz w:val="18"/>
          <w:szCs w:val="18"/>
          <w:color w:val="auto"/>
        </w:rPr>
        <w:t xml:space="preserve">” means, from and after the Original Issue Date of the Series C Preferred Units, a cumulative, non-compounding dividend accruing at the rate per annum of 6% of the Unpaid Series C Original Issue Price per Series C Preferred Unit, subject to appropriate adjustment in the event of any Unit splits, combination or other recapitalization or reclassification; provided, however, that such divided shall only accrue until such time as the Unpaid Preferred Unit Preference Amount for such Preferred Unit has been reduced to zero. “Unpaid Series C Original Issue Price” shall mean the Series C Original Issue Price reduced by all payments made with respect to each Series C Preferred Unit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other than payments of Series C Accrued Dividends.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Original Issue Price</w:t>
      </w:r>
      <w:r>
        <w:rPr>
          <w:rFonts w:ascii="Times New Roman" w:cs="Times New Roman" w:eastAsia="Times New Roman" w:hAnsi="Times New Roman"/>
          <w:sz w:val="18"/>
          <w:szCs w:val="18"/>
          <w:color w:val="auto"/>
        </w:rPr>
        <w:t>” means $1.97.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Vote</w:t>
      </w:r>
      <w:r>
        <w:rPr>
          <w:rFonts w:ascii="Times New Roman" w:cs="Times New Roman" w:eastAsia="Times New Roman" w:hAnsi="Times New Roman"/>
          <w:sz w:val="18"/>
          <w:szCs w:val="18"/>
          <w:color w:val="auto"/>
        </w:rPr>
        <w:t>” means Members holding at least a majority of the outstanding Series C Preferred Units.</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Seed Accrued Dividend</w:t>
      </w:r>
      <w:r>
        <w:rPr>
          <w:rFonts w:ascii="Times New Roman" w:cs="Times New Roman" w:eastAsia="Times New Roman" w:hAnsi="Times New Roman"/>
          <w:sz w:val="18"/>
          <w:szCs w:val="18"/>
          <w:color w:val="auto"/>
        </w:rPr>
        <w:t>” means, from and after the Original Issue Date of the Series Seed Preferred Units, a cumulative, non-compounding dividend accruing at the rate per annum of 6% of the Unpaid Series Seed Original Issue Price per Series Seed Preferred Unit, subject to appropriate adjustment in the event of any Unit splits, combination or other recapitalization or reclassification; provided, however, that such divided shall only accrue until such time as the Unpaid Preferred Unit Preference Amount for such Preferred Unit has been reduced to zero. “Unpaid Series Seed Original Issue Price” shall mean the Series Seed Original Issue Price reduced by all payments made with respect to each Series Seed Preferred Unit pursuant to Section 8.01(b)(ii) other than payments of Series Seed Accrued Dividends.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440" w:top="270" w:right="53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Series Seed Original Issue Price</w:t>
      </w:r>
      <w:r>
        <w:rPr>
          <w:rFonts w:ascii="Times New Roman" w:cs="Times New Roman" w:eastAsia="Times New Roman" w:hAnsi="Times New Roman"/>
          <w:sz w:val="18"/>
          <w:szCs w:val="18"/>
          <w:color w:val="auto"/>
        </w:rPr>
        <w:t>” means $0.25.</w:t>
      </w:r>
    </w:p>
    <w:p>
      <w:pPr>
        <w:spacing w:after="0" w:line="225"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 Balance</w:t>
      </w:r>
      <w:r>
        <w:rPr>
          <w:rFonts w:ascii="Times New Roman" w:cs="Times New Roman" w:eastAsia="Times New Roman" w:hAnsi="Times New Roman"/>
          <w:sz w:val="17"/>
          <w:szCs w:val="17"/>
          <w:color w:val="auto"/>
        </w:rPr>
        <w:t>” means, with respect to any Member as of the close of any period for which allocations are made under ARTICLE VII, the amount such Member would receive (or be required to contribute) in a hypothetical liquidation of the Company as of the close of such period, assuming for purposes of any hypothetical liquidation (i) a sale of all of the assets of the Company at prices equal to their then book values (as maintained by the Company for purposes of, and as maintained pursuant to, the capital account maintenance provisions of Treasury Regulations Sections</w:t>
      </w:r>
    </w:p>
    <w:p>
      <w:pPr>
        <w:ind w:right="160"/>
        <w:spacing w:after="0" w:line="253" w:lineRule="auto"/>
        <w:rPr>
          <w:sz w:val="20"/>
          <w:szCs w:val="20"/>
          <w:color w:val="auto"/>
        </w:rPr>
      </w:pPr>
      <w:r>
        <w:rPr>
          <w:rFonts w:ascii="Times New Roman" w:cs="Times New Roman" w:eastAsia="Times New Roman" w:hAnsi="Times New Roman"/>
          <w:sz w:val="18"/>
          <w:szCs w:val="18"/>
          <w:color w:val="auto"/>
        </w:rPr>
        <w:t>1.704-1(b)(2)(iv)), and (ii) the distribution of the net proceeds thereof to the Members pursuant to the provisions of Section 8.01 (after the payment of all actual Company indebtedness, and any other liabilities related to the Company’s assets, limited, in the case of non-recourse liabilities, to the collateral securing or otherwise available to satisfy such liabilities) treating all outstanding unvested Non-Voting Incentive Units and any unvested Common Units for which an election was made under Section 83(b) of the Code as vested Non-Voting Incentive Units in compliance with the requirements of Section 4.01 of IRS Revenue Procedure 2001-43.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“Transferring Member” </w:t>
      </w:r>
      <w:r>
        <w:rPr>
          <w:rFonts w:ascii="Times New Roman" w:cs="Times New Roman" w:eastAsia="Times New Roman" w:hAnsi="Times New Roman"/>
          <w:sz w:val="18"/>
          <w:szCs w:val="18"/>
          <w:color w:val="auto"/>
        </w:rPr>
        <w:t>means a Member that proposes to transfer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“Transfer Notice” </w:t>
      </w:r>
      <w:r>
        <w:rPr>
          <w:rFonts w:ascii="Times New Roman" w:cs="Times New Roman" w:eastAsia="Times New Roman" w:hAnsi="Times New Roman"/>
          <w:sz w:val="18"/>
          <w:szCs w:val="18"/>
          <w:color w:val="auto"/>
        </w:rPr>
        <w:t>written notice that the Transferring Member gives of a proposed Transfer.</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Units</w:t>
      </w:r>
      <w:r>
        <w:rPr>
          <w:rFonts w:ascii="Times New Roman" w:cs="Times New Roman" w:eastAsia="Times New Roman" w:hAnsi="Times New Roman"/>
          <w:sz w:val="18"/>
          <w:szCs w:val="18"/>
          <w:color w:val="auto"/>
        </w:rPr>
        <w:t>” means Common Units or vested Non-Voting Incentive Units, as applicable, owned by a Member, or issued to a Member after the date hereof (including, without limitation, in connection with any unit split, recapitalization, reorganization, or the like).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w:t>
      </w:r>
      <w:r>
        <w:rPr>
          <w:rFonts w:ascii="Times New Roman" w:cs="Times New Roman" w:eastAsia="Times New Roman" w:hAnsi="Times New Roman"/>
          <w:sz w:val="18"/>
          <w:szCs w:val="18"/>
          <w:color w:val="auto"/>
        </w:rPr>
        <w:t>” means a regulation issued by the United States Department of the Treasury and relating to a matter arising under the Code.</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 Deemed Outstanding</w:t>
      </w:r>
      <w:r>
        <w:rPr>
          <w:rFonts w:ascii="Times New Roman" w:cs="Times New Roman" w:eastAsia="Times New Roman" w:hAnsi="Times New Roman"/>
          <w:sz w:val="18"/>
          <w:szCs w:val="18"/>
          <w:color w:val="auto"/>
        </w:rPr>
        <w:t>” shall mean, at any time, the sum of (a) the number of Series Seed Preferred Units outstanding at such time multiplied by the Adjustment Ratio applicable to the Series Seed Preferred Units then in effect, (b) the number of Series A1 Preferred Units outstanding at such time multiplied by the Adjustment Ratio applicable to the Series A1 Preferred Units then in effect, (c) the number of Series B Preferred Units outstanding at such time multiplied by the Adjustment Ratio applicable to the Series B Preferred Units then in effect, (d) the number of Series C Preferred Units outstanding at such time multiplied by the Adjustment Ratio applicable to the Series C Preferred Units then in effect, and (e) all other Units then outstanding (including Non-Voting Incentive Units, whether or not vested, and Units issuable upon exercise of Options).</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Preferred Unit Preference Amount</w:t>
      </w:r>
      <w:r>
        <w:rPr>
          <w:rFonts w:ascii="Times New Roman" w:cs="Times New Roman" w:eastAsia="Times New Roman" w:hAnsi="Times New Roman"/>
          <w:sz w:val="18"/>
          <w:szCs w:val="18"/>
          <w:color w:val="auto"/>
        </w:rPr>
        <w:t xml:space="preserve">” means, with respect to a Preferred Unit at a particular time of determination, the excess of (i) the Preferred Unit Preference Amount for such Preferred Unit, reduced, but not below zero dollars ($0), by (ii) the aggregate amount of distributions made with respect to such Preferred Unit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8.01(b)(ii)</w:t>
      </w:r>
      <w:r>
        <w:rPr>
          <w:rFonts w:ascii="Times New Roman" w:cs="Times New Roman" w:eastAsia="Times New Roman" w:hAnsi="Times New Roman"/>
          <w:sz w:val="18"/>
          <w:szCs w:val="18"/>
          <w:color w:val="auto"/>
        </w:rPr>
        <w:t xml:space="preserve"> as applicable.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66" w:right="519"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left="400"/>
        <w:spacing w:after="0"/>
        <w:tabs>
          <w:tab w:leader="none" w:pos="960" w:val="left"/>
        </w:tabs>
        <w:rPr>
          <w:sz w:val="20"/>
          <w:szCs w:val="20"/>
          <w:color w:val="auto"/>
        </w:rPr>
      </w:pPr>
      <w:r>
        <w:rPr>
          <w:rFonts w:ascii="Times New Roman" w:cs="Times New Roman" w:eastAsia="Times New Roman" w:hAnsi="Times New Roman"/>
          <w:sz w:val="18"/>
          <w:szCs w:val="18"/>
          <w:color w:val="auto"/>
        </w:rPr>
        <w:t>13.01</w:t>
      </w:r>
      <w:r>
        <w:rPr>
          <w:sz w:val="20"/>
          <w:szCs w:val="20"/>
          <w:color w:val="auto"/>
        </w:rPr>
        <w:tab/>
      </w:r>
      <w:r>
        <w:rPr>
          <w:rFonts w:ascii="Times New Roman" w:cs="Times New Roman" w:eastAsia="Times New Roman" w:hAnsi="Times New Roman"/>
          <w:sz w:val="17"/>
          <w:szCs w:val="17"/>
          <w:u w:val="single" w:color="auto"/>
          <w:color w:val="auto"/>
        </w:rPr>
        <w:t>Offset and Withholding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0" w:firstLine="987"/>
        <w:spacing w:after="0" w:line="253" w:lineRule="auto"/>
        <w:tabs>
          <w:tab w:leader="none" w:pos="132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be entitled to make payments with respect to any Member in amounts required to discharge any obligation of the Company to withhold from a distribution or make payments to any governmental authority with respect to any foreign, federal, state or local tax liability of such Member arising as a result of such Member’s interest in the Company (a “</w:t>
      </w:r>
      <w:r>
        <w:rPr>
          <w:rFonts w:ascii="Times New Roman" w:cs="Times New Roman" w:eastAsia="Times New Roman" w:hAnsi="Times New Roman"/>
          <w:sz w:val="18"/>
          <w:szCs w:val="18"/>
          <w:b w:val="1"/>
          <w:bCs w:val="1"/>
          <w:color w:val="auto"/>
        </w:rPr>
        <w:t>Withholding Payment</w:t>
      </w:r>
      <w:r>
        <w:rPr>
          <w:rFonts w:ascii="Times New Roman" w:cs="Times New Roman" w:eastAsia="Times New Roman" w:hAnsi="Times New Roman"/>
          <w:sz w:val="18"/>
          <w:szCs w:val="18"/>
          <w:color w:val="auto"/>
        </w:rPr>
        <w:t>”). Any Withholding Payment made from funds withheld upon a distribution will be treated as distributed to such Member for all purposes of this Agreement to the extent that such Withholding Payment is attributable to the tax status of such Member. Any other Withholding Payment attributable to the tax status of a Member and that is not reimbursed by such Member within thirty (30) days following notice by the Company to such Member of such Withholding Payment will be deemed to be a recourse loan by the Company to the relevant Member. The amount of Withholding Payment treated as a loan, plus interest thereon from the date of each such Withholding Payment until such amount is repaid to the Company at an interest rate of six percent (6%) per annum, shall be repaid to the Company upon demand by the Company and may be repaid by the relevant Member at any time; provided, however, that in the Board of Directors’ sole discretion, any such amount may be repaid by deduction from any distributions payable to such Member pursuant to this Agreement (with such deduction treated as an amount distributed to the Member) as determined by the Board of Directors in its sole discretion.</w:t>
      </w:r>
    </w:p>
    <w:p>
      <w:pPr>
        <w:spacing w:after="0" w:line="191" w:lineRule="exact"/>
        <w:rPr>
          <w:rFonts w:ascii="Times New Roman" w:cs="Times New Roman" w:eastAsia="Times New Roman" w:hAnsi="Times New Roman"/>
          <w:sz w:val="18"/>
          <w:szCs w:val="18"/>
          <w:color w:val="auto"/>
        </w:rPr>
      </w:pPr>
    </w:p>
    <w:p>
      <w:pPr>
        <w:ind w:left="-40" w:firstLine="987"/>
        <w:spacing w:after="0" w:line="252" w:lineRule="auto"/>
        <w:tabs>
          <w:tab w:leader="none" w:pos="133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imputed underpayment within the meaning of Code Section 6225 paid (or payable) by the Company as a result of an adjustment with respect to any Company item, including any interest or penalties with respect to any such adjustment (collectively, an “</w:t>
      </w:r>
      <w:r>
        <w:rPr>
          <w:rFonts w:ascii="Times New Roman" w:cs="Times New Roman" w:eastAsia="Times New Roman" w:hAnsi="Times New Roman"/>
          <w:sz w:val="18"/>
          <w:szCs w:val="18"/>
          <w:b w:val="1"/>
          <w:bCs w:val="1"/>
          <w:color w:val="auto"/>
        </w:rPr>
        <w:t>Imputed Underpayment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shall be treated as if it were paid by the Company as a Withholding Payment with respect to the appropriate Members.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shall reasonably determine the portion of an Imputed Underpayment Amount attributable to each Member or former Member. The portion of the Imputed Underpayment Amount that the Board of Directors attributes to a Member shall be treated as a Withholding Payment with respect to such Member. The portion of the Imputed Underpayment Amount that the Board of Directors attributes to a former Member of the Company shall be treated as a Withholding Payment with respect to both such former Member and such former Member’s transferee(s) or assignee(s), as applicable, and the Board of Directors may in its discretion exercise the Company’s rights pursuant to this </w:t>
      </w:r>
      <w:r>
        <w:rPr>
          <w:rFonts w:ascii="Times New Roman" w:cs="Times New Roman" w:eastAsia="Times New Roman" w:hAnsi="Times New Roman"/>
          <w:sz w:val="18"/>
          <w:szCs w:val="18"/>
          <w:u w:val="single" w:color="auto"/>
          <w:color w:val="auto"/>
        </w:rPr>
        <w:t>Section 13.01(b)</w:t>
      </w:r>
      <w:r>
        <w:rPr>
          <w:rFonts w:ascii="Times New Roman" w:cs="Times New Roman" w:eastAsia="Times New Roman" w:hAnsi="Times New Roman"/>
          <w:sz w:val="18"/>
          <w:szCs w:val="18"/>
          <w:color w:val="auto"/>
        </w:rPr>
        <w:t xml:space="preserve"> in respect of either or both of the former Member and its transferee or assignee. Imputed Underpayment Amounts treated as Withholding Payments also shall include any imputed underpayment within the meaning of Code Section 6225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 The Company shall use commercially reasonable efforts to obtain reductions in any Imputed Underpayment Amount imposed on the Company pursuant to Section 6232 of the Code or the amounts “pushed out” to the Members pursuant to the Section 6226 of the Code (and any related interest, penalties or other additions to tax) in light of the Members’ (and/or their direct and indirect members’,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20"/>
          </w:cols>
          <w:pgMar w:left="480" w:top="270" w:right="499" w:bottom="1440" w:gutter="0" w:footer="0" w:header="0"/>
        </w:sectPr>
      </w:pPr>
    </w:p>
    <w:bookmarkStart w:id="390" w:name="page391"/>
    <w:bookmarkEnd w:id="39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partners’, beneficiaries’, and other beneficial owners’) tax status or actions, and allocate any such reduction in an Imputed Underpayment Amount or amounts “pushed out” to the applicable Member; provided that, the Company may, but is not obligated to, make such a “push out” election pursuant to Code Section 6226. The Company shall cooperate, and cause the Partnership Representative to cooperate, as reasonably requested by any Member in connection with any tax audit or proceeding of the Company or any of its subsidiaries in obtaining any available reductions in tax liability for the requesting Member or its direct or indirect beneficial owners.</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13.02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expressly set forth to the contrary in this Agreement, all notices, requests, or consents required or permitted to be given under this Agreement must be in writing and shall be deemed to have been given (a) three (3) days after the date mailed by registered or certified mail, addressed to the recipient, with return receipt requested, (b) upon delivery to the recipient in person or by courier, or (c) upon receipt of a facsimile transmission by the recipient. Such notices, requests and consents shall be given (x) to the Members at the addresses set forth on the records of the Company or such other address as may be specified by notice to the Board of Directors, and (y) to the Company or the Board of Directors at the address of the principal office of Company.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8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13.03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management rights letter by and between the Company and any Member, with respect to the applicable Member only) constitutes the entire agreement of the Members and the Company relating to the subject matter of this Agreement and supersedes all prior contracts or agreements among the Members relating to the subject matter of this Agreement, whether oral or written.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13.04 </w:t>
      </w:r>
      <w:r>
        <w:rPr>
          <w:rFonts w:ascii="Times New Roman" w:cs="Times New Roman" w:eastAsia="Times New Roman" w:hAnsi="Times New Roman"/>
          <w:sz w:val="18"/>
          <w:szCs w:val="18"/>
          <w:u w:val="single" w:color="auto"/>
          <w:color w:val="auto"/>
        </w:rPr>
        <w:t>Amendment or Modification</w:t>
      </w:r>
      <w:r>
        <w:rPr>
          <w:rFonts w:ascii="Times New Roman" w:cs="Times New Roman" w:eastAsia="Times New Roman" w:hAnsi="Times New Roman"/>
          <w:sz w:val="18"/>
          <w:szCs w:val="18"/>
          <w:color w:val="auto"/>
        </w:rPr>
        <w:t xml:space="preserve">. Except as otherwise set forth herein, this Agreement and the Certificate may be modified or amended (or compliance with any provision hereof or thereof waived) by an instrument in writing signed by (a) the Company and (b) the Majority Interest; however, no such amendment may, without the consent of each affected Member, require any Member to make contributions to the Company or make the Member liable for any debts or obligations of the Company. No amendment or waiver that by its terms has an adverse effect on the rights and obligations of any Member (or any class of Members) that by its terms is disproportionate to the effect on other Members (or other classes of Members) may be made without the affirmative vote or written consent of the disproportionately affected Member or Members (taking into account any side agreements with any Member) holding at least (i) if the disproportionately affected class of Units are Common Units, a majority of the Common Units (if any are outstanding at such time), (ii) if the disproportionately affected class of Units are Preferred Units the Requisite Preferred Holders or (iii) if the disproportionately affected class of Units are any class or series of Preferred Units, at least a majority of such class or series, as applicable. For the avoidance of doubt, and without limitation of the foregoing, any amendment that alters or changes the rights of a Member or class of Members to designate or approve a director or member of a committee or a Board Observer (including the rights of the holders of the Preferred Units under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3.02(e)</w:t>
      </w:r>
      <w:r>
        <w:rPr>
          <w:rFonts w:ascii="Times New Roman" w:cs="Times New Roman" w:eastAsia="Times New Roman" w:hAnsi="Times New Roman"/>
          <w:sz w:val="18"/>
          <w:szCs w:val="18"/>
          <w:color w:val="auto"/>
        </w:rPr>
        <w:t xml:space="preserve"> or alters or changes the powers, preferences (including liquidation preferences), or special rights of the Units of such class or of such Member so as to affect them adversely shall be deemed to disproportionately affect such Member or Members, as applicable.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391" w:name="page392"/>
    <w:bookmarkEnd w:id="391"/>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Subject to the restrictions on transfers set forth in this Agreement, this Agreement is binding on and inures to the benefit of each of the Members and their respective heirs, legal representatives, successors and assigns.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13.06 </w:t>
      </w: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Agreement is governed by and shall be construed in accordance with the law of the State of Delaware, exclusive of its conflict-of-laws principles. In the event of a conflict between the provisions of this Agreement and any provision of the Certificate or the Act, the applicable provision of this Agreement shall control, to the extent permitted by law. If any provision of this Agreement or the application thereof to any Person or circumstance is held invalid or unenforceable to any extent, the remainder of this Agreement and the application of that provision shall be enforced to the fullest extent permitted by law.</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13.07 </w:t>
      </w:r>
      <w:r>
        <w:rPr>
          <w:rFonts w:ascii="Times New Roman" w:cs="Times New Roman" w:eastAsia="Times New Roman" w:hAnsi="Times New Roman"/>
          <w:sz w:val="18"/>
          <w:szCs w:val="18"/>
          <w:u w:val="single" w:color="auto"/>
          <w:color w:val="auto"/>
        </w:rPr>
        <w:t>Waiver of Certain Rights</w:t>
      </w:r>
      <w:r>
        <w:rPr>
          <w:rFonts w:ascii="Times New Roman" w:cs="Times New Roman" w:eastAsia="Times New Roman" w:hAnsi="Times New Roman"/>
          <w:sz w:val="18"/>
          <w:szCs w:val="18"/>
          <w:color w:val="auto"/>
        </w:rPr>
        <w:t>. Each Member irrevocably waives any right it may have to maintain any action for dissolution of the Company or for partition of the property of the Company. The failure of any Member to insist upon strict performance of a covenant hereunder or of any obligation hereunder, irrespective of the length of time for which such failure continues, shall not be a waiver of such Member’s right to demand strict compliance herewith in the future. No consent or waiver, express or implied, to or of any breach or default in the performance of any obligation hereunder, shall constitute a consent or waiver to or of any other breach or default in the performance of the same or any other obligation hereunder.</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13.08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For the purposes of this Agreement, terms not defined in this Agreement shall be defined as provided in the Act; and all nouns, pronouns and verbs used in this Agreement shall be construed as masculine, feminine, neuter, singular, or plural, whichever shall be applicable. Titles or captions of Articles and Sections contained in this Agreement are inserted as a matter of convenience and for reference, and in no way define, limit, extend or describe the scope of this Agreement or the intent of any provision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executed this Agreement as of the date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CULLINAN ONCOLOGY,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Owen Hughes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[Signature Page to Third A&amp;R Limited Liability Company Agreement]</w:t>
      </w:r>
    </w:p>
    <w:p>
      <w:pPr>
        <w:sectPr>
          <w:pgSz w:w="11900" w:h="16838" w:orient="portrait"/>
          <w:cols w:equalWidth="0" w:num="1">
            <w:col w:w="9579"/>
          </w:cols>
          <w:pgMar w:left="880" w:top="270" w:right="1440"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SENIOR EXECUTIVE CASH INCENTIVE BONUS PLAN</w:t>
      </w:r>
    </w:p>
    <w:p>
      <w:pPr>
        <w:spacing w:after="0" w:line="234" w:lineRule="exact"/>
        <w:rPr>
          <w:sz w:val="20"/>
          <w:szCs w:val="20"/>
          <w:color w:val="auto"/>
        </w:rPr>
      </w:pPr>
    </w:p>
    <w:p>
      <w:pPr>
        <w:ind w:left="424" w:hanging="424"/>
        <w:spacing w:after="0"/>
        <w:tabs>
          <w:tab w:leader="none" w:pos="4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113"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This Senior Executive Cash Incentive Bonus Plan (the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is intended to provide an incentive for superior work and to motivate eligible executives of Cullinan Management,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329" w:lineRule="exact"/>
        <w:rPr>
          <w:sz w:val="20"/>
          <w:szCs w:val="20"/>
          <w:color w:val="auto"/>
        </w:rPr>
      </w:pPr>
    </w:p>
    <w:p>
      <w:pPr>
        <w:ind w:left="424" w:hanging="424"/>
        <w:spacing w:after="0"/>
        <w:tabs>
          <w:tab w:leader="none" w:pos="42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Executives</w:t>
      </w:r>
    </w:p>
    <w:p>
      <w:pPr>
        <w:spacing w:after="0" w:line="113"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From time to time, the Compensation Committee of the Board of Directors of the Company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may select certain key executives (the “</w:t>
      </w:r>
      <w:r>
        <w:rPr>
          <w:rFonts w:ascii="Times New Roman" w:cs="Times New Roman" w:eastAsia="Times New Roman" w:hAnsi="Times New Roman"/>
          <w:sz w:val="18"/>
          <w:szCs w:val="18"/>
          <w:b w:val="1"/>
          <w:bCs w:val="1"/>
          <w:i w:val="1"/>
          <w:iCs w:val="1"/>
          <w:color w:val="auto"/>
        </w:rPr>
        <w:t>Covered Executives</w:t>
      </w:r>
      <w:r>
        <w:rPr>
          <w:rFonts w:ascii="Times New Roman" w:cs="Times New Roman" w:eastAsia="Times New Roman" w:hAnsi="Times New Roman"/>
          <w:sz w:val="18"/>
          <w:szCs w:val="18"/>
          <w:color w:val="auto"/>
        </w:rPr>
        <w:t>”) to be eligible to receive bonuses hereunder. Participation in this Plan does not change the “at will” nature of a Covered Executive’s employment with the Company.</w:t>
      </w:r>
    </w:p>
    <w:p>
      <w:pPr>
        <w:spacing w:after="0" w:line="323" w:lineRule="exact"/>
        <w:rPr>
          <w:sz w:val="20"/>
          <w:szCs w:val="20"/>
          <w:color w:val="auto"/>
        </w:rPr>
      </w:pPr>
    </w:p>
    <w:p>
      <w:pPr>
        <w:ind w:left="424" w:hanging="424"/>
        <w:spacing w:after="0"/>
        <w:tabs>
          <w:tab w:leader="none" w:pos="4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shall have the sole discretion and authority to administer and interpret the Incentive Plan.</w:t>
      </w:r>
    </w:p>
    <w:p>
      <w:pPr>
        <w:spacing w:after="0" w:line="37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Determinations</w:t>
      </w:r>
    </w:p>
    <w:p>
      <w:pPr>
        <w:spacing w:after="0" w:line="117"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824"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Performance Goals</w:t>
      </w:r>
      <w:r>
        <w:rPr>
          <w:rFonts w:ascii="Times New Roman" w:cs="Times New Roman" w:eastAsia="Times New Roman" w:hAnsi="Times New Roman"/>
          <w:sz w:val="17"/>
          <w:szCs w:val="17"/>
          <w:color w:val="auto"/>
        </w:rPr>
        <w:t>. A Covered Executive may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Times New Roman" w:cs="Times New Roman" w:eastAsia="Times New Roman" w:hAnsi="Times New Roman"/>
          <w:sz w:val="17"/>
          <w:szCs w:val="17"/>
          <w:b w:val="1"/>
          <w:bCs w:val="1"/>
          <w:i w:val="1"/>
          <w:iCs w:val="1"/>
          <w:color w:val="auto"/>
        </w:rPr>
        <w:t>Corporate Performance Goals</w:t>
      </w:r>
      <w:r>
        <w:rPr>
          <w:rFonts w:ascii="Times New Roman" w:cs="Times New Roman" w:eastAsia="Times New Roman" w:hAnsi="Times New Roman"/>
          <w:sz w:val="17"/>
          <w:szCs w:val="17"/>
          <w:color w:val="auto"/>
        </w:rPr>
        <w:t>”), including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w:t>
      </w:r>
    </w:p>
    <w:p>
      <w:pPr>
        <w:spacing w:after="0" w:line="2" w:lineRule="exact"/>
        <w:rPr>
          <w:rFonts w:ascii="Times New Roman" w:cs="Times New Roman" w:eastAsia="Times New Roman" w:hAnsi="Times New Roman"/>
          <w:sz w:val="17"/>
          <w:szCs w:val="17"/>
          <w:color w:val="auto"/>
        </w:rPr>
      </w:pPr>
    </w:p>
    <w:p>
      <w:pPr>
        <w:ind w:left="4"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w:t>
      </w:r>
    </w:p>
    <w:p>
      <w:pPr>
        <w:sectPr>
          <w:pgSz w:w="11900" w:h="16838" w:orient="portrait"/>
          <w:cols w:equalWidth="0" w:num="1">
            <w:col w:w="11024"/>
          </w:cols>
          <w:pgMar w:left="436" w:top="117" w:right="439" w:bottom="1440" w:gutter="0" w:footer="0" w:header="0"/>
        </w:sectPr>
      </w:pPr>
    </w:p>
    <w:bookmarkStart w:id="394" w:name="page395"/>
    <w:bookmarkEnd w:id="394"/>
    <w:p>
      <w:pPr>
        <w:ind w:left="4" w:right="220" w:firstLine="436"/>
        <w:spacing w:after="0" w:line="258" w:lineRule="auto"/>
        <w:tabs>
          <w:tab w:leader="none" w:pos="83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Calculation of Corporate Performance Goals</w:t>
      </w:r>
      <w:r>
        <w:rPr>
          <w:rFonts w:ascii="Times New Roman" w:cs="Times New Roman" w:eastAsia="Times New Roman" w:hAnsi="Times New Roman"/>
          <w:sz w:val="18"/>
          <w:szCs w:val="18"/>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183"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82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Minimum; Maximum</w:t>
      </w:r>
      <w:r>
        <w:rPr>
          <w:rFonts w:ascii="Times New Roman" w:cs="Times New Roman" w:eastAsia="Times New Roman" w:hAnsi="Times New Roman"/>
          <w:sz w:val="18"/>
          <w:szCs w:val="18"/>
          <w:color w:val="auto"/>
        </w:rPr>
        <w:t>. Each Corporate Performance Goal shall have a “target” (100 percent attainment of the Corporate Performance Goal) and may also have a “minimum” hurdle and/or a “maximum” amount.</w:t>
      </w:r>
    </w:p>
    <w:p>
      <w:pPr>
        <w:spacing w:after="0" w:line="161" w:lineRule="exact"/>
        <w:rPr>
          <w:rFonts w:ascii="Times New Roman" w:cs="Times New Roman" w:eastAsia="Times New Roman" w:hAnsi="Times New Roman"/>
          <w:sz w:val="18"/>
          <w:szCs w:val="18"/>
          <w:color w:val="auto"/>
        </w:rPr>
      </w:pPr>
    </w:p>
    <w:p>
      <w:pPr>
        <w:ind w:left="4" w:firstLine="436"/>
        <w:spacing w:after="0" w:line="254" w:lineRule="auto"/>
        <w:tabs>
          <w:tab w:leader="none" w:pos="83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Requirements; Individual Goals</w:t>
      </w:r>
      <w:r>
        <w:rPr>
          <w:rFonts w:ascii="Times New Roman" w:cs="Times New Roman" w:eastAsia="Times New Roman" w:hAnsi="Times New Roman"/>
          <w:sz w:val="18"/>
          <w:szCs w:val="18"/>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82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Target Bonuses</w:t>
      </w:r>
      <w:r>
        <w:rPr>
          <w:rFonts w:ascii="Times New Roman" w:cs="Times New Roman" w:eastAsia="Times New Roman" w:hAnsi="Times New Roman"/>
          <w:sz w:val="18"/>
          <w:szCs w:val="18"/>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8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Requirement</w:t>
      </w:r>
      <w:r>
        <w:rPr>
          <w:rFonts w:ascii="Times New Roman" w:cs="Times New Roman" w:eastAsia="Times New Roman" w:hAnsi="Times New Roman"/>
          <w:sz w:val="18"/>
          <w:szCs w:val="18"/>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32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w:t>
      </w:r>
    </w:p>
    <w:p>
      <w:pPr>
        <w:spacing w:after="0" w:line="117"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82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Corporate Performance Goals established and measured on a basis more frequently than annually (e.g., quarterly or semi-annually), the Corporate Performance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95" w:name="page396"/>
    <w:bookmarkEnd w:id="395"/>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76" w:lineRule="exact"/>
        <w:rPr>
          <w:sz w:val="20"/>
          <w:szCs w:val="20"/>
          <w:color w:val="auto"/>
        </w:rPr>
      </w:pPr>
    </w:p>
    <w:p>
      <w:pPr>
        <w:jc w:val="both"/>
        <w:ind w:left="4" w:firstLine="436"/>
        <w:spacing w:after="0" w:line="261" w:lineRule="auto"/>
        <w:tabs>
          <w:tab w:leader="none" w:pos="83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spacing w:after="0" w:line="179"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bonuses earned at any time in a fiscal year must be paid no later than 74 days after the last day of such fiscal</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w:t>
      </w:r>
    </w:p>
    <w:p>
      <w:pPr>
        <w:spacing w:after="0" w:line="35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reserves the right to amend or terminate the Incentive Plan at any time in its sole discretion.</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INDEMNIFICATION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Directors of a Delaware Corporation)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This Indemnification Agreement (“Agreement”) is made as of [</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by and between Cullinan Management, Inc., a Delaware corporation</w:t>
            </w: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196"/>
        </w:trPr>
        <w:tc>
          <w:tcPr>
            <w:tcW w:w="4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(together with its subsidiaries, the “Company”), and [</w:t>
            </w:r>
          </w:p>
        </w:tc>
        <w:tc>
          <w:tcPr>
            <w:tcW w:w="6640" w:type="dxa"/>
            <w:vAlign w:val="bottom"/>
            <w:gridSpan w:val="3"/>
          </w:tcPr>
          <w:p>
            <w:pPr>
              <w:ind w:left="440"/>
              <w:spacing w:after="0" w:line="196" w:lineRule="exact"/>
              <w:rPr>
                <w:sz w:val="20"/>
                <w:szCs w:val="20"/>
                <w:color w:val="auto"/>
              </w:rPr>
            </w:pPr>
            <w:r>
              <w:rPr>
                <w:rFonts w:ascii="Times New Roman" w:cs="Times New Roman" w:eastAsia="Times New Roman" w:hAnsi="Times New Roman"/>
                <w:sz w:val="18"/>
                <w:szCs w:val="18"/>
                <w:color w:val="auto"/>
              </w:rPr>
              <w:t>] (“Indemnitee”).</w:t>
            </w:r>
          </w:p>
        </w:tc>
      </w:tr>
      <w:tr>
        <w:trPr>
          <w:trHeight w:val="20"/>
        </w:trPr>
        <w:tc>
          <w:tcPr>
            <w:tcW w:w="2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Certificate of Incorporation (as amended and in effect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Bylaws (as amended and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the increased difficulty in attracting and retaining highly qualified persons such as Indemnitee is detrimental to the best interests of the Company’s stockholders;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76"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4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Indemnitee has certain rights to indemnification and/or insurance provided by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97" w:name="page398"/>
    <w:bookmarkEnd w:id="397"/>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288"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right="100" w:firstLine="987"/>
        <w:spacing w:after="0" w:line="261" w:lineRule="auto"/>
        <w:tabs>
          <w:tab w:leader="none" w:pos="137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and “Associate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79"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“Beneficial Owner” of, and shall be deemed to “Beneficially Own” and have “Beneficial Ownership”</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securities:</w:t>
      </w:r>
    </w:p>
    <w:p>
      <w:pPr>
        <w:spacing w:after="0" w:line="206" w:lineRule="exact"/>
        <w:rPr>
          <w:rFonts w:ascii="Times New Roman" w:cs="Times New Roman" w:eastAsia="Times New Roman" w:hAnsi="Times New Roman"/>
          <w:sz w:val="18"/>
          <w:szCs w:val="18"/>
          <w:color w:val="auto"/>
        </w:rPr>
      </w:pPr>
    </w:p>
    <w:p>
      <w:pPr>
        <w:ind w:right="300" w:firstLine="1428"/>
        <w:spacing w:after="0" w:line="282" w:lineRule="auto"/>
        <w:tabs>
          <w:tab w:leader="none" w:pos="178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61" w:lineRule="exact"/>
        <w:rPr>
          <w:rFonts w:ascii="Times New Roman" w:cs="Times New Roman" w:eastAsia="Times New Roman" w:hAnsi="Times New Roman"/>
          <w:sz w:val="18"/>
          <w:szCs w:val="18"/>
          <w:color w:val="auto"/>
        </w:rPr>
      </w:pPr>
    </w:p>
    <w:p>
      <w:pPr>
        <w:ind w:right="160" w:firstLine="1428"/>
        <w:spacing w:after="0" w:line="255" w:lineRule="auto"/>
        <w:tabs>
          <w:tab w:leader="none" w:pos="183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cs="Times New Roman" w:eastAsia="Times New Roman" w:hAnsi="Times New Roman"/>
          <w:sz w:val="18"/>
          <w:szCs w:val="18"/>
          <w:i w:val="1"/>
          <w:iCs w:val="1"/>
          <w:color w:val="auto"/>
        </w:rPr>
        <w:t>bona fid</w:t>
      </w:r>
      <w:r>
        <w:rPr>
          <w:rFonts w:ascii="Times New Roman" w:cs="Times New Roman" w:eastAsia="Times New Roman" w:hAnsi="Times New Roman"/>
          <w:sz w:val="18"/>
          <w:szCs w:val="18"/>
          <w:color w:val="auto"/>
        </w:rPr>
        <w:t>e public offering of securities); or</w:t>
      </w:r>
    </w:p>
    <w:p>
      <w:pPr>
        <w:spacing w:after="0" w:line="188" w:lineRule="exact"/>
        <w:rPr>
          <w:rFonts w:ascii="Times New Roman" w:cs="Times New Roman" w:eastAsia="Times New Roman" w:hAnsi="Times New Roman"/>
          <w:sz w:val="18"/>
          <w:szCs w:val="18"/>
          <w:color w:val="auto"/>
        </w:rPr>
      </w:pPr>
    </w:p>
    <w:p>
      <w:pPr>
        <w:ind w:right="220" w:firstLine="1428"/>
        <w:spacing w:after="0" w:line="282" w:lineRule="auto"/>
        <w:tabs>
          <w:tab w:leader="none" w:pos="188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98" w:name="page399"/>
    <w:bookmarkEnd w:id="398"/>
    <w:p>
      <w:pPr>
        <w:ind w:right="38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writing) (other than customary agreements with and between underwriters and selling group members with respect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public offering of securities) for the purpose of acquiring, holding, voting or disposing of any securities of the Company; or</w:t>
      </w:r>
    </w:p>
    <w:p>
      <w:pPr>
        <w:spacing w:after="0" w:line="160" w:lineRule="exact"/>
        <w:rPr>
          <w:sz w:val="20"/>
          <w:szCs w:val="20"/>
          <w:color w:val="auto"/>
        </w:rPr>
      </w:pPr>
    </w:p>
    <w:p>
      <w:pPr>
        <w:ind w:firstLine="1428"/>
        <w:spacing w:after="0" w:line="254" w:lineRule="auto"/>
        <w:tabs>
          <w:tab w:leader="none" w:pos="187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62"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be deemed to occur upon the earliest to occur after the date of this Agreement of any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207" w:lineRule="exact"/>
        <w:rPr>
          <w:sz w:val="20"/>
          <w:szCs w:val="20"/>
          <w:color w:val="auto"/>
        </w:rPr>
      </w:pPr>
    </w:p>
    <w:p>
      <w:pPr>
        <w:ind w:firstLine="1428"/>
        <w:spacing w:after="0" w:line="256" w:lineRule="auto"/>
        <w:tabs>
          <w:tab w:leader="none" w:pos="178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is or becomes the Beneficial Owner (as defined below),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87" w:lineRule="exact"/>
        <w:rPr>
          <w:rFonts w:ascii="Times New Roman" w:cs="Times New Roman" w:eastAsia="Times New Roman" w:hAnsi="Times New Roman"/>
          <w:sz w:val="18"/>
          <w:szCs w:val="18"/>
          <w:color w:val="auto"/>
        </w:rPr>
      </w:pPr>
    </w:p>
    <w:p>
      <w:pPr>
        <w:ind w:right="60" w:firstLine="1428"/>
        <w:spacing w:after="0" w:line="256" w:lineRule="auto"/>
        <w:tabs>
          <w:tab w:leader="none" w:pos="183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2(a)(i), 2(a)(iii)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87" w:lineRule="exact"/>
        <w:rPr>
          <w:rFonts w:ascii="Times New Roman" w:cs="Times New Roman" w:eastAsia="Times New Roman" w:hAnsi="Times New Roman"/>
          <w:sz w:val="18"/>
          <w:szCs w:val="18"/>
          <w:color w:val="auto"/>
        </w:rPr>
      </w:pPr>
    </w:p>
    <w:p>
      <w:pPr>
        <w:ind w:right="280" w:firstLine="1428"/>
        <w:spacing w:after="0" w:line="282" w:lineRule="auto"/>
        <w:tabs>
          <w:tab w:leader="none" w:pos="188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 merger or consolidation which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8" w:right="479" w:bottom="1440" w:gutter="0" w:footer="0" w:header="0"/>
        </w:sectPr>
      </w:pPr>
    </w:p>
    <w:bookmarkStart w:id="399" w:name="page400"/>
    <w:bookmarkEnd w:id="39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80" w:lineRule="exact"/>
        <w:rPr>
          <w:sz w:val="20"/>
          <w:szCs w:val="20"/>
          <w:color w:val="auto"/>
        </w:rPr>
      </w:pPr>
    </w:p>
    <w:p>
      <w:pPr>
        <w:ind w:right="40" w:firstLine="1428"/>
        <w:spacing w:after="0" w:line="266" w:lineRule="auto"/>
        <w:tabs>
          <w:tab w:leader="none" w:pos="1872"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75" w:lineRule="exact"/>
        <w:rPr>
          <w:rFonts w:ascii="Times New Roman" w:cs="Times New Roman" w:eastAsia="Times New Roman" w:hAnsi="Times New Roman"/>
          <w:sz w:val="18"/>
          <w:szCs w:val="18"/>
          <w:color w:val="auto"/>
        </w:rPr>
      </w:pPr>
    </w:p>
    <w:p>
      <w:pPr>
        <w:ind w:right="40" w:firstLine="1428"/>
        <w:spacing w:after="0" w:line="266" w:lineRule="auto"/>
        <w:tabs>
          <w:tab w:leader="none" w:pos="1822"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175" w:lineRule="exact"/>
        <w:rPr>
          <w:rFonts w:ascii="Times New Roman" w:cs="Times New Roman" w:eastAsia="Times New Roman" w:hAnsi="Times New Roman"/>
          <w:sz w:val="18"/>
          <w:szCs w:val="18"/>
          <w:color w:val="auto"/>
        </w:rPr>
      </w:pPr>
    </w:p>
    <w:p>
      <w:pPr>
        <w:ind w:right="360" w:firstLine="987"/>
        <w:spacing w:after="0" w:line="312" w:lineRule="auto"/>
        <w:tabs>
          <w:tab w:leader="none" w:pos="1426"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Status</w:t>
      </w:r>
      <w:r>
        <w:rPr>
          <w:rFonts w:ascii="Times New Roman" w:cs="Times New Roman" w:eastAsia="Times New Roman" w:hAnsi="Times New Roman"/>
          <w:sz w:val="17"/>
          <w:szCs w:val="17"/>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39" w:lineRule="exact"/>
        <w:rPr>
          <w:rFonts w:ascii="Times New Roman" w:cs="Times New Roman" w:eastAsia="Times New Roman" w:hAnsi="Times New Roman"/>
          <w:sz w:val="17"/>
          <w:szCs w:val="17"/>
          <w:color w:val="auto"/>
        </w:rPr>
      </w:pPr>
    </w:p>
    <w:p>
      <w:pPr>
        <w:ind w:right="20" w:firstLine="987"/>
        <w:spacing w:after="0" w:line="261" w:lineRule="auto"/>
        <w:tabs>
          <w:tab w:leader="none" w:pos="137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9" w:lineRule="exact"/>
        <w:rPr>
          <w:rFonts w:ascii="Times New Roman" w:cs="Times New Roman" w:eastAsia="Times New Roman" w:hAnsi="Times New Roman"/>
          <w:sz w:val="18"/>
          <w:szCs w:val="18"/>
          <w:color w:val="auto"/>
        </w:rPr>
      </w:pPr>
    </w:p>
    <w:p>
      <w:pPr>
        <w:ind w:right="220" w:firstLine="987"/>
        <w:spacing w:after="0" w:line="266" w:lineRule="auto"/>
        <w:tabs>
          <w:tab w:leader="none" w:pos="135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38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83" w:lineRule="exact"/>
        <w:rPr>
          <w:rFonts w:ascii="Times New Roman" w:cs="Times New Roman" w:eastAsia="Times New Roman" w:hAnsi="Times New Roman"/>
          <w:sz w:val="18"/>
          <w:szCs w:val="18"/>
          <w:color w:val="auto"/>
        </w:rPr>
      </w:pPr>
    </w:p>
    <w:p>
      <w:pPr>
        <w:ind w:right="760" w:firstLine="987"/>
        <w:spacing w:after="0" w:line="282" w:lineRule="auto"/>
        <w:tabs>
          <w:tab w:leader="none" w:pos="138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partner (or, if applicable, member or shareholder) of such a law firm, that is experienced in matters of Delaware corporation law and neither presently is, nor in the past five (5) years has been, retained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400" w:name="page401"/>
    <w:bookmarkEnd w:id="40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87" w:lineRule="exact"/>
        <w:rPr>
          <w:sz w:val="20"/>
          <w:szCs w:val="20"/>
          <w:color w:val="auto"/>
        </w:rPr>
      </w:pPr>
    </w:p>
    <w:p>
      <w:pPr>
        <w:ind w:right="60" w:firstLine="987"/>
        <w:spacing w:after="0" w:line="261" w:lineRule="auto"/>
        <w:tabs>
          <w:tab w:leader="none" w:pos="134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79" w:lineRule="exact"/>
        <w:rPr>
          <w:rFonts w:ascii="Times New Roman" w:cs="Times New Roman" w:eastAsia="Times New Roman" w:hAnsi="Times New Roman"/>
          <w:sz w:val="18"/>
          <w:szCs w:val="18"/>
          <w:color w:val="auto"/>
        </w:rPr>
      </w:pPr>
    </w:p>
    <w:p>
      <w:pPr>
        <w:ind w:right="60" w:firstLine="987"/>
        <w:spacing w:after="0" w:line="253" w:lineRule="auto"/>
        <w:tabs>
          <w:tab w:leader="none" w:pos="133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“Proceeding” shall not include any action, suit or arbitration, or part thereof, initiated by Indemnitee to enforce Indemnitee’s rights under this Agreement as provided for in Section 12(a) of this Agreement.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The Company shall indemnify Indemnitee to the extent set forth in this Section 4 if Indemnitee is,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01" w:name="page402"/>
    <w:bookmarkEnd w:id="40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Reimbursement for Expenses of a Witness or in Response to a Subpoena</w:t>
      </w:r>
      <w:r>
        <w:rPr>
          <w:rFonts w:ascii="Times New Roman" w:cs="Times New Roman" w:eastAsia="Times New Roman" w:hAnsi="Times New Roman"/>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3"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Exclusions</w:t>
      </w:r>
      <w:r>
        <w:rPr>
          <w:rFonts w:ascii="Times New Roman" w:cs="Times New Roman" w:eastAsia="Times New Roman" w:hAnsi="Times New Roman"/>
          <w:sz w:val="17"/>
          <w:szCs w:val="17"/>
          <w:color w:val="auto"/>
        </w:rPr>
        <w:t>. Notwithstanding any provision in this Agreement to the contrary, the Company shall not be obligated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firstLine="987"/>
        <w:spacing w:after="0" w:line="266" w:lineRule="auto"/>
        <w:tabs>
          <w:tab w:leader="none" w:pos="13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the rights of Indemnitee or the Secondary Indemnitors as set forth in Section 13(c)];</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38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(“SOX”);</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02" w:name="page403"/>
    <w:bookmarkEnd w:id="402"/>
    <w:p>
      <w:pPr>
        <w:ind w:left="4" w:right="220" w:firstLine="987"/>
        <w:spacing w:after="0" w:line="261" w:lineRule="auto"/>
        <w:tabs>
          <w:tab w:leader="none" w:pos="13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left="4" w:right="160" w:hanging="4"/>
        <w:spacing w:after="0" w:line="253" w:lineRule="auto"/>
        <w:tabs>
          <w:tab w:leader="none" w:pos="26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86"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385"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295" w:lineRule="exact"/>
        <w:rPr>
          <w:sz w:val="20"/>
          <w:szCs w:val="20"/>
          <w:color w:val="auto"/>
        </w:rPr>
      </w:pPr>
    </w:p>
    <w:p>
      <w:pPr>
        <w:ind w:left="444"/>
        <w:spacing w:after="0"/>
        <w:tabs>
          <w:tab w:leader="none" w:pos="1324"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Procedure for Notification and Defense of Claim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40" w:firstLine="987"/>
        <w:spacing w:after="0" w:line="266" w:lineRule="auto"/>
        <w:tabs>
          <w:tab w:leader="none" w:pos="137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03" w:name="page404"/>
    <w:bookmarkEnd w:id="403"/>
    <w:p>
      <w:pPr>
        <w:ind w:left="4" w:firstLine="987"/>
        <w:spacing w:after="0" w:line="253" w:lineRule="auto"/>
        <w:tabs>
          <w:tab w:leader="none" w:pos="1385"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Times New Roman" w:cs="Times New Roman" w:eastAsia="Times New Roman" w:hAnsi="Times New Roman"/>
          <w:sz w:val="18"/>
          <w:szCs w:val="18"/>
          <w:color w:val="auto"/>
        </w:rPr>
      </w:pPr>
    </w:p>
    <w:p>
      <w:pPr>
        <w:ind w:left="4" w:right="100" w:hanging="4"/>
        <w:spacing w:after="0" w:line="255" w:lineRule="auto"/>
        <w:tabs>
          <w:tab w:leader="none" w:pos="28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8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37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assume the defense in a Proceeding pursuant to paragraph (b) above, then the Company will be entitled to participate in the Proceeding at its own expense.</w:t>
      </w:r>
    </w:p>
    <w:p>
      <w:pPr>
        <w:spacing w:after="0" w:line="16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382"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296" w:lineRule="exact"/>
        <w:rPr>
          <w:sz w:val="20"/>
          <w:szCs w:val="20"/>
          <w:color w:val="auto"/>
        </w:rPr>
      </w:pPr>
    </w:p>
    <w:p>
      <w:pPr>
        <w:ind w:left="864"/>
        <w:spacing w:after="0"/>
        <w:tabs>
          <w:tab w:leader="none" w:pos="1824"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7"/>
          <w:szCs w:val="17"/>
          <w:u w:val="single" w:color="auto"/>
          <w:color w:val="auto"/>
        </w:rPr>
        <w:t>Procedure Upon Application for Indemnification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180" w:firstLine="987"/>
        <w:spacing w:after="0" w:line="277" w:lineRule="auto"/>
        <w:tabs>
          <w:tab w:leader="none" w:pos="1375"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404" w:name="page405"/>
    <w:bookmarkEnd w:id="404"/>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97" w:lineRule="exact"/>
        <w:rPr>
          <w:sz w:val="20"/>
          <w:szCs w:val="20"/>
          <w:color w:val="auto"/>
        </w:rPr>
      </w:pPr>
    </w:p>
    <w:p>
      <w:pPr>
        <w:ind w:left="4" w:firstLine="987"/>
        <w:spacing w:after="0" w:line="268" w:lineRule="auto"/>
        <w:tabs>
          <w:tab w:leader="none" w:pos="1385"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w:t>
      </w:r>
    </w:p>
    <w:p>
      <w:pPr>
        <w:ind w:left="4" w:right="80" w:hanging="4"/>
        <w:spacing w:after="0" w:line="252" w:lineRule="auto"/>
        <w:tabs>
          <w:tab w:leader="none" w:pos="21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405" w:name="page406"/>
    <w:bookmarkEnd w:id="405"/>
    <w:p>
      <w:pPr>
        <w:ind w:firstLine="987"/>
        <w:spacing w:after="0" w:line="261" w:lineRule="auto"/>
        <w:tabs>
          <w:tab w:leader="none" w:pos="137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288"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Presumptions and Effect of Certain Proceedings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61" w:lineRule="auto"/>
        <w:tabs>
          <w:tab w:leader="none" w:pos="136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37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ind w:right="140" w:firstLine="987"/>
        <w:spacing w:after="0" w:line="253" w:lineRule="auto"/>
        <w:tabs>
          <w:tab w:leader="none" w:pos="137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6" w:name="page407"/>
    <w:bookmarkEnd w:id="406"/>
    <w:p>
      <w:pPr>
        <w:ind w:left="400"/>
        <w:spacing w:after="0"/>
        <w:tabs>
          <w:tab w:leader="none" w:pos="1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w:t>
      </w:r>
      <w:r>
        <w:rPr>
          <w:sz w:val="20"/>
          <w:szCs w:val="20"/>
          <w:color w:val="auto"/>
        </w:rPr>
        <w:tab/>
      </w:r>
      <w:r>
        <w:rPr>
          <w:rFonts w:ascii="Times New Roman" w:cs="Times New Roman" w:eastAsia="Times New Roman" w:hAnsi="Times New Roman"/>
          <w:sz w:val="17"/>
          <w:szCs w:val="17"/>
          <w:u w:val="single" w:color="auto"/>
          <w:color w:val="auto"/>
        </w:rPr>
        <w:t>Remedies of Indemnitee.</w:t>
      </w:r>
    </w:p>
    <w:p>
      <w:pPr>
        <w:spacing w:after="0" w:line="117" w:lineRule="exact"/>
        <w:rPr>
          <w:sz w:val="20"/>
          <w:szCs w:val="20"/>
          <w:color w:val="auto"/>
        </w:rPr>
      </w:pPr>
    </w:p>
    <w:p>
      <w:pPr>
        <w:ind w:left="-40" w:firstLine="987"/>
        <w:spacing w:after="0" w:line="252" w:lineRule="auto"/>
        <w:tabs>
          <w:tab w:leader="none" w:pos="133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97"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34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83"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33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33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32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407" w:name="page408"/>
    <w:bookmarkEnd w:id="40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83" w:lineRule="exact"/>
        <w:rPr>
          <w:sz w:val="20"/>
          <w:szCs w:val="20"/>
          <w:color w:val="auto"/>
        </w:rPr>
      </w:pPr>
    </w:p>
    <w:p>
      <w:pPr>
        <w:ind w:left="4" w:right="680" w:firstLine="987"/>
        <w:spacing w:after="0" w:line="282" w:lineRule="auto"/>
        <w:tabs>
          <w:tab w:leader="none" w:pos="13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270" w:lineRule="exact"/>
        <w:rPr>
          <w:sz w:val="20"/>
          <w:szCs w:val="20"/>
          <w:color w:val="auto"/>
        </w:rPr>
      </w:pPr>
    </w:p>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372"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382"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The Company shall also promptly provide to Indemnitee:</w:t>
      </w:r>
    </w:p>
    <w:p>
      <w:pPr>
        <w:spacing w:after="0" w:line="2" w:lineRule="exact"/>
        <w:rPr>
          <w:rFonts w:ascii="Times New Roman" w:cs="Times New Roman" w:eastAsia="Times New Roman" w:hAnsi="Times New Roman"/>
          <w:sz w:val="17"/>
          <w:szCs w:val="17"/>
          <w:color w:val="auto"/>
        </w:rPr>
      </w:pPr>
    </w:p>
    <w:p>
      <w:pPr>
        <w:ind w:left="4" w:right="240" w:hanging="4"/>
        <w:spacing w:after="0" w:line="255" w:lineRule="auto"/>
        <w:tabs>
          <w:tab w:leader="none" w:pos="21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in each case substantially concurrently with the delivery or receipt thereof by the Company.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08" w:name="page409"/>
    <w:bookmarkEnd w:id="408"/>
    <w:p>
      <w:pPr>
        <w:ind w:firstLine="987"/>
        <w:spacing w:after="0" w:line="253" w:lineRule="auto"/>
        <w:tabs>
          <w:tab w:leader="none" w:pos="137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acknowledges that Indemnitee has certain rights to indemnification, advancement of expenses and/or insurance provided by [Name of Fund/Sponsor] and certain of [its][their] affiliates (collectively, the “</w:t>
      </w:r>
      <w:r>
        <w:rPr>
          <w:rFonts w:ascii="Times New Roman" w:cs="Times New Roman" w:eastAsia="Times New Roman" w:hAnsi="Times New Roman"/>
          <w:sz w:val="18"/>
          <w:szCs w:val="18"/>
          <w:u w:val="single" w:color="auto"/>
          <w:color w:val="auto"/>
        </w:rPr>
        <w:t>Secondary Indemnitors</w:t>
      </w:r>
      <w:r>
        <w:rPr>
          <w:rFonts w:ascii="Times New Roman" w:cs="Times New Roman" w:eastAsia="Times New Roman" w:hAnsi="Times New Roman"/>
          <w:sz w:val="18"/>
          <w:szCs w:val="18"/>
          <w:color w:val="auto"/>
        </w:rPr>
        <w:t>”). The Company hereby agrees (i)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13(c).]</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38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[I/i]n the event of any payment under this Agreement, the Company shall be subrogated to the extent of such payment to all of the rights of recovery of Indemnitee [(other than against the Secondary Indemnitors)], who shall execute all papers required and take all action necessary to secure such rights, including execution of such documents as are necessary to enable the Company to bring suit to enforce such rights.</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37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09" w:name="page410"/>
    <w:bookmarkEnd w:id="409"/>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and substance satisfactory to Indemnitee, expressly to assume and agree to perform this Agreement in the same manner and to the same extent that the Company would be required to perform if no such succession had taken place.</w:t>
      </w:r>
    </w:p>
    <w:p>
      <w:pPr>
        <w:spacing w:after="0" w:line="162"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3" w:lineRule="exact"/>
        <w:rPr>
          <w:sz w:val="20"/>
          <w:szCs w:val="20"/>
          <w:color w:val="auto"/>
        </w:rPr>
      </w:pPr>
    </w:p>
    <w:p>
      <w:pPr>
        <w:ind w:left="4" w:right="160" w:hanging="4"/>
        <w:spacing w:after="0" w:line="255" w:lineRule="auto"/>
        <w:tabs>
          <w:tab w:leader="none" w:pos="24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294" w:lineRule="exact"/>
        <w:rPr>
          <w:sz w:val="20"/>
          <w:szCs w:val="20"/>
          <w:color w:val="auto"/>
        </w:rPr>
      </w:pPr>
    </w:p>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8"/>
          <w:szCs w:val="18"/>
          <w:u w:val="single" w:color="auto"/>
          <w:color w:val="auto"/>
        </w:rPr>
        <w:t>Enforcement.</w:t>
      </w:r>
    </w:p>
    <w:p>
      <w:pPr>
        <w:spacing w:after="0" w:line="117" w:lineRule="exact"/>
        <w:rPr>
          <w:sz w:val="20"/>
          <w:szCs w:val="20"/>
          <w:color w:val="auto"/>
        </w:rPr>
      </w:pPr>
    </w:p>
    <w:p>
      <w:pPr>
        <w:ind w:left="4" w:right="220" w:firstLine="987"/>
        <w:spacing w:after="0" w:line="266" w:lineRule="auto"/>
        <w:tabs>
          <w:tab w:leader="none" w:pos="137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38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410" w:name="page411"/>
    <w:bookmarkEnd w:id="410"/>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3" w:lineRule="exact"/>
        <w:rPr>
          <w:sz w:val="20"/>
          <w:szCs w:val="20"/>
          <w:color w:val="auto"/>
        </w:rPr>
      </w:pPr>
    </w:p>
    <w:p>
      <w:pPr>
        <w:ind w:left="1360" w:hanging="373"/>
        <w:spacing w:after="0"/>
        <w:tabs>
          <w:tab w:leader="none" w:pos="13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such address as Indemnitee shall provide to the Company.</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Cullinan Management,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Main Street, Suite 520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11" w:name="page412"/>
    <w:bookmarkEnd w:id="411"/>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Monetary Damages Insufficient/Specific Enforcement</w:t>
      </w:r>
      <w:r>
        <w:rPr>
          <w:rFonts w:ascii="Times New Roman" w:cs="Times New Roman" w:eastAsia="Times New Roman" w:hAnsi="Times New Roman"/>
          <w:sz w:val="18"/>
          <w:szCs w:val="18"/>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CULLINAN MANAGEMENT,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280035</wp:posOffset>
            </wp:positionV>
            <wp:extent cx="25628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of Indemnitee]</w:t>
      </w:r>
    </w:p>
    <w:p>
      <w:pPr>
        <w:sectPr>
          <w:pgSz w:w="11900" w:h="16838" w:orient="portrait"/>
          <w:cols w:equalWidth="0" w:num="1">
            <w:col w:w="9579"/>
          </w:cols>
          <w:pgMar w:left="880" w:top="270" w:right="1440"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OFFICER INDEMNIFICATION AGREEMENT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This Indemnification Agreement (“Agreement”) is made as of [</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 by and between Cullinan Management, Inc., a Delaware corporation</w:t>
            </w: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6"/>
        </w:trPr>
        <w:tc>
          <w:tcPr>
            <w:tcW w:w="5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(together with its subsidiaries, the “Company”), and [Officer] (“Indemnitee”).</w:t>
            </w:r>
          </w:p>
        </w:tc>
        <w:tc>
          <w:tcPr>
            <w:tcW w:w="5180" w:type="dxa"/>
            <w:vAlign w:val="bottom"/>
          </w:tcPr>
          <w:p>
            <w:pPr>
              <w:spacing w:after="0"/>
              <w:rPr>
                <w:sz w:val="17"/>
                <w:szCs w:val="17"/>
                <w:color w:val="auto"/>
              </w:rPr>
            </w:pPr>
          </w:p>
        </w:tc>
      </w:tr>
      <w:tr>
        <w:trPr>
          <w:trHeight w:val="20"/>
        </w:trPr>
        <w:tc>
          <w:tcPr>
            <w:tcW w:w="2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Certificate of Incorporation (as amended and in effect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Bylaws (as amended and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the increased difficulty in attracting and retaining highly qualified persons such as Indemnitee is detrimental to the best interests of the Company’s stockholders;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contained herein, the Company and Indemnitee do hereby covenant and agree as follows: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[continue to] serve as [a director and] an officer of the Company. Indemnitee may at any time and for any reason resign</w:t>
      </w:r>
    </w:p>
    <w:p>
      <w:pPr>
        <w:sectPr>
          <w:pgSz w:w="11900" w:h="16838" w:orient="portrait"/>
          <w:cols w:equalWidth="0" w:num="1">
            <w:col w:w="11020"/>
          </w:cols>
          <w:pgMar w:left="440" w:top="117" w:right="439" w:bottom="1440" w:gutter="0" w:footer="0" w:header="0"/>
        </w:sectPr>
      </w:pPr>
    </w:p>
    <w:bookmarkStart w:id="414" w:name="page415"/>
    <w:bookmarkEnd w:id="414"/>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284"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right="20" w:firstLine="987"/>
        <w:spacing w:after="0" w:line="261" w:lineRule="auto"/>
        <w:tabs>
          <w:tab w:leader="none" w:pos="137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and “Associate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79"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“Beneficial Owner” of, and shall be deemed to “Beneficially Own” and have “Beneficial Ownership”</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securities:</w:t>
      </w:r>
    </w:p>
    <w:p>
      <w:pPr>
        <w:spacing w:after="0" w:line="206" w:lineRule="exact"/>
        <w:rPr>
          <w:rFonts w:ascii="Times New Roman" w:cs="Times New Roman" w:eastAsia="Times New Roman" w:hAnsi="Times New Roman"/>
          <w:sz w:val="18"/>
          <w:szCs w:val="18"/>
          <w:color w:val="auto"/>
        </w:rPr>
      </w:pPr>
    </w:p>
    <w:p>
      <w:pPr>
        <w:ind w:right="220" w:firstLine="1428"/>
        <w:spacing w:after="0" w:line="282" w:lineRule="auto"/>
        <w:tabs>
          <w:tab w:leader="none" w:pos="178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61" w:lineRule="exact"/>
        <w:rPr>
          <w:rFonts w:ascii="Times New Roman" w:cs="Times New Roman" w:eastAsia="Times New Roman" w:hAnsi="Times New Roman"/>
          <w:sz w:val="18"/>
          <w:szCs w:val="18"/>
          <w:color w:val="auto"/>
        </w:rPr>
      </w:pPr>
    </w:p>
    <w:p>
      <w:pPr>
        <w:ind w:right="80" w:firstLine="1428"/>
        <w:spacing w:after="0" w:line="255" w:lineRule="auto"/>
        <w:tabs>
          <w:tab w:leader="none" w:pos="183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 or</w:t>
      </w:r>
    </w:p>
    <w:p>
      <w:pPr>
        <w:spacing w:after="0" w:line="188" w:lineRule="exact"/>
        <w:rPr>
          <w:rFonts w:ascii="Times New Roman" w:cs="Times New Roman" w:eastAsia="Times New Roman" w:hAnsi="Times New Roman"/>
          <w:sz w:val="18"/>
          <w:szCs w:val="18"/>
          <w:color w:val="auto"/>
        </w:rPr>
      </w:pPr>
    </w:p>
    <w:p>
      <w:pPr>
        <w:jc w:val="both"/>
        <w:ind w:right="140" w:firstLine="1428"/>
        <w:spacing w:after="0" w:line="261" w:lineRule="auto"/>
        <w:tabs>
          <w:tab w:leader="none" w:pos="188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179" w:lineRule="exact"/>
        <w:rPr>
          <w:rFonts w:ascii="Times New Roman" w:cs="Times New Roman" w:eastAsia="Times New Roman" w:hAnsi="Times New Roman"/>
          <w:sz w:val="18"/>
          <w:szCs w:val="18"/>
          <w:color w:val="auto"/>
        </w:rPr>
      </w:pPr>
    </w:p>
    <w:p>
      <w:pPr>
        <w:ind w:firstLine="1428"/>
        <w:spacing w:after="0" w:line="261" w:lineRule="auto"/>
        <w:tabs>
          <w:tab w:leader="none" w:pos="187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415" w:name="page416"/>
    <w:bookmarkEnd w:id="415"/>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83" w:lineRule="exact"/>
        <w:rPr>
          <w:sz w:val="20"/>
          <w:szCs w:val="20"/>
          <w:color w:val="auto"/>
        </w:rPr>
      </w:pPr>
    </w:p>
    <w:p>
      <w:pPr>
        <w:ind w:left="4" w:right="220" w:firstLine="1428"/>
        <w:spacing w:after="0" w:line="282" w:lineRule="auto"/>
        <w:tabs>
          <w:tab w:leader="none" w:pos="182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61"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shall be deemed to occur upon the earliest to occur after the date of this Agreement of any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events:</w:t>
      </w:r>
    </w:p>
    <w:p>
      <w:pPr>
        <w:spacing w:after="0" w:line="206" w:lineRule="exact"/>
        <w:rPr>
          <w:rFonts w:ascii="Times New Roman" w:cs="Times New Roman" w:eastAsia="Times New Roman" w:hAnsi="Times New Roman"/>
          <w:sz w:val="18"/>
          <w:szCs w:val="18"/>
          <w:color w:val="auto"/>
        </w:rPr>
      </w:pPr>
    </w:p>
    <w:p>
      <w:pPr>
        <w:ind w:left="4" w:firstLine="1428"/>
        <w:spacing w:after="0" w:line="255" w:lineRule="auto"/>
        <w:tabs>
          <w:tab w:leader="none" w:pos="178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is or becomes the Beneficial Owner (as defined below), directly or indirectly, of securities of the Company representing fifty percent (50%)</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or more of the combined voting power of the Company’s then outstanding securities [(other than acquisitions of Class B Common Stock by a Qualified Stockholder (as defined in the Charter))]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unless the change in relative Beneficial Ownership of the Company’s securities by any Person results solely from a reduction in the aggregate number of outstanding shares of securities entitled to vote generally in the election of directors [or as a result of conversions of Class B Common Stock],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89" w:lineRule="exact"/>
        <w:rPr>
          <w:sz w:val="20"/>
          <w:szCs w:val="20"/>
          <w:color w:val="auto"/>
        </w:rPr>
      </w:pPr>
    </w:p>
    <w:p>
      <w:pPr>
        <w:ind w:left="4" w:right="80" w:firstLine="1428"/>
        <w:spacing w:after="0" w:line="256" w:lineRule="auto"/>
        <w:tabs>
          <w:tab w:leader="none" w:pos="18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2(a)(i), 2(a)(iii)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87" w:lineRule="exact"/>
        <w:rPr>
          <w:rFonts w:ascii="Times New Roman" w:cs="Times New Roman" w:eastAsia="Times New Roman" w:hAnsi="Times New Roman"/>
          <w:sz w:val="18"/>
          <w:szCs w:val="18"/>
          <w:color w:val="auto"/>
        </w:rPr>
      </w:pPr>
    </w:p>
    <w:p>
      <w:pPr>
        <w:ind w:left="4" w:firstLine="1428"/>
        <w:spacing w:after="0" w:line="261" w:lineRule="auto"/>
        <w:tabs>
          <w:tab w:leader="none" w:pos="188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715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6" w:lineRule="exact"/>
        <w:rPr>
          <w:sz w:val="20"/>
          <w:szCs w:val="20"/>
          <w:color w:val="auto"/>
        </w:rPr>
      </w:pPr>
    </w:p>
    <w:p>
      <w:pPr>
        <w:ind w:left="424" w:hanging="424"/>
        <w:spacing w:after="0"/>
        <w:tabs>
          <w:tab w:leader="none" w:pos="424"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Some companies have gone as low as 25% for this threshold. Generally, 50% would seem to be a more reasonable threshold.</w:t>
      </w:r>
    </w:p>
    <w:p>
      <w:pPr>
        <w:spacing w:after="0" w:line="26" w:lineRule="exact"/>
        <w:rPr>
          <w:sz w:val="20"/>
          <w:szCs w:val="20"/>
          <w:color w:val="auto"/>
        </w:rPr>
      </w:pPr>
    </w:p>
    <w:p>
      <w:pPr>
        <w:ind w:left="424" w:right="140" w:hanging="424"/>
        <w:spacing w:after="0" w:line="262" w:lineRule="auto"/>
        <w:tabs>
          <w:tab w:leader="none" w:pos="424"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Will need to address dual class voting structures and grandfather major stockholders, including by considering the effect of future conversions of Class B common stock.</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16" w:name="page417"/>
    <w:bookmarkEnd w:id="416"/>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62" w:lineRule="exact"/>
        <w:rPr>
          <w:sz w:val="20"/>
          <w:szCs w:val="20"/>
          <w:color w:val="auto"/>
        </w:rPr>
      </w:pPr>
    </w:p>
    <w:p>
      <w:pPr>
        <w:ind w:left="4" w:right="80" w:firstLine="1428"/>
        <w:spacing w:after="0" w:line="266" w:lineRule="auto"/>
        <w:tabs>
          <w:tab w:leader="none" w:pos="187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82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r>
        <w:rPr>
          <w:rFonts w:ascii="Times New Roman" w:cs="Times New Roman" w:eastAsia="Times New Roman" w:hAnsi="Times New Roman"/>
          <w:sz w:val="15"/>
          <w:szCs w:val="15"/>
          <w:i w:val="1"/>
          <w:iCs w:val="1"/>
          <w:color w:val="auto"/>
        </w:rPr>
        <w:t>3</w:t>
      </w:r>
    </w:p>
    <w:p>
      <w:pPr>
        <w:spacing w:after="0" w:line="175" w:lineRule="exact"/>
        <w:rPr>
          <w:rFonts w:ascii="Times New Roman" w:cs="Times New Roman" w:eastAsia="Times New Roman" w:hAnsi="Times New Roman"/>
          <w:sz w:val="18"/>
          <w:szCs w:val="18"/>
          <w:color w:val="auto"/>
        </w:rPr>
      </w:pPr>
    </w:p>
    <w:p>
      <w:pPr>
        <w:ind w:left="4" w:firstLine="987"/>
        <w:spacing w:after="0" w:line="312" w:lineRule="auto"/>
        <w:tabs>
          <w:tab w:leader="none" w:pos="1385"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Status</w:t>
      </w:r>
      <w:r>
        <w:rPr>
          <w:rFonts w:ascii="Times New Roman" w:cs="Times New Roman" w:eastAsia="Times New Roman" w:hAnsi="Times New Roman"/>
          <w:sz w:val="17"/>
          <w:szCs w:val="17"/>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39" w:lineRule="exact"/>
        <w:rPr>
          <w:rFonts w:ascii="Times New Roman" w:cs="Times New Roman" w:eastAsia="Times New Roman" w:hAnsi="Times New Roman"/>
          <w:sz w:val="17"/>
          <w:szCs w:val="17"/>
          <w:color w:val="auto"/>
        </w:rPr>
      </w:pPr>
    </w:p>
    <w:p>
      <w:pPr>
        <w:ind w:left="4" w:right="40" w:firstLine="987"/>
        <w:spacing w:after="0" w:line="261" w:lineRule="auto"/>
        <w:tabs>
          <w:tab w:leader="none" w:pos="137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9"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3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5"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38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83" w:lineRule="exact"/>
        <w:rPr>
          <w:rFonts w:ascii="Times New Roman" w:cs="Times New Roman" w:eastAsia="Times New Roman" w:hAnsi="Times New Roman"/>
          <w:sz w:val="18"/>
          <w:szCs w:val="18"/>
          <w:color w:val="auto"/>
        </w:rPr>
      </w:pPr>
    </w:p>
    <w:p>
      <w:pPr>
        <w:ind w:left="4" w:right="660" w:firstLine="987"/>
        <w:spacing w:after="0" w:line="266" w:lineRule="auto"/>
        <w:tabs>
          <w:tab w:leader="none" w:pos="138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424" w:hanging="424"/>
        <w:spacing w:after="0"/>
        <w:tabs>
          <w:tab w:leader="none" w:pos="424"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CEO Director version only.</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17" w:name="page418"/>
    <w:bookmarkEnd w:id="41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83" w:lineRule="exact"/>
        <w:rPr>
          <w:sz w:val="20"/>
          <w:szCs w:val="20"/>
          <w:color w:val="auto"/>
        </w:rPr>
      </w:pPr>
    </w:p>
    <w:p>
      <w:pPr>
        <w:ind w:right="40" w:firstLine="987"/>
        <w:spacing w:after="0" w:line="261" w:lineRule="auto"/>
        <w:tabs>
          <w:tab w:leader="none" w:pos="138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33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“Proceeding” shall not include any action, suit or arbitration, or part thereof, initiated by Indemnitee to enforce Indemnitee’s rights under this Agreement as provided for in Section 12(a) of this Agreement.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The Company shall indemnify Indemnitee to the extent set forth in this Section 4 if Indemnitee is, or is threatened to be made, a party to or a participant in any Proceeding by or in the right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18" w:name="page419"/>
    <w:bookmarkEnd w:id="4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Reimbursement for Expenses of a Witness or in Response to a Subpoena</w:t>
      </w:r>
      <w:r>
        <w:rPr>
          <w:rFonts w:ascii="Times New Roman" w:cs="Times New Roman" w:eastAsia="Times New Roman" w:hAnsi="Times New Roman"/>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3"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Exclusions</w:t>
      </w:r>
      <w:r>
        <w:rPr>
          <w:rFonts w:ascii="Times New Roman" w:cs="Times New Roman" w:eastAsia="Times New Roman" w:hAnsi="Times New Roman"/>
          <w:sz w:val="17"/>
          <w:szCs w:val="17"/>
          <w:color w:val="auto"/>
        </w:rPr>
        <w:t>. Notwithstanding any provision in this Agreement to the contrary, the Company shall not be obligated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180" w:firstLine="987"/>
        <w:spacing w:after="0" w:line="282" w:lineRule="auto"/>
        <w:tabs>
          <w:tab w:leader="none" w:pos="137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amounts otherwise indemnifiable hereunder (or for which advancement is provided hereunder) if and to the extent that Indemnitee has otherwise actually received such amounts under any insurance policy, contract, agreement or otherwise;</w:t>
      </w:r>
    </w:p>
    <w:p>
      <w:pPr>
        <w:spacing w:after="0" w:line="161" w:lineRule="exact"/>
        <w:rPr>
          <w:rFonts w:ascii="Times New Roman" w:cs="Times New Roman" w:eastAsia="Times New Roman" w:hAnsi="Times New Roman"/>
          <w:sz w:val="18"/>
          <w:szCs w:val="18"/>
          <w:color w:val="auto"/>
        </w:rPr>
      </w:pPr>
    </w:p>
    <w:p>
      <w:pPr>
        <w:ind w:right="180" w:firstLine="987"/>
        <w:spacing w:after="0" w:line="266" w:lineRule="auto"/>
        <w:tabs>
          <w:tab w:leader="none" w:pos="138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19" w:name="page420"/>
    <w:bookmarkEnd w:id="419"/>
    <w:p>
      <w:pPr>
        <w:ind w:left="4" w:right="100" w:firstLine="987"/>
        <w:spacing w:after="0" w:line="261" w:lineRule="auto"/>
        <w:tabs>
          <w:tab w:leader="none" w:pos="1375"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79" w:lineRule="exact"/>
        <w:rPr>
          <w:rFonts w:ascii="Times New Roman" w:cs="Times New Roman" w:eastAsia="Times New Roman" w:hAnsi="Times New Roman"/>
          <w:sz w:val="18"/>
          <w:szCs w:val="18"/>
          <w:color w:val="auto"/>
        </w:rPr>
      </w:pPr>
    </w:p>
    <w:p>
      <w:pPr>
        <w:ind w:left="4" w:right="200" w:firstLine="987"/>
        <w:spacing w:after="0" w:line="261" w:lineRule="auto"/>
        <w:tabs>
          <w:tab w:leader="none" w:pos="1385"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left="4" w:right="140" w:hanging="4"/>
        <w:spacing w:after="0" w:line="253" w:lineRule="auto"/>
        <w:tabs>
          <w:tab w:leader="none" w:pos="26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provides the indemnification, in its sole discretion, pursuant to the powers vested in the Company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86"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375"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20" w:name="page421"/>
    <w:bookmarkEnd w:id="420"/>
    <w:p>
      <w:pPr>
        <w:ind w:left="444"/>
        <w:spacing w:after="0"/>
        <w:tabs>
          <w:tab w:leader="none" w:pos="13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w:t>
      </w:r>
      <w:r>
        <w:rPr>
          <w:sz w:val="20"/>
          <w:szCs w:val="20"/>
          <w:color w:val="auto"/>
        </w:rPr>
        <w:tab/>
      </w:r>
      <w:r>
        <w:rPr>
          <w:rFonts w:ascii="Times New Roman" w:cs="Times New Roman" w:eastAsia="Times New Roman" w:hAnsi="Times New Roman"/>
          <w:sz w:val="17"/>
          <w:szCs w:val="17"/>
          <w:u w:val="single" w:color="auto"/>
          <w:color w:val="auto"/>
        </w:rPr>
        <w:t>Procedure for Notification and Defense of Claim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40" w:firstLine="987"/>
        <w:spacing w:after="0" w:line="266" w:lineRule="auto"/>
        <w:tabs>
          <w:tab w:leader="none" w:pos="137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38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Times New Roman" w:cs="Times New Roman" w:eastAsia="Times New Roman" w:hAnsi="Times New Roman"/>
          <w:sz w:val="18"/>
          <w:szCs w:val="18"/>
          <w:color w:val="auto"/>
        </w:rPr>
      </w:pPr>
    </w:p>
    <w:p>
      <w:pPr>
        <w:ind w:left="4" w:right="100" w:hanging="4"/>
        <w:spacing w:after="0" w:line="255" w:lineRule="auto"/>
        <w:tabs>
          <w:tab w:leader="none" w:pos="28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8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42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assume the defense in a Proceeding pursuant to paragraph (b) above, then the Company will be entitled to participate in the Proceeding at its own expense.</w:t>
      </w:r>
    </w:p>
    <w:p>
      <w:pPr>
        <w:spacing w:after="0" w:line="16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42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421" w:name="page422"/>
    <w:bookmarkEnd w:id="421"/>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w:t>
      </w:r>
      <w:r>
        <w:rPr>
          <w:sz w:val="20"/>
          <w:szCs w:val="20"/>
          <w:color w:val="auto"/>
        </w:rPr>
        <w:tab/>
      </w:r>
      <w:r>
        <w:rPr>
          <w:rFonts w:ascii="Times New Roman" w:cs="Times New Roman" w:eastAsia="Times New Roman" w:hAnsi="Times New Roman"/>
          <w:sz w:val="18"/>
          <w:szCs w:val="18"/>
          <w:u w:val="single" w:color="auto"/>
          <w:color w:val="auto"/>
        </w:rPr>
        <w:t>Procedure Upon Application for Indemnification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4</w:t>
      </w:r>
    </w:p>
    <w:p>
      <w:pPr>
        <w:spacing w:after="0" w:line="117" w:lineRule="exact"/>
        <w:rPr>
          <w:sz w:val="20"/>
          <w:szCs w:val="20"/>
          <w:color w:val="auto"/>
        </w:rPr>
      </w:pPr>
    </w:p>
    <w:p>
      <w:pPr>
        <w:ind w:left="4" w:firstLine="987"/>
        <w:spacing w:after="0" w:line="252" w:lineRule="auto"/>
        <w:tabs>
          <w:tab w:leader="none" w:pos="1375"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90" w:lineRule="exact"/>
        <w:rPr>
          <w:rFonts w:ascii="Times New Roman" w:cs="Times New Roman" w:eastAsia="Times New Roman" w:hAnsi="Times New Roman"/>
          <w:sz w:val="18"/>
          <w:szCs w:val="18"/>
          <w:color w:val="auto"/>
        </w:rPr>
      </w:pPr>
    </w:p>
    <w:p>
      <w:pPr>
        <w:ind w:left="4" w:right="80" w:firstLine="987"/>
        <w:spacing w:after="0" w:line="267" w:lineRule="auto"/>
        <w:tabs>
          <w:tab w:leader="none" w:pos="1385"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determination of entitlement to indemnification is to be made by Independent Counsel pursuant to Section 10(a), the Independent Counsel shall be selected by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w:t>
      </w:r>
    </w:p>
    <w:p>
      <w:pPr>
        <w:spacing w:after="0" w:line="5" w:lineRule="exact"/>
        <w:rPr>
          <w:rFonts w:ascii="Times New Roman" w:cs="Times New Roman" w:eastAsia="Times New Roman" w:hAnsi="Times New Roman"/>
          <w:sz w:val="17"/>
          <w:szCs w:val="17"/>
          <w:color w:val="auto"/>
        </w:rPr>
      </w:pPr>
    </w:p>
    <w:p>
      <w:pPr>
        <w:ind w:left="4" w:right="60" w:hanging="4"/>
        <w:spacing w:after="0" w:line="260" w:lineRule="auto"/>
        <w:tabs>
          <w:tab w:leader="none" w:pos="21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by Indemnitee of a written request for indemnification pursuant to Section 9(a), and (ii) the final disposition of the Proceeding, including any appeal therein,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715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7" w:lineRule="exact"/>
        <w:rPr>
          <w:sz w:val="20"/>
          <w:szCs w:val="20"/>
          <w:color w:val="auto"/>
        </w:rPr>
      </w:pPr>
    </w:p>
    <w:p>
      <w:pPr>
        <w:ind w:left="424" w:hanging="424"/>
        <w:spacing w:after="0"/>
        <w:tabs>
          <w:tab w:leader="none" w:pos="424"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Bracketed portions for CEO Director version only</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422" w:name="page423"/>
    <w:bookmarkEnd w:id="42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87" w:lineRule="exact"/>
        <w:rPr>
          <w:sz w:val="20"/>
          <w:szCs w:val="20"/>
          <w:color w:val="auto"/>
        </w:rPr>
      </w:pPr>
    </w:p>
    <w:p>
      <w:pPr>
        <w:ind w:firstLine="987"/>
        <w:spacing w:after="0" w:line="261" w:lineRule="auto"/>
        <w:tabs>
          <w:tab w:leader="none" w:pos="137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288"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Presumptions and Effect of Certain Proceedings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61" w:lineRule="auto"/>
        <w:tabs>
          <w:tab w:leader="none" w:pos="136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37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guilty,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ind w:right="140" w:firstLine="987"/>
        <w:spacing w:after="0" w:line="255" w:lineRule="auto"/>
        <w:tabs>
          <w:tab w:leader="none" w:pos="137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23" w:name="page424"/>
    <w:bookmarkEnd w:id="42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291" w:lineRule="exact"/>
        <w:rPr>
          <w:sz w:val="20"/>
          <w:szCs w:val="20"/>
          <w:color w:val="auto"/>
        </w:rPr>
      </w:pPr>
    </w:p>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Remedies of Indemnitee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40" w:firstLine="987"/>
        <w:spacing w:after="0" w:line="252" w:lineRule="auto"/>
        <w:tabs>
          <w:tab w:leader="none" w:pos="1375"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97"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385"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The Company shall also promptly provide to Indemnitee:</w:t>
      </w:r>
    </w:p>
    <w:p>
      <w:pPr>
        <w:spacing w:after="0" w:line="2" w:lineRule="exact"/>
        <w:rPr>
          <w:rFonts w:ascii="Times New Roman" w:cs="Times New Roman" w:eastAsia="Times New Roman" w:hAnsi="Times New Roman"/>
          <w:sz w:val="17"/>
          <w:szCs w:val="17"/>
          <w:color w:val="auto"/>
        </w:rPr>
      </w:pPr>
    </w:p>
    <w:p>
      <w:pPr>
        <w:ind w:left="4" w:right="240" w:hanging="4"/>
        <w:spacing w:after="0" w:line="255" w:lineRule="auto"/>
        <w:tabs>
          <w:tab w:leader="none" w:pos="21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in each case substantially concurrently with the delivery or receipt thereof by the Company.</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24" w:name="page425"/>
    <w:bookmarkEnd w:id="424"/>
    <w:p>
      <w:pPr>
        <w:ind w:right="100" w:firstLine="987"/>
        <w:spacing w:after="0" w:line="261" w:lineRule="auto"/>
        <w:tabs>
          <w:tab w:leader="none" w:pos="141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37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36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91" w:lineRule="exact"/>
        <w:rPr>
          <w:rFonts w:ascii="Times New Roman" w:cs="Times New Roman" w:eastAsia="Times New Roman" w:hAnsi="Times New Roman"/>
          <w:sz w:val="18"/>
          <w:szCs w:val="18"/>
          <w:color w:val="auto"/>
        </w:rPr>
      </w:pPr>
    </w:p>
    <w:p>
      <w:pPr>
        <w:ind w:right="680" w:firstLine="987"/>
        <w:spacing w:after="0" w:line="282" w:lineRule="auto"/>
        <w:tabs>
          <w:tab w:leader="none" w:pos="135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270"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Non-exclusivity; Survival of Rights; Insurance; Subrogation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36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25" w:name="page426"/>
    <w:bookmarkEnd w:id="425"/>
    <w:p>
      <w:pPr>
        <w:ind w:right="140" w:firstLine="987"/>
        <w:spacing w:after="0" w:line="255" w:lineRule="auto"/>
        <w:tabs>
          <w:tab w:leader="none" w:pos="137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37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37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426" w:name="page427"/>
    <w:bookmarkEnd w:id="426"/>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288" w:lineRule="exact"/>
        <w:rPr>
          <w:sz w:val="20"/>
          <w:szCs w:val="20"/>
          <w:color w:val="auto"/>
        </w:rPr>
      </w:pPr>
    </w:p>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87"/>
        <w:spacing w:after="0" w:line="266" w:lineRule="auto"/>
        <w:tabs>
          <w:tab w:leader="none" w:pos="137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38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8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ind w:left="4" w:right="20" w:hanging="4"/>
        <w:spacing w:after="0" w:line="260" w:lineRule="auto"/>
        <w:tabs>
          <w:tab w:leader="none" w:pos="26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or registered mail with postage prepaid, on the third business day after the date on which it is so mailed, (iii) mailed by reputable overnight courier</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427" w:name="page428"/>
    <w:bookmarkEnd w:id="427"/>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receipted for by the party to whom said notice or other communication shall have been directed or (iv) sent by facsimile transmission, with receipt of oral confirmation that such transmission has been received:</w:t>
      </w:r>
    </w:p>
    <w:p>
      <w:pPr>
        <w:spacing w:after="0" w:line="162" w:lineRule="exact"/>
        <w:rPr>
          <w:sz w:val="20"/>
          <w:szCs w:val="20"/>
          <w:color w:val="auto"/>
        </w:rPr>
      </w:pPr>
    </w:p>
    <w:p>
      <w:pPr>
        <w:ind w:left="1360" w:hanging="373"/>
        <w:spacing w:after="0"/>
        <w:tabs>
          <w:tab w:leader="none" w:pos="13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such address as Indemnitee shall provide to the Company.</w:t>
      </w:r>
    </w:p>
    <w:p>
      <w:pPr>
        <w:spacing w:after="0" w:line="117"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Cullinan Management,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Main Street, Suite 520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87"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Applicable Law and Consent to Jurisdiction</w:t>
      </w:r>
      <w:r>
        <w:rPr>
          <w:rFonts w:ascii="Times New Roman" w:cs="Times New Roman" w:eastAsia="Times New Roman" w:hAnsi="Times New Roman"/>
          <w:sz w:val="17"/>
          <w:szCs w:val="17"/>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28" w:name="page429"/>
    <w:bookmarkEnd w:id="428"/>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Monetary Damages Insufficient/Specific Enforcement</w:t>
      </w:r>
      <w:r>
        <w:rPr>
          <w:rFonts w:ascii="Times New Roman" w:cs="Times New Roman" w:eastAsia="Times New Roman" w:hAnsi="Times New Roman"/>
          <w:sz w:val="18"/>
          <w:szCs w:val="18"/>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CULLINAN MANAGEMENT,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-7620</wp:posOffset>
            </wp:positionV>
            <wp:extent cx="219964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117475</wp:posOffset>
            </wp:positionV>
            <wp:extent cx="231394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18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of Indemnitee]</w:t>
      </w:r>
    </w:p>
    <w:p>
      <w:pPr>
        <w:sectPr>
          <w:pgSz w:w="11900" w:h="16838" w:orient="portrait"/>
          <w:cols w:equalWidth="0" w:num="1">
            <w:col w:w="9579"/>
          </w:cols>
          <w:pgMar w:left="880" w:top="270" w:right="1440" w:bottom="1440" w:gutter="0" w:footer="0" w:header="0"/>
        </w:sectPr>
      </w:pPr>
    </w:p>
    <w:bookmarkStart w:id="430" w:name="page431"/>
    <w:bookmarkEnd w:id="430"/>
    <w:p>
      <w:pPr>
        <w:ind w:left="1002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Portions of this Exhibit have been redacted because they are both (i) not material and (ii) would be competitively harmful if publicly disclosed.</w:t>
      </w:r>
    </w:p>
    <w:p>
      <w:pPr>
        <w:spacing w:after="0" w:line="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Information that was omitted has been noted in this document with a placeholder identified by the mark “[***]”.</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CULLINAN AMBER CORP.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EXCLUSIVE PATENT LICENSE AGREEMENT</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500" w:top="117" w:right="439" w:bottom="1440" w:gutter="0" w:footer="0" w:header="0"/>
        </w:sectPr>
      </w:pPr>
    </w:p>
    <w:bookmarkStart w:id="431" w:name="page432"/>
    <w:bookmarkEnd w:id="43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MASSACHUSETTS INSTITUTE OF TECHNOLOGY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EXCLUSIVE PATENT LICENSE AGREEMENT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Agreement, effective as of December 20, 2019 (the “Effective Date”), is between the Massachusetts Institute of Technology (“</w:t>
      </w:r>
      <w:r>
        <w:rPr>
          <w:rFonts w:ascii="Times New Roman" w:cs="Times New Roman" w:eastAsia="Times New Roman" w:hAnsi="Times New Roman"/>
          <w:sz w:val="18"/>
          <w:szCs w:val="18"/>
          <w:b w:val="1"/>
          <w:bCs w:val="1"/>
          <w:color w:val="auto"/>
        </w:rPr>
        <w:t>MIT</w:t>
      </w:r>
      <w:r>
        <w:rPr>
          <w:rFonts w:ascii="Times New Roman" w:cs="Times New Roman" w:eastAsia="Times New Roman" w:hAnsi="Times New Roman"/>
          <w:sz w:val="18"/>
          <w:szCs w:val="18"/>
          <w:color w:val="auto"/>
        </w:rPr>
        <w:t>”), a Massachusetts non-profit corporation and educational institution, with a principal office at 77 Massachusetts Avenue, Cambridge, MA 02139-4307 and Cullinan Amber Corp.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with a principal place of business at One Main Street, Cambridge, MA 02142.</w:t>
      </w: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Patent Rights (as defined herein) relating to [***], were developed by MIT researcher Karl Dane Wittrup and others;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MIT has the right to grant licenses under the Patent Rights; and</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WHEREAS, MIT desires to have the Patent Rights developed and commercialized to benefit the public and is willing to grant a license thereunder; and</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WHEREAS, Company has represented to MIT, to induce MIT to enter into this Agreement, that Company shall commit itself to a diligent program of exploiting the Patent Rights so that public utilization shall result therefrom;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Company desires to obtain a license under the Patent Rights upon the terms and conditions hereinafter set forth;</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40" w:top="266" w:right="579" w:bottom="1440" w:gutter="0" w:footer="0" w:header="0"/>
        </w:sectPr>
      </w:pPr>
    </w:p>
    <w:bookmarkStart w:id="432" w:name="page433"/>
    <w:bookmarkEnd w:id="4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MIT and Company hereby agree as follows:</w:t>
      </w:r>
    </w:p>
    <w:p>
      <w:pPr>
        <w:spacing w:after="0" w:line="333" w:lineRule="exact"/>
        <w:rPr>
          <w:sz w:val="20"/>
          <w:szCs w:val="20"/>
          <w:color w:val="auto"/>
        </w:rPr>
      </w:pPr>
    </w:p>
    <w:p>
      <w:pPr>
        <w:ind w:left="324" w:hanging="324"/>
        <w:spacing w:after="0"/>
        <w:tabs>
          <w:tab w:leader="none" w:pos="32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3"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mean, with respect to any organization or entity, any person, organization or entity controlling, controlled by or under common control with, such organization or entity. For purposes of this definition only, “control” of another person,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 the organization or other entity. The parties acknowledge that in the case of certain entities organized under the laws of certain countries outside of the United States, the maximum percentage ownership permitted by law for a foreign investor may be less than fifty percent (50%), and that in such cases such lower percentage shall be substituted in the preceding sentence.</w:t>
      </w:r>
    </w:p>
    <w:p>
      <w:pPr>
        <w:spacing w:after="0" w:line="188"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“Affiliated Sublicensee”</w:t>
      </w:r>
      <w:r>
        <w:rPr>
          <w:rFonts w:ascii="Times New Roman" w:cs="Times New Roman" w:eastAsia="Times New Roman" w:hAnsi="Times New Roman"/>
          <w:sz w:val="18"/>
          <w:szCs w:val="18"/>
          <w:color w:val="auto"/>
        </w:rPr>
        <w:t xml:space="preserve"> shall mean any Sublicensee that is an Affiliate at the time such Sublicense is granted, for as long as it remains an Affiliate.</w:t>
      </w:r>
    </w:p>
    <w:p>
      <w:pPr>
        <w:spacing w:after="0" w:line="15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Change of Control of Company</w:t>
      </w:r>
      <w:r>
        <w:rPr>
          <w:rFonts w:ascii="Times New Roman" w:cs="Times New Roman" w:eastAsia="Times New Roman" w:hAnsi="Times New Roman"/>
          <w:sz w:val="18"/>
          <w:szCs w:val="18"/>
          <w:color w:val="auto"/>
        </w:rPr>
        <w:t>” shall mean (a) a merger, share exchange or other reorganization concerning the direct or indirect ownership of Company, (b) the acquisition of ownership, directly or indirectly, beneficially or of record, by any person or group of the capital stock of Company representing a majority of the aggregate ordinary voting power, or aggregate equity value represented by the issued and outstanding capital stock, of Company, or (c) a sale of all or substantially all of the assets of Company or that portion of Company’s business to which the license granted under this Agreement relates in one transaction or a series of related transactions, in which for each of (a), (b) and (c) the persons or entities that own capital stock of Company representing a majority of the voting power of Company prior to such transaction do not own a majority of the voting power of the acquiring, surviving or successor entity, as the case may be; and (d) the first sale of Company’s common stock in a firm commitment underwritten public offering registered under the Securities Act of 1933, as amended, pursuant to an effective registration statement, provided however, that a transaction in which working capital is raised through the non-public issuance of equity in Company to investors shall not constitute a Change of Control</w:t>
      </w:r>
      <w:r>
        <w:rPr>
          <w:rFonts w:ascii="Times New Roman" w:cs="Times New Roman" w:eastAsia="Times New Roman" w:hAnsi="Times New Roman"/>
          <w:sz w:val="18"/>
          <w:szCs w:val="18"/>
          <w:i w:val="1"/>
          <w:iCs w:val="1"/>
          <w:color w:val="auto"/>
        </w:rPr>
        <w: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433" w:name="page434"/>
    <w:bookmarkEnd w:id="433"/>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 “</w:t>
      </w:r>
      <w:r>
        <w:rPr>
          <w:rFonts w:ascii="Times New Roman" w:cs="Times New Roman" w:eastAsia="Times New Roman" w:hAnsi="Times New Roman"/>
          <w:sz w:val="18"/>
          <w:szCs w:val="18"/>
          <w:b w:val="1"/>
          <w:bCs w:val="1"/>
          <w:color w:val="auto"/>
        </w:rPr>
        <w:t>Change of Control of an Affiliated Sublicensee</w:t>
      </w:r>
      <w:r>
        <w:rPr>
          <w:rFonts w:ascii="Times New Roman" w:cs="Times New Roman" w:eastAsia="Times New Roman" w:hAnsi="Times New Roman"/>
          <w:sz w:val="18"/>
          <w:szCs w:val="18"/>
          <w:color w:val="auto"/>
        </w:rPr>
        <w:t>” shall mean (a) a merger, share exchange or other reorganization in which an Affiliated Sublicensee is a constituent party, (b) the acquisition, in a single transaction or series of related transactions, by a person or entity or a group of related persons or entities, of a majority of the voting power of the Affiliated Sublicensee from the direct or indirect equity holders of such Affiliated Sublicensee, or (c) the sale, lease transfer, exclusive license or other disposition, in a single transaction or series of related transactions of all or substantially all of the assets of the Affiliated Sublicensee (or that portion of its assets related to the subject matter of the Sublicense), in which for each of (a), (b) and (c) the direct or indirect equity holders of the Affiliated Sublicensee that own a majority of the voting power of the Affiliated Sublicensee prior to such transaction do not own a majority of the voting power of the acquiring, surviving or successor entity, as the case may be; and (d) the first sale of the Affiliated Sublicensee’s common stock in a firm commitment underwritten public offering registered under the Securities Act of 1933, as amended, pursuant to an effective registration statement.</w:t>
      </w:r>
    </w:p>
    <w:p>
      <w:pPr>
        <w:spacing w:after="0" w:line="18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Combination Product</w:t>
      </w:r>
      <w:r>
        <w:rPr>
          <w:rFonts w:ascii="Times New Roman" w:cs="Times New Roman" w:eastAsia="Times New Roman" w:hAnsi="Times New Roman"/>
          <w:sz w:val="17"/>
          <w:szCs w:val="17"/>
          <w:color w:val="auto"/>
        </w:rPr>
        <w:t>” shall mean any product incorporating both (a) [***] and (b) [***].</w:t>
      </w:r>
    </w:p>
    <w:p>
      <w:pPr>
        <w:spacing w:after="0" w:line="225" w:lineRule="exact"/>
        <w:rPr>
          <w:sz w:val="20"/>
          <w:szCs w:val="20"/>
          <w:color w:val="auto"/>
        </w:rPr>
      </w:pPr>
    </w:p>
    <w:p>
      <w:pPr>
        <w:ind w:right="1340" w:firstLine="440"/>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Diligence Requirements</w:t>
      </w:r>
      <w:r>
        <w:rPr>
          <w:rFonts w:ascii="Times New Roman" w:cs="Times New Roman" w:eastAsia="Times New Roman" w:hAnsi="Times New Roman"/>
          <w:sz w:val="18"/>
          <w:szCs w:val="18"/>
          <w:color w:val="auto"/>
        </w:rPr>
        <w:t xml:space="preserve">” shall mean those activities and/or events that constitute Company’s specific development and commercialization milestones, more specifically described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20" w:firstLine="440"/>
        <w:spacing w:after="0" w:line="26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shall mean a third party engaged in the distribution of pharmaceutical products that is not an Affiliate of Company or a Sublicensee and to which Company or a Sublicensee has sold Licensed Products in an arms’ length transaction and from which Company or a Sublicensee will not receive any additional benefit separate from the payment for such Licensed Products.</w:t>
      </w:r>
    </w:p>
    <w:p>
      <w:pPr>
        <w:spacing w:after="0" w:line="17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color w:val="auto"/>
        </w:rPr>
        <w:t>Expansion Fields</w:t>
      </w:r>
      <w:r>
        <w:rPr>
          <w:rFonts w:ascii="Times New Roman" w:cs="Times New Roman" w:eastAsia="Times New Roman" w:hAnsi="Times New Roman"/>
          <w:sz w:val="18"/>
          <w:szCs w:val="18"/>
          <w:color w:val="auto"/>
        </w:rPr>
        <w:t>” shall mean a protein collagen binding domain fused to either or both: 1) [***]; and/or 2) [***].</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shall mean a protein collagen binding domain fused to either or both: [***], for the diagnosis, prognosis, prophylaxis or treatment of cancer in humans or other animals.</w:t>
      </w:r>
    </w:p>
    <w:p>
      <w:pPr>
        <w:spacing w:after="0" w:line="155" w:lineRule="exact"/>
        <w:rPr>
          <w:sz w:val="20"/>
          <w:szCs w:val="20"/>
          <w:color w:val="auto"/>
        </w:rPr>
      </w:pPr>
    </w:p>
    <w:p>
      <w:pPr>
        <w:ind w:right="4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shall mean, with respect to a Licensed Product, the date of the first sale (in exchange for cash or other consideration to which value can reasonably be assigned for the purpose of determining Net Sales) by Company, its agents or Sublicensees of such Licensed Product in a given country to a Distributor or to an independent third party for end use or consumption of such Licensed Product in such country.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434" w:name="page435"/>
    <w:bookmarkEnd w:id="434"/>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 “</w:t>
      </w:r>
      <w:r>
        <w:rPr>
          <w:rFonts w:ascii="Times New Roman" w:cs="Times New Roman" w:eastAsia="Times New Roman" w:hAnsi="Times New Roman"/>
          <w:sz w:val="18"/>
          <w:szCs w:val="18"/>
          <w:b w:val="1"/>
          <w:bCs w:val="1"/>
          <w:color w:val="auto"/>
        </w:rPr>
        <w:t>Fully Funded Project</w:t>
      </w:r>
      <w:r>
        <w:rPr>
          <w:rFonts w:ascii="Times New Roman" w:cs="Times New Roman" w:eastAsia="Times New Roman" w:hAnsi="Times New Roman"/>
          <w:sz w:val="18"/>
          <w:szCs w:val="18"/>
          <w:color w:val="auto"/>
        </w:rPr>
        <w:t>” shall mean a development project for a specific Licensed Product at a level of funding no less than [***] for [***] of the project, [***] for [***] of the project and [***] thereafter, ending upon First Commercial Sale of such Licensed Product.</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Improvement</w:t>
      </w:r>
      <w:r>
        <w:rPr>
          <w:rFonts w:ascii="Times New Roman" w:cs="Times New Roman" w:eastAsia="Times New Roman" w:hAnsi="Times New Roman"/>
          <w:sz w:val="17"/>
          <w:szCs w:val="17"/>
          <w:color w:val="auto"/>
        </w:rPr>
        <w:t>” shall mean a patentable invention which is:</w:t>
      </w:r>
    </w:p>
    <w:p>
      <w:pPr>
        <w:spacing w:after="0" w:line="121" w:lineRule="exact"/>
        <w:rPr>
          <w:sz w:val="20"/>
          <w:szCs w:val="20"/>
          <w:color w:val="auto"/>
        </w:rPr>
      </w:pPr>
    </w:p>
    <w:p>
      <w:pPr>
        <w:ind w:right="580" w:firstLine="1428"/>
        <w:spacing w:after="0" w:line="282" w:lineRule="auto"/>
        <w:tabs>
          <w:tab w:leader="none" w:pos="164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 from research performed in the laboratory of Karl Dane Wittrup at the Koch Institute for Integrative Cancer Research at MIT and directed to use in the Field;</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to the MIT Technology Licensing Office and conceived and reduced to practice within [***] after the Effective Date;</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Karl Dane Wittrup as an inventor;</w:t>
      </w:r>
    </w:p>
    <w:p>
      <w:pPr>
        <w:spacing w:after="0" w:line="225" w:lineRule="exact"/>
        <w:rPr>
          <w:rFonts w:ascii="Times New Roman" w:cs="Times New Roman" w:eastAsia="Times New Roman" w:hAnsi="Times New Roman"/>
          <w:sz w:val="18"/>
          <w:szCs w:val="18"/>
          <w:color w:val="auto"/>
        </w:rPr>
      </w:pPr>
    </w:p>
    <w:p>
      <w:pPr>
        <w:ind w:right="40" w:firstLine="1428"/>
        <w:spacing w:after="0" w:line="282" w:lineRule="auto"/>
        <w:tabs>
          <w:tab w:leader="none" w:pos="173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Dominated by a Valid Claim of the Patent Rights exclusively licensed in the Field under this Agreement and listed on Appendix A as of the Effective Date; and</w:t>
      </w:r>
    </w:p>
    <w:p>
      <w:pPr>
        <w:spacing w:after="0" w:line="161" w:lineRule="exact"/>
        <w:rPr>
          <w:rFonts w:ascii="Times New Roman" w:cs="Times New Roman" w:eastAsia="Times New Roman" w:hAnsi="Times New Roman"/>
          <w:sz w:val="18"/>
          <w:szCs w:val="18"/>
          <w:color w:val="auto"/>
        </w:rPr>
      </w:pPr>
    </w:p>
    <w:p>
      <w:pPr>
        <w:ind w:right="100" w:firstLine="1428"/>
        <w:spacing w:after="0" w:line="282" w:lineRule="auto"/>
        <w:tabs>
          <w:tab w:leader="none" w:pos="168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for licensing after satisfaction of any obligations to third parties, including without limitation sponsors of the research leading to such invention.</w:t>
      </w:r>
    </w:p>
    <w:p>
      <w:pPr>
        <w:spacing w:after="0" w:line="158" w:lineRule="exact"/>
        <w:rPr>
          <w:sz w:val="20"/>
          <w:szCs w:val="20"/>
          <w:color w:val="auto"/>
        </w:rPr>
      </w:pPr>
    </w:p>
    <w:p>
      <w:pPr>
        <w:jc w:val="both"/>
        <w:ind w:right="420" w:firstLine="440"/>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shall mean, on a country-by-country basis, any product in the Field, the making, using, selling, offering for sale, importing or exporting in the country in question would (without the license granted hereunder) infringe at least [***] Valid Claim (were it to have issued) or issued Valid Claim in that country.</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Sales</w:t>
      </w:r>
      <w:r>
        <w:rPr>
          <w:rFonts w:ascii="Times New Roman" w:cs="Times New Roman" w:eastAsia="Times New Roman" w:hAnsi="Times New Roman"/>
          <w:sz w:val="17"/>
          <w:szCs w:val="17"/>
          <w:color w:val="auto"/>
        </w:rPr>
        <w:t>” shall mean the gross amount billed by Company and its Sublicensees or agents, for Licensed Products, less the following:</w:t>
      </w:r>
    </w:p>
    <w:p>
      <w:pPr>
        <w:spacing w:after="0" w:line="229" w:lineRule="exact"/>
        <w:rPr>
          <w:sz w:val="20"/>
          <w:szCs w:val="20"/>
          <w:color w:val="auto"/>
        </w:rPr>
      </w:pPr>
    </w:p>
    <w:p>
      <w:pPr>
        <w:ind w:left="1240" w:hanging="253"/>
        <w:spacing w:after="0"/>
        <w:tabs>
          <w:tab w:leader="none" w:pos="12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435" w:name="page436"/>
    <w:bookmarkEnd w:id="43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Combination Product, [***] (the “</w:t>
      </w:r>
      <w:r>
        <w:rPr>
          <w:rFonts w:ascii="Times New Roman" w:cs="Times New Roman" w:eastAsia="Times New Roman" w:hAnsi="Times New Roman"/>
          <w:sz w:val="18"/>
          <w:szCs w:val="18"/>
          <w:b w:val="1"/>
          <w:bCs w:val="1"/>
          <w:color w:val="auto"/>
        </w:rPr>
        <w:t>Combination Value Report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shall mean a legal or administrative challenge to the validity, patentability, scope or enforceability of any of the Patent Rights (as defined below) or otherwise opposing any of the Patent Rights; provided, however, that a Patent Challenge shall not include: (a) arguments made by Company in the ordinary course of patent office prosecution for the purpose of distinguishing the inventions claimed in patents or patent applications owned or controlled by Company (“</w:t>
      </w:r>
      <w:r>
        <w:rPr>
          <w:rFonts w:ascii="Times New Roman" w:cs="Times New Roman" w:eastAsia="Times New Roman" w:hAnsi="Times New Roman"/>
          <w:sz w:val="18"/>
          <w:szCs w:val="18"/>
          <w:b w:val="1"/>
          <w:bCs w:val="1"/>
          <w:color w:val="auto"/>
        </w:rPr>
        <w:t>Company Patents</w:t>
      </w:r>
      <w:r>
        <w:rPr>
          <w:rFonts w:ascii="Times New Roman" w:cs="Times New Roman" w:eastAsia="Times New Roman" w:hAnsi="Times New Roman"/>
          <w:sz w:val="18"/>
          <w:szCs w:val="18"/>
          <w:color w:val="auto"/>
        </w:rPr>
        <w:t>”) from those claimed in the Patent Rights to the extent such arguments do not disparage, criticize or otherwise undermine the Patent Rights or raise any issue of the Patent Rights’ compliance with or sufficiency under applicable patent laws, regulations or administrative rules, or disrupt prosecution of any of the Patent Rights in the ordinary course of patent office prosecution, or</w:t>
      </w:r>
    </w:p>
    <w:p>
      <w:pPr>
        <w:spacing w:after="0" w:line="4" w:lineRule="exact"/>
        <w:rPr>
          <w:sz w:val="20"/>
          <w:szCs w:val="20"/>
          <w:color w:val="auto"/>
        </w:rPr>
      </w:pPr>
    </w:p>
    <w:p>
      <w:pPr>
        <w:ind w:left="4" w:right="460" w:hanging="4"/>
        <w:spacing w:after="0" w:line="260" w:lineRule="auto"/>
        <w:tabs>
          <w:tab w:leader="none" w:pos="25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arguments or assertions as to whether the Patent Rights cover a given product that arise in a claim of breach of contract concerning Company’s royalty obligations brought by MIT.</w:t>
      </w:r>
    </w:p>
    <w:p>
      <w:pPr>
        <w:spacing w:after="0" w:line="177"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Patent Rights</w:t>
      </w:r>
      <w:r>
        <w:rPr>
          <w:rFonts w:ascii="Times New Roman" w:cs="Times New Roman" w:eastAsia="Times New Roman" w:hAnsi="Times New Roman"/>
          <w:sz w:val="17"/>
          <w:szCs w:val="17"/>
          <w:color w:val="auto"/>
        </w:rPr>
        <w:t>” shall mean:</w:t>
      </w:r>
    </w:p>
    <w:p>
      <w:pPr>
        <w:spacing w:after="0" w:line="229" w:lineRule="exact"/>
        <w:rPr>
          <w:sz w:val="20"/>
          <w:szCs w:val="20"/>
          <w:color w:val="auto"/>
        </w:rPr>
      </w:pPr>
    </w:p>
    <w:p>
      <w:pPr>
        <w:ind w:left="1244" w:hanging="253"/>
        <w:spacing w:after="0"/>
        <w:tabs>
          <w:tab w:leader="none" w:pos="12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and international patents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and international patent applications and/or provisional applications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the resulting patents;</w:t>
      </w:r>
    </w:p>
    <w:p>
      <w:pPr>
        <w:spacing w:after="0" w:line="22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patent applications resulting from the provisional applications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any divisionals, continuations, continuation-in-part applications, and continued prosecution applications (and their relevant international equivalents) of the patent applications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of such patent applications that result from the provisional applications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extent the claims are directed to subject matter specifically described in the patent applications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and the resulting patents;</w:t>
      </w:r>
    </w:p>
    <w:p>
      <w:pPr>
        <w:spacing w:after="0" w:line="179"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resulting from reissues, reexaminations, or extensions (and their relevant international equivalents) of the patents described in (a), (b), and (c) above; and</w:t>
      </w:r>
    </w:p>
    <w:p>
      <w:pPr>
        <w:spacing w:after="0" w:line="161"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(non-United States) patent applications and provisional applications filed after the Effective Date and the relevant international equivalents to divisionals, continuations, continuation-in-part applications and continued prosecution applications of the patent applications to the extent the claims are directed to subject matter specifically described in the patents or patent applications referred to in (a), (b), (c), and (d) above, and the resulting patents.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436" w:name="page437"/>
    <w:bookmarkEnd w:id="436"/>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1.17 </w:t>
      </w:r>
      <w:r>
        <w:rPr>
          <w:rFonts w:ascii="Times New Roman" w:cs="Times New Roman" w:eastAsia="Times New Roman" w:hAnsi="Times New Roman"/>
          <w:sz w:val="18"/>
          <w:szCs w:val="18"/>
          <w:b w:val="1"/>
          <w:bCs w:val="1"/>
          <w:color w:val="auto"/>
        </w:rPr>
        <w:t>“Phase 1 Study”</w:t>
      </w:r>
      <w:r>
        <w:rPr>
          <w:rFonts w:ascii="Times New Roman" w:cs="Times New Roman" w:eastAsia="Times New Roman" w:hAnsi="Times New Roman"/>
          <w:sz w:val="18"/>
          <w:szCs w:val="18"/>
          <w:color w:val="auto"/>
        </w:rPr>
        <w:t xml:space="preserve"> shall mean a human clinical trial to evaluate the safety, toxicity, tolerance, pharmacokinetic properties, pharmacodynamic properties, dosing interval, maximum tolerated dose, dose ranging, and/or absorption, distribution, metabolism, excretion (ADME) of a Licensed Product.</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color w:val="auto"/>
        </w:rPr>
        <w:t>“Phase 2 Study”</w:t>
      </w:r>
      <w:r>
        <w:rPr>
          <w:rFonts w:ascii="Times New Roman" w:cs="Times New Roman" w:eastAsia="Times New Roman" w:hAnsi="Times New Roman"/>
          <w:sz w:val="18"/>
          <w:szCs w:val="18"/>
          <w:color w:val="auto"/>
        </w:rPr>
        <w:t xml:space="preserve"> shall mean a human clinical trial to evaluate proof of concept, proof of mechanism, and/or efficacy in the targeted patient population and/or to define the dosing range or safety profile of a Licensed Product.</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color w:val="auto"/>
        </w:rPr>
        <w:t>“Phase 3 Study”</w:t>
      </w:r>
      <w:r>
        <w:rPr>
          <w:rFonts w:ascii="Times New Roman" w:cs="Times New Roman" w:eastAsia="Times New Roman" w:hAnsi="Times New Roman"/>
          <w:sz w:val="18"/>
          <w:szCs w:val="18"/>
          <w:color w:val="auto"/>
        </w:rPr>
        <w:t xml:space="preserve"> shall mean a human clinical trial to confirm the efficacy, safety and/or further define targeted dose of a Licensed Product, which clinical trial is prospectively designed to be a pivotal trial for obtaining regulatory approval to market such Licensed Product, to patients with the disease or clinical condition under such trial.</w:t>
      </w:r>
    </w:p>
    <w:p>
      <w:pPr>
        <w:spacing w:after="0" w:line="171"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Reporting Period</w:t>
      </w:r>
      <w:r>
        <w:rPr>
          <w:rFonts w:ascii="Times New Roman" w:cs="Times New Roman" w:eastAsia="Times New Roman" w:hAnsi="Times New Roman"/>
          <w:sz w:val="17"/>
          <w:szCs w:val="17"/>
          <w:color w:val="auto"/>
        </w:rPr>
        <w:t>” shall begin on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 xml:space="preserve">“Research Support Payments” </w:t>
      </w:r>
      <w:r>
        <w:rPr>
          <w:rFonts w:ascii="Times New Roman" w:cs="Times New Roman" w:eastAsia="Times New Roman" w:hAnsi="Times New Roman"/>
          <w:sz w:val="17"/>
          <w:szCs w:val="17"/>
          <w:color w:val="auto"/>
        </w:rPr>
        <w:t>shall mean payments from a Sublicensee for the purpose of [***].</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Sublicense Income</w:t>
      </w:r>
      <w:r>
        <w:rPr>
          <w:rFonts w:ascii="Times New Roman" w:cs="Times New Roman" w:eastAsia="Times New Roman" w:hAnsi="Times New Roman"/>
          <w:sz w:val="18"/>
          <w:szCs w:val="18"/>
          <w:color w:val="auto"/>
        </w:rPr>
        <w:t>” shall mean payments (which shall include [***]) received as consideration for any Sublicense granted pursuant to this Agreement, including without limitation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but specifically excluding: [***]. For clarity, for purposes of calculating the amount of Sublicense Income owed [***], Sublicense Income shall mean [***].</w:t>
      </w:r>
    </w:p>
    <w:p>
      <w:pPr>
        <w:spacing w:after="0" w:line="17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1.23 “</w:t>
      </w:r>
      <w:r>
        <w:rPr>
          <w:rFonts w:ascii="Times New Roman" w:cs="Times New Roman" w:eastAsia="Times New Roman" w:hAnsi="Times New Roman"/>
          <w:sz w:val="17"/>
          <w:szCs w:val="17"/>
          <w:b w:val="1"/>
          <w:bCs w:val="1"/>
          <w:color w:val="auto"/>
        </w:rPr>
        <w:t>Sublicense</w:t>
      </w:r>
      <w:r>
        <w:rPr>
          <w:rFonts w:ascii="Times New Roman" w:cs="Times New Roman" w:eastAsia="Times New Roman" w:hAnsi="Times New Roman"/>
          <w:sz w:val="17"/>
          <w:szCs w:val="17"/>
          <w:color w:val="auto"/>
        </w:rPr>
        <w:t>” shall mean (i) any right granted, license given or agreement entered into by Company or a Sublicensee to or with another person or entity, under or with respect to, in connection with or permitting any use of the Patent Rights or otherwise granting rights to such person or entity pursuant to this Agreement (e.g., an agreement created for the purpose of developing a Licensed Product, such as a strategic partnership); (ii) any option or other right granted by Company or a Sublicensee to any other person or entity to negotiate for or receive any of the rights described under clause (i); or (iii) any standstill or similar obligation undertaken by Company or a Sublicensee toward another person or entity not to grant any of the rights described in clause (i) or (ii) to any third party, in each case regardless of whether such grant of rights, license given or agreement entered into is referred to or is described as a sublicense. For avoidance of doubt, each sublicense tier shall be a Sublicense. Notwithstanding anything in the foregoing,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437" w:name="page438"/>
    <w:bookmarkEnd w:id="437"/>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Change of Control of Company, a Change of Control of an Affiliated Sublicensee or the assignment or transfer of this Agreement in its entirety in accordance with Section 10 shall not be deemed a “Sublicense”.</w:t>
      </w:r>
    </w:p>
    <w:p>
      <w:pPr>
        <w:spacing w:after="0" w:line="158"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Sublicensee</w:t>
      </w:r>
      <w:r>
        <w:rPr>
          <w:rFonts w:ascii="Times New Roman" w:cs="Times New Roman" w:eastAsia="Times New Roman" w:hAnsi="Times New Roman"/>
          <w:sz w:val="17"/>
          <w:szCs w:val="17"/>
          <w:color w:val="auto"/>
        </w:rPr>
        <w:t>” shall mean any person or entity that has been granted a Sublicense under this Agreement.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mean the term of this Agreement, which shall commence on the Effective Date and, unless earlier terminated as provided herein, shall remain in effect until the expiration or abandonment of all issued patents and filed patent applications within the Patent Rights.</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shall mean worldwide.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shall mean (a) a claim of an issued and unexpired patent within the Patent Rights that has not been (i) held permanently revoked, unenforceable, unpatentable or invalid by a decision of a court or governmental body of competent jurisdiction, unappealable or unappealed within the time allowed for appeal, (ii) rendered unenforceable through disclaimer or otherwise, (iii) abandoned or (iv) permanently lost through an interference or opposition proceeding without any right of appeal or review; or (b) a pending claim of a pending patent application within the Patent Rights that (i) has been asserted and continues to be prosecuted in good faith and (ii) has not been abandoned or finally rejected without the possibility of appeal or refiling, and (iii) has not been pending for more than [***] after the date of first substantive examination of such claim, as evidenced by the receipt of an office action on the merits from the United States Patent and Trademark Office (or an equivalent examination report form a foreign patent office); provided, however, that in the event such claim issues as a claim of an issued patent, then such claim shall be a Valid Claim hereunder, and Company shall pay to MIT any amounts that would otherwise have been due as if such claim had remained a Valid Claim. Notwithstanding the foregoing, if the prosecution of a given application is interrupted and/or delayed by a patent office and/or due to a Patent Challenge and/or a patent office proceeding such as an interference, appeal or opposition, then the pendency of such Patent Challenge and/or proceeding(s) shall not be included in the [***] time period set forth above following such issuance. The invalidity of a particular claim in one or more countries shall not invalidate such claim in the remaining countries of the Territory, or otherwise affect whether such claim is a Valid Claim in the remaining countries of the Territory.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38" w:name="page439"/>
    <w:bookmarkEnd w:id="438"/>
    <w:p>
      <w:pPr>
        <w:ind w:left="324" w:hanging="324"/>
        <w:spacing w:after="0"/>
        <w:tabs>
          <w:tab w:leader="none" w:pos="32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OF RIGHTS</w:t>
      </w:r>
    </w:p>
    <w:p>
      <w:pPr>
        <w:spacing w:after="0" w:line="11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 Grants</w:t>
      </w:r>
      <w:r>
        <w:rPr>
          <w:rFonts w:ascii="Times New Roman" w:cs="Times New Roman" w:eastAsia="Times New Roman" w:hAnsi="Times New Roman"/>
          <w:sz w:val="18"/>
          <w:szCs w:val="18"/>
          <w:color w:val="auto"/>
        </w:rPr>
        <w:t>. Subject to the terms of this Agreement, MIT hereby grants to Company for the Term in the Field: an exclusive (subject to the reserved rights described below) equity and royalty-bearing license under the Patent Rights to develop, make, have made, use, sell, have sold, offer to sell, lease, and import Licensed Products in the Field in the Territory.</w:t>
      </w:r>
    </w:p>
    <w:p>
      <w:pPr>
        <w:spacing w:after="0" w:line="284"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Option Rights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44" w:hanging="253"/>
        <w:spacing w:after="0"/>
        <w:tabs>
          <w:tab w:leader="none" w:pos="124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Limited-Term Option to Expansion Fields.</w:t>
      </w:r>
    </w:p>
    <w:p>
      <w:pPr>
        <w:spacing w:after="0" w:line="113" w:lineRule="exact"/>
        <w:rPr>
          <w:rFonts w:ascii="Times New Roman" w:cs="Times New Roman" w:eastAsia="Times New Roman" w:hAnsi="Times New Roman"/>
          <w:sz w:val="18"/>
          <w:szCs w:val="18"/>
          <w:color w:val="auto"/>
        </w:rPr>
      </w:pPr>
    </w:p>
    <w:p>
      <w:pPr>
        <w:ind w:left="4" w:firstLine="1428"/>
        <w:spacing w:after="0" w:line="259" w:lineRule="auto"/>
        <w:tabs>
          <w:tab w:leader="none" w:pos="165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 hereby grants Company an exclusive option to amend the Field to include Expansion Fields (the “</w:t>
      </w:r>
      <w:r>
        <w:rPr>
          <w:rFonts w:ascii="Times New Roman" w:cs="Times New Roman" w:eastAsia="Times New Roman" w:hAnsi="Times New Roman"/>
          <w:sz w:val="18"/>
          <w:szCs w:val="18"/>
          <w:b w:val="1"/>
          <w:bCs w:val="1"/>
          <w:color w:val="auto"/>
        </w:rPr>
        <w:t>Option Right</w:t>
      </w:r>
      <w:r>
        <w:rPr>
          <w:rFonts w:ascii="Times New Roman" w:cs="Times New Roman" w:eastAsia="Times New Roman" w:hAnsi="Times New Roman"/>
          <w:sz w:val="18"/>
          <w:szCs w:val="18"/>
          <w:color w:val="auto"/>
        </w:rPr>
        <w:t>”), provided however, that the Company’s exercise of such Option Right is contingent on Company providing MIT with a research and development plan, including specific mutually acceptable diligence requirements, such diligence requirements to be added by amendment to this Agreement for the commercial development of Licensed Products in the Expansion Fields. Such Option Right shall be exercisable by Company on an Expansion Field-by-Expansion Field basis.</w:t>
      </w:r>
    </w:p>
    <w:p>
      <w:pPr>
        <w:spacing w:after="0" w:line="179" w:lineRule="exact"/>
        <w:rPr>
          <w:rFonts w:ascii="Times New Roman" w:cs="Times New Roman" w:eastAsia="Times New Roman" w:hAnsi="Times New Roman"/>
          <w:sz w:val="18"/>
          <w:szCs w:val="18"/>
          <w:color w:val="auto"/>
        </w:rPr>
      </w:pPr>
    </w:p>
    <w:p>
      <w:pPr>
        <w:ind w:left="4" w:right="40" w:firstLine="1428"/>
        <w:spacing w:after="0" w:line="255" w:lineRule="auto"/>
        <w:tabs>
          <w:tab w:leader="none" w:pos="170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may exercise the Option Right upon written notice to MIT on or before the [***] of the Effective Date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Company and MIT will enter into a written amendment to this Agreement with respect to any mutually agreed upon change(s)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Section 2.2. Company will pay MIT an Amendment Fee of [***] for addition of each Expansion Field so added to this Agreement and, as agreed to by the Parties through good faith negotiations, Company’s financial obligations under Sections 4.1(c) and (f) shall be amended with respect to Licensed Products in the applicable Expansion Field to reflect the additional rights and value being added . If Company does not elect to exercise the Option Right or fails to exercise the Option Right during the Option Period with respect to an Expansion Field(s), or if MIT and Company are unable to reach agreement on acceptable diligence milestones and/or financials for such Expansion Field(s) within [***] after Company has exercised the Option Right, Company’s rights under this Section 2.2 shall expire with respect to such Expansion Field.</w:t>
      </w:r>
    </w:p>
    <w:p>
      <w:pPr>
        <w:spacing w:after="0" w:line="29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Limited-Term Option to Improvements.</w:t>
      </w:r>
    </w:p>
    <w:p>
      <w:pPr>
        <w:spacing w:after="0" w:line="117" w:lineRule="exact"/>
        <w:rPr>
          <w:rFonts w:ascii="Times New Roman" w:cs="Times New Roman" w:eastAsia="Times New Roman" w:hAnsi="Times New Roman"/>
          <w:sz w:val="18"/>
          <w:szCs w:val="18"/>
          <w:color w:val="auto"/>
        </w:rPr>
      </w:pPr>
    </w:p>
    <w:p>
      <w:pPr>
        <w:ind w:left="4" w:right="160" w:firstLine="1428"/>
        <w:spacing w:after="0" w:line="312" w:lineRule="auto"/>
        <w:tabs>
          <w:tab w:leader="none" w:pos="1651"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MIT Technology Licensing Office receives disclosure of an Improvement, the MIT Technology Licensing Office (“</w:t>
      </w:r>
      <w:r>
        <w:rPr>
          <w:rFonts w:ascii="Times New Roman" w:cs="Times New Roman" w:eastAsia="Times New Roman" w:hAnsi="Times New Roman"/>
          <w:sz w:val="17"/>
          <w:szCs w:val="17"/>
          <w:b w:val="1"/>
          <w:bCs w:val="1"/>
          <w:color w:val="auto"/>
        </w:rPr>
        <w:t>TLO</w:t>
      </w:r>
      <w:r>
        <w:rPr>
          <w:rFonts w:ascii="Times New Roman" w:cs="Times New Roman" w:eastAsia="Times New Roman" w:hAnsi="Times New Roman"/>
          <w:sz w:val="17"/>
          <w:szCs w:val="17"/>
          <w:color w:val="auto"/>
        </w:rPr>
        <w:t>”) shall notify Company in writing of the Improvement and provide Company a copy of the invention disclosure, and, if applicable, any</w:t>
      </w:r>
    </w:p>
    <w:p>
      <w:pPr>
        <w:spacing w:after="0" w:line="7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439" w:name="page440"/>
    <w:bookmarkEnd w:id="439"/>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patent application(s) (collectively, the “</w:t>
      </w:r>
      <w:r>
        <w:rPr>
          <w:rFonts w:ascii="Times New Roman" w:cs="Times New Roman" w:eastAsia="Times New Roman" w:hAnsi="Times New Roman"/>
          <w:sz w:val="18"/>
          <w:szCs w:val="18"/>
          <w:b w:val="1"/>
          <w:bCs w:val="1"/>
          <w:color w:val="auto"/>
        </w:rPr>
        <w:t>Improvement Information Package</w:t>
      </w:r>
      <w:r>
        <w:rPr>
          <w:rFonts w:ascii="Times New Roman" w:cs="Times New Roman" w:eastAsia="Times New Roman" w:hAnsi="Times New Roman"/>
          <w:sz w:val="18"/>
          <w:szCs w:val="18"/>
          <w:color w:val="auto"/>
        </w:rPr>
        <w:t>”). Such Improvement Information Package shall be kept confidential by Company in accordance with the terms in Article 14 as if MIT were the disclosing party and Company the receiving party). Notwithstanding the foregoing, MIT shall be under no obligation to file patent applications for any Improvement unless and until Company exercises its option, pursuant to this Section 2.2(b), with respect to such Improvement.</w:t>
      </w:r>
    </w:p>
    <w:p>
      <w:pPr>
        <w:spacing w:after="0" w:line="180" w:lineRule="exact"/>
        <w:rPr>
          <w:sz w:val="20"/>
          <w:szCs w:val="20"/>
          <w:color w:val="auto"/>
        </w:rPr>
      </w:pPr>
    </w:p>
    <w:p>
      <w:pPr>
        <w:ind w:right="40" w:firstLine="1979"/>
        <w:spacing w:after="0" w:line="266" w:lineRule="auto"/>
        <w:tabs>
          <w:tab w:leader="none" w:pos="224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the right to request, in writing and delivered to the TLO by Company within [***] following Company’s receipt of the Improvement Information Package, the commencement of good faith negotiations for a license to MIT’s interest in any patent application MIT controls to the extent that it claims an Improvement (the “</w:t>
      </w:r>
      <w:r>
        <w:rPr>
          <w:rFonts w:ascii="Times New Roman" w:cs="Times New Roman" w:eastAsia="Times New Roman" w:hAnsi="Times New Roman"/>
          <w:sz w:val="18"/>
          <w:szCs w:val="18"/>
          <w:b w:val="1"/>
          <w:bCs w:val="1"/>
          <w:color w:val="auto"/>
        </w:rPr>
        <w:t>Improvement Patent Rights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380" w:firstLine="1979"/>
        <w:spacing w:after="0" w:line="266" w:lineRule="auto"/>
        <w:tabs>
          <w:tab w:leader="none" w:pos="229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notifies MIT in accordance with Section 2.2(b)(ii) above, Company shall provide to MIT, within [***] following MIT’s receipt of Company’s notice, a business and development plan for Licensed Products covered by the Improvement Patent Rights (which shall include specific development milestones ), for MIT’s review and approval, not to be unreasonably withheld.</w:t>
      </w:r>
    </w:p>
    <w:p>
      <w:pPr>
        <w:spacing w:after="0" w:line="175" w:lineRule="exact"/>
        <w:rPr>
          <w:rFonts w:ascii="Times New Roman" w:cs="Times New Roman" w:eastAsia="Times New Roman" w:hAnsi="Times New Roman"/>
          <w:sz w:val="18"/>
          <w:szCs w:val="18"/>
          <w:color w:val="auto"/>
        </w:rPr>
      </w:pPr>
    </w:p>
    <w:p>
      <w:pPr>
        <w:ind w:right="40" w:firstLine="1979"/>
        <w:spacing w:after="0" w:line="272" w:lineRule="auto"/>
        <w:tabs>
          <w:tab w:leader="none" w:pos="2288"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MIT’s written approval of Company’s business and development plan, and subject to: (A) Company’s compliance with the terms of this Agreement; (B) any legal or contractual obligations MIT may have to third parties and (C) consent of the TLO, not to be unreasonably withheld, the Parties shall enter into good faith negotiations for a period of up to [***] following MIT’s approval of Company’s business and development plan for Licensed Products covered by the Improvement Patent Rights (the “</w:t>
      </w:r>
      <w:r>
        <w:rPr>
          <w:rFonts w:ascii="Times New Roman" w:cs="Times New Roman" w:eastAsia="Times New Roman" w:hAnsi="Times New Roman"/>
          <w:sz w:val="17"/>
          <w:szCs w:val="17"/>
          <w:b w:val="1"/>
          <w:bCs w:val="1"/>
          <w:color w:val="auto"/>
        </w:rPr>
        <w:t>Amendment Negotiation Period</w:t>
      </w:r>
      <w:r>
        <w:rPr>
          <w:rFonts w:ascii="Times New Roman" w:cs="Times New Roman" w:eastAsia="Times New Roman" w:hAnsi="Times New Roman"/>
          <w:sz w:val="17"/>
          <w:szCs w:val="17"/>
          <w:color w:val="auto"/>
        </w:rPr>
        <w:t>”) to amend this Agreement to include a grant of rights to MIT’s interest in the Improvement Patent Rights upon commercially reasonable financial terms (including, for example, an upfront fee, maintenance fees, milestone payments, etc.) and updated diligence requirements, as applicable. If MIT and Company fail to reach agreement on terms within such Amendment Negotiation Period, then Company shall have no further rights with respect to the Improvement Patent Rights and MIT will be entitled to grant licenses to third parties to such Improvement Patent Rights without any further obligation to Company.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440" w:name="page441"/>
    <w:bookmarkEnd w:id="440"/>
    <w:p>
      <w:pPr>
        <w:ind w:right="100" w:firstLine="1979"/>
        <w:spacing w:after="0" w:line="255" w:lineRule="auto"/>
        <w:tabs>
          <w:tab w:leader="none" w:pos="223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new and/or revised diligence and financial terms included in the Amendment, as set forth in Section 2.2(b)(iv) above, and in addition thereto, for each Improvement option exercised, Company will pay MIT an Improvement Addition Fee of [***], and Company shall be responsible for [***] in accordance with Section 4.1(a)(ii) and Section 6.4. Upon Company’s exercise of such Improvement option right and payment of the relevant fee(s): (A)Appendix A shall be amended to add the patent application(s) covering such Improvement, and such Improvement and any resulting patent applications and patents shall thereafter be included in the Patent Rights for all purposes of this Agreement and (B) the parties shall amend this Agreement to include any terms and/or conditions associated with or in connection to the Improvement, as applicable.</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Sublicense Rights</w:t>
      </w:r>
      <w:r>
        <w:rPr>
          <w:rFonts w:ascii="Times New Roman" w:cs="Times New Roman" w:eastAsia="Times New Roman" w:hAnsi="Times New Roman"/>
          <w:sz w:val="18"/>
          <w:szCs w:val="18"/>
          <w:color w:val="auto"/>
        </w:rPr>
        <w:t>. So long as Company remains the exclusive licensee of the Patent Rights in the Field in the Territory, Company shall have the right to grant Sublicenses through [***] tiers without consent of MIT, including some or all of its rights under Section 2.1 (License Grants). Company shall not have the right to grant Sublicenses beyond [***] tiers. Company, and Sublicensees, as applicable, shall incorporate terms and conditions into Sublicense agreements sufficient to enable Company to comply with this Agreement, and specifically must include the following:</w:t>
      </w:r>
    </w:p>
    <w:p>
      <w:pPr>
        <w:spacing w:after="0" w:line="180" w:lineRule="exact"/>
        <w:rPr>
          <w:sz w:val="20"/>
          <w:szCs w:val="20"/>
          <w:color w:val="auto"/>
        </w:rPr>
      </w:pPr>
    </w:p>
    <w:p>
      <w:pPr>
        <w:ind w:left="1420" w:hanging="433"/>
        <w:spacing w:after="0"/>
        <w:tabs>
          <w:tab w:leader="none" w:pos="14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necessary to ensure Company’s ability to perform its obligations under this Agreement;</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38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section substantially the same as Article 8 of this Agreement, which also will state that the Indemnitees (as defined in Section 8.1 (Indemnification)) are intended third party beneficiaries of such Sublicense agreement for the purpose of enforcing such indemnification;</w:t>
      </w:r>
    </w:p>
    <w:p>
      <w:pPr>
        <w:spacing w:after="0" w:line="161"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41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clarifying that, in the event of termination of the license set forth in Section 2.1 (License Grants) (in whole or in part (e.g., termination in a particular country)), any existing Sublicense agreement shall terminate to the extent of such terminated license and subject to Section 12.5;</w:t>
      </w:r>
    </w:p>
    <w:p>
      <w:pPr>
        <w:spacing w:after="0" w:line="175" w:lineRule="exact"/>
        <w:rPr>
          <w:rFonts w:ascii="Times New Roman" w:cs="Times New Roman" w:eastAsia="Times New Roman" w:hAnsi="Times New Roman"/>
          <w:sz w:val="18"/>
          <w:szCs w:val="18"/>
          <w:color w:val="auto"/>
        </w:rPr>
      </w:pPr>
    </w:p>
    <w:p>
      <w:pPr>
        <w:ind w:firstLine="987"/>
        <w:spacing w:after="0" w:line="281" w:lineRule="auto"/>
        <w:tabs>
          <w:tab w:leader="none" w:pos="1381"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prohibiting the Sublicensee from assigning the Sublicense agreement without the prior written consent of MIT; provided, however, that such written consent shall not be required in the event Sublicensee assigns the Sublicense agreement to an Affiliate or to any third party in connection with a change of control, merger, consolidation, stock sale or sale or transfer of all or substantially all of its assets to which the Sublicense agreement relates, provided that: (i) Company is in full compliance with this Agreement and Company certifies in writing to MIT that Sublicensee is in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441" w:name="page442"/>
    <w:bookmarkEnd w:id="44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full compliance with the terms of the Sublicense, such certification signed by a Company executive, (ii) MIT is promptly notified of the assignment and the assignee, and (iii) the assignee agrees in writing to be bound by the terms of the applicable Sublicense. Nothing in this Section 2.3(d) shall be construed to modify or eliminate any obligation of Company to pay MIT a fee in connection with a Change of Control of an Affiliated Sublicensee in accordance with Section 4.1(i); and</w:t>
      </w:r>
    </w:p>
    <w:p>
      <w:pPr>
        <w:spacing w:after="0" w:line="180" w:lineRule="exact"/>
        <w:rPr>
          <w:sz w:val="20"/>
          <w:szCs w:val="20"/>
          <w:color w:val="auto"/>
        </w:rPr>
      </w:pPr>
    </w:p>
    <w:p>
      <w:pPr>
        <w:jc w:val="both"/>
        <w:ind w:right="520" w:firstLine="987"/>
        <w:spacing w:after="0" w:line="266" w:lineRule="auto"/>
        <w:tabs>
          <w:tab w:leader="none" w:pos="141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Sublicenses with Affiliated Sublicensees, a provision enabling Company to pay MIT a fee upon the Change of Control of such Affiliated Sublicensee as described in Section 4.1(i). For clarity, the assignment or transfer of this Agreement from one Affiliated Sublicensee to another Affiliated Sublicensee shall not be deemed to be Change of Control of an Affiliated Sublicensee.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Non-monetary consideration shall not be accepted by Company, or any Sublicensee, as applicable, for any Sublicense agreement, without the prior written consent of MIT, which consent shall not be unreasonably conditioned, withheld or delayed. If MIT approves such non-monetary consideration in connection with a Sublicense, Sublicense Income will be calculated based on [***]. Company, and any Sublicensee, as applicable, shall promptly furnish MIT with a copy of each executed Sublicense agreement and any amendments thereto and, also, shall report each executed Sublicense agreement and relevant amendment(s) to MIT as required under Section 5.1 (Progress Reports). Company shall be responsible for any breach of a Sublicense agreement by any Sublicensee that results in a material breach of this Agreement. Company shall either (a) cure such breach in accordance with Section 12.3(b) (Other Material Breach) of this Agreement or (b) enforce its rights by terminating such Sublicense agreement in accordance with the terms thereof.</w:t>
      </w:r>
    </w:p>
    <w:p>
      <w:pPr>
        <w:spacing w:after="0" w:line="19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Manufacturing</w:t>
      </w:r>
      <w:r>
        <w:rPr>
          <w:rFonts w:ascii="Times New Roman" w:cs="Times New Roman" w:eastAsia="Times New Roman" w:hAnsi="Times New Roman"/>
          <w:sz w:val="18"/>
          <w:szCs w:val="18"/>
          <w:color w:val="auto"/>
        </w:rPr>
        <w:t>. Company agrees to comply with the applicable requirements of 35 U.S.C. § 204 “Preference for United States Industry”, as amended, or any successor statutes or regulations.</w:t>
      </w:r>
    </w:p>
    <w:p>
      <w:pPr>
        <w:spacing w:after="0" w:line="27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Retained Rights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36"/>
        <w:spacing w:after="0" w:line="282" w:lineRule="auto"/>
        <w:tabs>
          <w:tab w:leader="none" w:pos="68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and Educational Use</w:t>
      </w:r>
      <w:r>
        <w:rPr>
          <w:rFonts w:ascii="Times New Roman" w:cs="Times New Roman" w:eastAsia="Times New Roman" w:hAnsi="Times New Roman"/>
          <w:sz w:val="18"/>
          <w:szCs w:val="18"/>
          <w:color w:val="auto"/>
        </w:rPr>
        <w:t>. MIT retains the right on behalf of itself and all other non-profit research institutions to practice under the Patent Rights for research, teaching, and educational purposes.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42" w:name="page443"/>
    <w:bookmarkEnd w:id="442"/>
    <w:p>
      <w:pPr>
        <w:ind w:left="4" w:right="80" w:firstLine="436"/>
        <w:spacing w:after="0" w:line="266" w:lineRule="auto"/>
        <w:tabs>
          <w:tab w:leader="none" w:pos="699"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Government</w:t>
      </w:r>
      <w:r>
        <w:rPr>
          <w:rFonts w:ascii="Times New Roman" w:cs="Times New Roman" w:eastAsia="Times New Roman" w:hAnsi="Times New Roman"/>
          <w:sz w:val="18"/>
          <w:szCs w:val="18"/>
          <w:color w:val="auto"/>
        </w:rPr>
        <w:t>. Company acknowledges that the U.S. federal government retains a royalty-free, non-exclusive, non-transferable license to practice any government-funded invention claimed in any Patent Rights as set forth in 35 U.S.C. §§ 201-211, and the regulations promulgated thereunder, as amended, or any successor statutes or regulations.</w:t>
      </w:r>
    </w:p>
    <w:p>
      <w:pPr>
        <w:spacing w:after="0" w:line="175"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Rights</w:t>
      </w:r>
      <w:r>
        <w:rPr>
          <w:rFonts w:ascii="Times New Roman" w:cs="Times New Roman" w:eastAsia="Times New Roman" w:hAnsi="Times New Roman"/>
          <w:sz w:val="18"/>
          <w:szCs w:val="18"/>
          <w:color w:val="auto"/>
        </w:rPr>
        <w:t>. Nothing in this Agreement shall be construed to confer any rights upon Company by implication, estoppel, or otherwise as to any technology, patent, or other rights of MIT or any other entity other than as expressly provided in Article 2, regardless of whether such technology or patent rights shall be dominant or subordinate to any Patent Rights.</w:t>
      </w:r>
    </w:p>
    <w:p>
      <w:pPr>
        <w:spacing w:after="0" w:line="2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DILIGENCE OBLIGATIONS</w:t>
      </w:r>
    </w:p>
    <w:p>
      <w:pPr>
        <w:spacing w:after="0" w:line="11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Diligence Requirements</w:t>
      </w:r>
      <w:r>
        <w:rPr>
          <w:rFonts w:ascii="Times New Roman" w:cs="Times New Roman" w:eastAsia="Times New Roman" w:hAnsi="Times New Roman"/>
          <w:sz w:val="18"/>
          <w:szCs w:val="18"/>
          <w:color w:val="auto"/>
        </w:rPr>
        <w:t xml:space="preserve">. Company shall use diligent efforts to develop, seek regulatory approval for and commercialize Licensed Products and to make Licensed Products that have gained any regulatory approval in a jurisdiction reasonably available to the public in such jurisdiction. In addition, Company shall achieve the Diligence Milestones in accordance with the schedule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hereto.</w:t>
      </w:r>
    </w:p>
    <w:p>
      <w:pPr>
        <w:spacing w:after="0" w:line="284"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Failure to Achieve Diligence Milestone; Right to Cure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0" w:firstLine="987"/>
        <w:spacing w:after="0" w:line="272" w:lineRule="auto"/>
        <w:tabs>
          <w:tab w:leader="none" w:pos="124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Company believes that it will not achieve a Diligence Milestone, it shall notify MIT in writing no less than [***] in advance of the relevant deadline and include with such notice (i) a reasonable explanation of the reasons for such failure (“</w:t>
      </w:r>
      <w:r>
        <w:rPr>
          <w:rFonts w:ascii="Times New Roman" w:cs="Times New Roman" w:eastAsia="Times New Roman" w:hAnsi="Times New Roman"/>
          <w:sz w:val="17"/>
          <w:szCs w:val="17"/>
          <w:b w:val="1"/>
          <w:bCs w:val="1"/>
          <w:color w:val="auto"/>
        </w:rPr>
        <w:t>Explanation</w:t>
      </w:r>
      <w:r>
        <w:rPr>
          <w:rFonts w:ascii="Times New Roman" w:cs="Times New Roman" w:eastAsia="Times New Roman" w:hAnsi="Times New Roman"/>
          <w:sz w:val="17"/>
          <w:szCs w:val="17"/>
          <w:color w:val="auto"/>
        </w:rPr>
        <w:t>”) and (ii) a reasonable, detailed, written plan for promptly achieving a reasonable extended and/or amended milestone (“</w:t>
      </w:r>
      <w:r>
        <w:rPr>
          <w:rFonts w:ascii="Times New Roman" w:cs="Times New Roman" w:eastAsia="Times New Roman" w:hAnsi="Times New Roman"/>
          <w:sz w:val="17"/>
          <w:szCs w:val="17"/>
          <w:b w:val="1"/>
          <w:bCs w:val="1"/>
          <w:color w:val="auto"/>
        </w:rPr>
        <w:t>Amended Plan</w:t>
      </w:r>
      <w:r>
        <w:rPr>
          <w:rFonts w:ascii="Times New Roman" w:cs="Times New Roman" w:eastAsia="Times New Roman" w:hAnsi="Times New Roman"/>
          <w:sz w:val="17"/>
          <w:szCs w:val="17"/>
          <w:color w:val="auto"/>
        </w:rPr>
        <w:t>”). If both Company’s Explanation and Amended Plan are acceptable to MIT in its reasonable discretion, then the Diligence Milestones will be amended automatically (through written amendment in accordance with Section 15.4 (Amendment and Waiver)) to incorporate the extended and/or amended milestone set forth in the Amended Plan. If Company so notifies MIT, but fails to provide MIT with both an Explanation and Amended Plan, then Company will have an additional [***] after the original deadline to meet such Diligence Requirement. Company’s failure to notify MIT of a delay in achieving a Diligence Requirement shall constitute a material breach of this Agreement for which MIT shall have the right to terminate this Agreement in accordance with Section 12.3(b).</w:t>
      </w:r>
    </w:p>
    <w:p>
      <w:pPr>
        <w:spacing w:after="0" w:line="171" w:lineRule="exact"/>
        <w:rPr>
          <w:rFonts w:ascii="Times New Roman" w:cs="Times New Roman" w:eastAsia="Times New Roman" w:hAnsi="Times New Roman"/>
          <w:sz w:val="17"/>
          <w:szCs w:val="17"/>
          <w:color w:val="auto"/>
        </w:rPr>
      </w:pPr>
    </w:p>
    <w:p>
      <w:pPr>
        <w:ind w:left="4" w:right="160" w:firstLine="987"/>
        <w:spacing w:after="0" w:line="282" w:lineRule="auto"/>
        <w:tabs>
          <w:tab w:leader="none" w:pos="125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notifies MIT and provides MIT with an Explanation and Amended Plan, but the Explanation is not acceptable to MIT in its reasonable discretion, then Company will have an additional [***] or until the original deadline of the relevant Diligence Requirement,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443" w:name="page444"/>
    <w:bookmarkEnd w:id="44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whichever is later, to meet such Diligence Requirement. Company’s failure to do so shall constitute a material breach of this Agreement for which MIT shall have the right to terminate this Agreement in accordance with Section 12.3(b). If Company so notifies MIT and provides MIT with an Explanation and Amended Plan, but the Amended Plan is not acceptable to MIT in its reasonable discretion, then MIT will explain to Company why the Amended Plan is not acceptable and provide Company with suggestions for an acceptable Amended Plan. Company will have one opportunity to provide MIT with an acceptable Amended Plan within [***] after receipt of such suggestions from MIT, during which time MIT agrees to work with Company in its effort to develop an acceptable Amended Plan. If, within such [***], Company provides MIT with an acceptable Amended Plan, then the Diligence Requirement will be amended automatically (through written amendment in accordance with Section 15.4 (Amendment and Waiver)) to incorporate the extended and/or amended milestone set forth in the Amended Plan. If, within such [***], Company fails to provide an acceptable Amended Plan, then Company will have an additional [***] or until the original deadline of the relevant Diligence Requirement, whichever is later, to meet such Diligence Requirement. Company’s failure to do so shall constitute a material breach of this Agreement for which MIT shall have the right to terminate this Agreement in accordance with Section 12.3(b). For clarity, if Company fails to achieve a Diligence Requirement and does not avail itself of the procedure set forth in this Section, then MIT shall have the right to terminate this Agreement in accordance with Section 12.3(b).</w:t>
      </w:r>
    </w:p>
    <w:p>
      <w:pPr>
        <w:spacing w:after="0" w:line="298" w:lineRule="exact"/>
        <w:rPr>
          <w:sz w:val="20"/>
          <w:szCs w:val="20"/>
          <w:color w:val="auto"/>
        </w:rPr>
      </w:pPr>
    </w:p>
    <w:p>
      <w:pPr>
        <w:ind w:left="324" w:hanging="324"/>
        <w:spacing w:after="0"/>
        <w:tabs>
          <w:tab w:leader="none" w:pos="32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AND PAYMENT TERMS</w:t>
      </w:r>
    </w:p>
    <w:p>
      <w:pPr>
        <w:spacing w:after="0" w:line="117"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Consideration for Grant of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82" w:lineRule="auto"/>
        <w:tabs>
          <w:tab w:leader="none" w:pos="12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Issue Fee and Past Patent Cost Reimbursement</w:t>
      </w:r>
      <w:r>
        <w:rPr>
          <w:rFonts w:ascii="Times New Roman" w:cs="Times New Roman" w:eastAsia="Times New Roman" w:hAnsi="Times New Roman"/>
          <w:sz w:val="18"/>
          <w:szCs w:val="18"/>
          <w:color w:val="auto"/>
        </w:rPr>
        <w:t>. Company shall pay to MIT, within [***] following the date of its receipt of an invoice from MIT, the following amounts:</w:t>
      </w:r>
    </w:p>
    <w:p>
      <w:pPr>
        <w:spacing w:after="0" w:line="161"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issue fee of fifty-thousand dollars ($50,000); and</w:t>
      </w:r>
    </w:p>
    <w:p>
      <w:pPr>
        <w:spacing w:after="0" w:line="225" w:lineRule="exact"/>
        <w:rPr>
          <w:rFonts w:ascii="Times New Roman" w:cs="Times New Roman" w:eastAsia="Times New Roman" w:hAnsi="Times New Roman"/>
          <w:sz w:val="18"/>
          <w:szCs w:val="18"/>
          <w:color w:val="auto"/>
        </w:rPr>
      </w:pPr>
    </w:p>
    <w:p>
      <w:pPr>
        <w:ind w:left="4" w:right="560" w:firstLine="1428"/>
        <w:spacing w:after="0" w:line="282" w:lineRule="auto"/>
        <w:tabs>
          <w:tab w:leader="none" w:pos="170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all documented, out-of-pocket expenses incurred by MIT prior to (and including) the Effective Date in connection with the preparation, filing, prosecution, maintenance and defense of the Patent Rights.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payments are nonrefundable.</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4"/>
          </w:cols>
          <w:pgMar w:left="436" w:top="270" w:right="519" w:bottom="1440" w:gutter="0" w:footer="0" w:header="0"/>
        </w:sectPr>
      </w:pPr>
    </w:p>
    <w:bookmarkStart w:id="444" w:name="page445"/>
    <w:bookmarkEnd w:id="444"/>
    <w:p>
      <w:pPr>
        <w:ind w:left="1200" w:hanging="253"/>
        <w:spacing w:after="0"/>
        <w:tabs>
          <w:tab w:leader="none" w:pos="12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160" w:hanging="221"/>
        <w:spacing w:after="0"/>
        <w:tabs>
          <w:tab w:leader="none" w:pos="21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113" w:lineRule="exact"/>
        <w:rPr>
          <w:rFonts w:ascii="Times New Roman" w:cs="Times New Roman" w:eastAsia="Times New Roman" w:hAnsi="Times New Roman"/>
          <w:sz w:val="18"/>
          <w:szCs w:val="18"/>
          <w:color w:val="auto"/>
        </w:rPr>
      </w:pPr>
    </w:p>
    <w:p>
      <w:pPr>
        <w:ind w:left="-40" w:right="180" w:firstLine="2419"/>
        <w:spacing w:after="0" w:line="262" w:lineRule="auto"/>
        <w:tabs>
          <w:tab w:leader="none" w:pos="281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Basis</w:t>
      </w:r>
      <w:r>
        <w:rPr>
          <w:rFonts w:ascii="Times New Roman" w:cs="Times New Roman" w:eastAsia="Times New Roman" w:hAnsi="Times New Roman"/>
          <w:sz w:val="18"/>
          <w:szCs w:val="18"/>
          <w:color w:val="auto"/>
        </w:rPr>
        <w:t>” shall mean the number of shares of common stock of Company then-outstanding (assuming conversion of all outstanding stock other than common stock into common stock) plus the number of shares of common stock of Company issuable upon exercise or conversion of then-outstanding convertible securities, options, rights or warrants of Company (which shall be determined without regard to whether such securities are then vested, exercisable or convertible).</w:t>
      </w:r>
    </w:p>
    <w:p>
      <w:pPr>
        <w:spacing w:after="0" w:line="176" w:lineRule="exact"/>
        <w:rPr>
          <w:rFonts w:ascii="Times New Roman" w:cs="Times New Roman" w:eastAsia="Times New Roman" w:hAnsi="Times New Roman"/>
          <w:sz w:val="18"/>
          <w:szCs w:val="18"/>
          <w:color w:val="auto"/>
        </w:rPr>
      </w:pPr>
    </w:p>
    <w:p>
      <w:pPr>
        <w:ind w:left="-40" w:right="320" w:firstLine="2419"/>
        <w:spacing w:after="0" w:line="286" w:lineRule="auto"/>
        <w:tabs>
          <w:tab w:leader="none" w:pos="280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shall mean shares of capital stock, convertible securities, warrants, options or other rights to subscribe for, or purchase or acquire from Company any capital stock of Company.</w:t>
      </w:r>
    </w:p>
    <w:p>
      <w:pPr>
        <w:spacing w:after="0" w:line="154" w:lineRule="exact"/>
        <w:rPr>
          <w:rFonts w:ascii="Times New Roman" w:cs="Times New Roman" w:eastAsia="Times New Roman" w:hAnsi="Times New Roman"/>
          <w:sz w:val="18"/>
          <w:szCs w:val="18"/>
          <w:color w:val="auto"/>
        </w:rPr>
      </w:pPr>
    </w:p>
    <w:p>
      <w:pPr>
        <w:ind w:left="-40" w:right="280" w:firstLine="2419"/>
        <w:spacing w:after="0" w:line="286" w:lineRule="auto"/>
        <w:tabs>
          <w:tab w:leader="none" w:pos="280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Threshold</w:t>
      </w:r>
      <w:r>
        <w:rPr>
          <w:rFonts w:ascii="Times New Roman" w:cs="Times New Roman" w:eastAsia="Times New Roman" w:hAnsi="Times New Roman"/>
          <w:sz w:val="18"/>
          <w:szCs w:val="18"/>
          <w:color w:val="auto"/>
        </w:rPr>
        <w:t>” shall mean an aggregate total investment of [***] in cash, in one or a series of related transactions, in each case, in exchange for the Company’s capital stock.</w:t>
      </w:r>
    </w:p>
    <w:p>
      <w:pPr>
        <w:spacing w:after="0" w:line="154" w:lineRule="exact"/>
        <w:rPr>
          <w:rFonts w:ascii="Times New Roman" w:cs="Times New Roman" w:eastAsia="Times New Roman" w:hAnsi="Times New Roman"/>
          <w:sz w:val="18"/>
          <w:szCs w:val="18"/>
          <w:color w:val="auto"/>
        </w:rPr>
      </w:pPr>
    </w:p>
    <w:p>
      <w:pPr>
        <w:ind w:left="2860" w:hanging="481"/>
        <w:spacing w:after="0"/>
        <w:tabs>
          <w:tab w:leader="none" w:pos="28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means (a) [***], or (b) any entity that is an Affiliate of MIT.</w:t>
      </w:r>
    </w:p>
    <w:p>
      <w:pPr>
        <w:spacing w:after="0" w:line="229" w:lineRule="exact"/>
        <w:rPr>
          <w:rFonts w:ascii="Times New Roman" w:cs="Times New Roman" w:eastAsia="Times New Roman" w:hAnsi="Times New Roman"/>
          <w:sz w:val="18"/>
          <w:szCs w:val="18"/>
          <w:color w:val="auto"/>
        </w:rPr>
      </w:pPr>
    </w:p>
    <w:p>
      <w:pPr>
        <w:ind w:left="-40" w:right="180" w:firstLine="1979"/>
        <w:spacing w:after="0" w:line="261" w:lineRule="auto"/>
        <w:tabs>
          <w:tab w:leader="none" w:pos="220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Grant. Company shall issue to MIT a total of Eight Hundred Thousand sixty-six (800,066) shares of Company’s common stock, subject to a mutually-agreeable stock purchase or subscription agreement, not later than [***] following the Effective Date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Company represents to MIT that, as of the Effective Date, the Shares represent five percent (5%) of Company’s issued and outstanding capital stock on a Fully Diluted Basis, as calculated after giving effect to this issuance.</w:t>
      </w:r>
    </w:p>
    <w:p>
      <w:pPr>
        <w:spacing w:after="0" w:line="179" w:lineRule="exact"/>
        <w:rPr>
          <w:rFonts w:ascii="Times New Roman" w:cs="Times New Roman" w:eastAsia="Times New Roman" w:hAnsi="Times New Roman"/>
          <w:sz w:val="18"/>
          <w:szCs w:val="18"/>
          <w:color w:val="auto"/>
        </w:rPr>
      </w:pPr>
    </w:p>
    <w:p>
      <w:pPr>
        <w:ind w:left="-40" w:firstLine="1979"/>
        <w:spacing w:after="0" w:line="256" w:lineRule="auto"/>
        <w:tabs>
          <w:tab w:leader="none" w:pos="225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Protection through Funding Threshold. If, prior to the achievement of the Funding Threshold, Company issues Additional Securities that would cause the Shares to represent less than five percent (5%) on a Fully-Diluted Basis, Company shall immediately issue to MIT for no additional consideration such additional number of shares of common stock of Company (the “</w:t>
      </w:r>
      <w:r>
        <w:rPr>
          <w:rFonts w:ascii="Times New Roman" w:cs="Times New Roman" w:eastAsia="Times New Roman" w:hAnsi="Times New Roman"/>
          <w:sz w:val="18"/>
          <w:szCs w:val="18"/>
          <w:b w:val="1"/>
          <w:bCs w:val="1"/>
          <w:color w:val="auto"/>
        </w:rPr>
        <w:t>Anti-Dilution Shares</w:t>
      </w:r>
      <w:r>
        <w:rPr>
          <w:rFonts w:ascii="Times New Roman" w:cs="Times New Roman" w:eastAsia="Times New Roman" w:hAnsi="Times New Roman"/>
          <w:sz w:val="18"/>
          <w:szCs w:val="18"/>
          <w:color w:val="auto"/>
        </w:rPr>
        <w:t>”) such that the Shares plus the Anti-Dilution Shares would then represent, in the aggregate, five percent (5%) of the issued and outstanding shares of Company on a Fully-Diluted Basis, as calculated immediately following the achievement of the Funding Threshold. Such issuances shall continue only until and through Company’s achievement of the Funding Threshold; thereafter, the Shares and Anti-Dilution Shares, if any, shall be subject to ordinary dilution.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70" w:right="499" w:bottom="1440" w:gutter="0" w:footer="0" w:header="0"/>
        </w:sectPr>
      </w:pPr>
    </w:p>
    <w:bookmarkStart w:id="445" w:name="page446"/>
    <w:bookmarkEnd w:id="445"/>
    <w:p>
      <w:pPr>
        <w:ind w:left="1293" w:hanging="301"/>
        <w:spacing w:after="0"/>
        <w:tabs>
          <w:tab w:leader="none" w:pos="1293"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Representations and Warranties. Company hereby represents and warrants the following:</w:t>
      </w:r>
    </w:p>
    <w:p>
      <w:pPr>
        <w:spacing w:after="0" w:line="225" w:lineRule="exact"/>
        <w:rPr>
          <w:rFonts w:ascii="Times New Roman" w:cs="Times New Roman" w:eastAsia="Times New Roman" w:hAnsi="Times New Roman"/>
          <w:sz w:val="18"/>
          <w:szCs w:val="18"/>
          <w:color w:val="auto"/>
        </w:rPr>
      </w:pPr>
    </w:p>
    <w:p>
      <w:pPr>
        <w:ind w:left="-987" w:right="400" w:firstLine="2419"/>
        <w:spacing w:after="0" w:line="282" w:lineRule="auto"/>
        <w:tabs>
          <w:tab w:leader="none" w:pos="1866"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table provided by Company upon issuance of the Shares, and the Anti-Dilution Shares, if applicable (the “</w:t>
      </w:r>
      <w:r>
        <w:rPr>
          <w:rFonts w:ascii="Times New Roman" w:cs="Times New Roman" w:eastAsia="Times New Roman" w:hAnsi="Times New Roman"/>
          <w:sz w:val="18"/>
          <w:szCs w:val="18"/>
          <w:b w:val="1"/>
          <w:bCs w:val="1"/>
          <w:color w:val="auto"/>
        </w:rPr>
        <w:t>Cap Table</w:t>
      </w:r>
      <w:r>
        <w:rPr>
          <w:rFonts w:ascii="Times New Roman" w:cs="Times New Roman" w:eastAsia="Times New Roman" w:hAnsi="Times New Roman"/>
          <w:sz w:val="18"/>
          <w:szCs w:val="18"/>
          <w:color w:val="auto"/>
        </w:rPr>
        <w:t>”), sets forth all of the capital stock of Company as of the Effective Date;</w:t>
      </w:r>
    </w:p>
    <w:p>
      <w:pPr>
        <w:spacing w:after="0" w:line="161" w:lineRule="exact"/>
        <w:rPr>
          <w:rFonts w:ascii="Times New Roman" w:cs="Times New Roman" w:eastAsia="Times New Roman" w:hAnsi="Times New Roman"/>
          <w:sz w:val="18"/>
          <w:szCs w:val="18"/>
          <w:color w:val="auto"/>
        </w:rPr>
      </w:pPr>
    </w:p>
    <w:p>
      <w:pPr>
        <w:ind w:left="-987" w:right="40" w:firstLine="2419"/>
        <w:spacing w:after="0" w:line="281" w:lineRule="auto"/>
        <w:tabs>
          <w:tab w:leader="none" w:pos="1856" w:val="left"/>
        </w:tabs>
        <w:numPr>
          <w:ilvl w:val="2"/>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in the Cap Table, as of the date of issuance of the Shares, and Anti-Dilution Shares, if applicable, there are no outstanding shares of capital stock, convertible securities, outstanding warrants, options or other rights to subscribe for, or purchase or acquire from Company any capital stock of Company, and there are no contracts or binding commitments providing for the issuance of, or the granting of rights to acquire, any capital stock of Company or under which Company is, or may become, obligated to issue any of its securities; and</w:t>
      </w:r>
    </w:p>
    <w:p>
      <w:pPr>
        <w:spacing w:after="0" w:line="164" w:lineRule="exact"/>
        <w:rPr>
          <w:rFonts w:ascii="Times New Roman" w:cs="Times New Roman" w:eastAsia="Times New Roman" w:hAnsi="Times New Roman"/>
          <w:sz w:val="17"/>
          <w:szCs w:val="17"/>
          <w:color w:val="auto"/>
        </w:rPr>
      </w:pPr>
    </w:p>
    <w:p>
      <w:pPr>
        <w:ind w:left="-987" w:firstLine="2419"/>
        <w:spacing w:after="0" w:line="282" w:lineRule="auto"/>
        <w:tabs>
          <w:tab w:leader="none" w:pos="1856"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the Anti-Dilution Shares, as the case may be, when issued pursuant to the terms hereof, shall, upon such issuance, be duly authorized, validly issued, fully paid and nonassessable.</w:t>
      </w:r>
    </w:p>
    <w:p>
      <w:pPr>
        <w:spacing w:after="0" w:line="161" w:lineRule="exact"/>
        <w:rPr>
          <w:rFonts w:ascii="Times New Roman" w:cs="Times New Roman" w:eastAsia="Times New Roman" w:hAnsi="Times New Roman"/>
          <w:sz w:val="18"/>
          <w:szCs w:val="18"/>
          <w:color w:val="auto"/>
        </w:rPr>
      </w:pPr>
    </w:p>
    <w:p>
      <w:pPr>
        <w:ind w:left="-987" w:right="120" w:firstLine="1979"/>
        <w:spacing w:after="0" w:line="258" w:lineRule="auto"/>
        <w:tabs>
          <w:tab w:leader="none" w:pos="125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Rights</w:t>
      </w:r>
      <w:r>
        <w:rPr>
          <w:rFonts w:ascii="Times New Roman" w:cs="Times New Roman" w:eastAsia="Times New Roman" w:hAnsi="Times New Roman"/>
          <w:sz w:val="18"/>
          <w:szCs w:val="18"/>
          <w:color w:val="auto"/>
        </w:rPr>
        <w:t>. If Company proposes to sell for financing purposes any equity securities or securities that are convertible into equity securities of Company, then MIT and/or its Assignee will have the right to purchase up to [***] of the securities issued in each such financing on the same terms and conditions as are offered to the other purchasers in each such financing. Company shall provide advance written notice of each such financing, including reasonable detail regarding the terms of the financing, and MIT shall not be required to participate in any closing of such financing earlier than [***] after such notice.</w:t>
      </w:r>
    </w:p>
    <w:p>
      <w:pPr>
        <w:spacing w:after="0" w:line="183"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Maintenance Fees</w:t>
      </w:r>
      <w:r>
        <w:rPr>
          <w:rFonts w:ascii="Times New Roman" w:cs="Times New Roman" w:eastAsia="Times New Roman" w:hAnsi="Times New Roman"/>
          <w:sz w:val="18"/>
          <w:szCs w:val="18"/>
          <w:color w:val="auto"/>
        </w:rPr>
        <w:t>. Company shall pay to MIT the following license maintenance fees on the dates set forth below:</w:t>
      </w:r>
    </w:p>
    <w:p>
      <w:pPr>
        <w:spacing w:after="0" w:line="248" w:lineRule="exact"/>
        <w:rPr>
          <w:sz w:val="20"/>
          <w:szCs w:val="20"/>
          <w:color w:val="auto"/>
        </w:rPr>
      </w:pPr>
    </w:p>
    <w:tbl>
      <w:tblPr>
        <w:tblLayout w:type="fixed"/>
        <w:tblInd w:w="773" w:type="dxa"/>
        <w:tblCellMar>
          <w:top w:w="0" w:type="dxa"/>
          <w:left w:w="0" w:type="dxa"/>
          <w:bottom w:w="0" w:type="dxa"/>
          <w:right w:w="0" w:type="dxa"/>
        </w:tblCellMar>
      </w:tblPr>
      <w:tr>
        <w:trPr>
          <w:trHeight w:val="191"/>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Anniversary of the Effective Date</w:t>
            </w:r>
          </w:p>
        </w:tc>
        <w:tc>
          <w:tcPr>
            <w:tcW w:w="464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Amount of Fee</w:t>
            </w:r>
          </w:p>
        </w:tc>
      </w:tr>
      <w:tr>
        <w:trPr>
          <w:trHeight w:val="203"/>
        </w:trPr>
        <w:tc>
          <w:tcPr>
            <w:tcW w:w="1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2"/>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2"/>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1960" w:type="dxa"/>
            <w:vAlign w:val="bottom"/>
          </w:tcPr>
          <w:p>
            <w:pPr>
              <w:spacing w:after="0"/>
              <w:rPr>
                <w:sz w:val="24"/>
                <w:szCs w:val="24"/>
                <w:color w:val="auto"/>
              </w:rPr>
            </w:pPr>
          </w:p>
        </w:tc>
        <w:tc>
          <w:tcPr>
            <w:tcW w:w="464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24"/>
                <w:szCs w:val="24"/>
                <w:color w:val="auto"/>
              </w:rPr>
            </w:pPr>
          </w:p>
        </w:tc>
      </w:tr>
    </w:tbl>
    <w:p>
      <w:pPr>
        <w:sectPr>
          <w:pgSz w:w="11900" w:h="16838" w:orient="portrait"/>
          <w:cols w:equalWidth="0" w:num="1">
            <w:col w:w="9953"/>
          </w:cols>
          <w:pgMar w:left="1427" w:top="270" w:right="51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annual license maintenance fee is nonrefundable; however [***].</w:t>
      </w:r>
    </w:p>
    <w:p>
      <w:pPr>
        <w:spacing w:after="0" w:line="225" w:lineRule="exact"/>
        <w:rPr>
          <w:sz w:val="20"/>
          <w:szCs w:val="20"/>
          <w:color w:val="auto"/>
        </w:rPr>
      </w:pPr>
    </w:p>
    <w:p>
      <w:pPr>
        <w:ind w:right="440" w:firstLine="987"/>
        <w:spacing w:after="0" w:line="282" w:lineRule="auto"/>
        <w:tabs>
          <w:tab w:leader="none" w:pos="124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Running Royalties</w:t>
      </w:r>
      <w:r>
        <w:rPr>
          <w:rFonts w:ascii="Times New Roman" w:cs="Times New Roman" w:eastAsia="Times New Roman" w:hAnsi="Times New Roman"/>
          <w:sz w:val="18"/>
          <w:szCs w:val="18"/>
          <w:color w:val="auto"/>
        </w:rPr>
        <w:t>. During the Term Company shall pay to MIT a running royalty of [***] of Net Sales on all Licensed Products. Running royalties shall be payable for each Reporting Period and shall be due to MIT within [***] of the end of each Reporting Period.</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IP</w:t>
      </w:r>
      <w:r>
        <w:rPr>
          <w:rFonts w:ascii="Times New Roman" w:cs="Times New Roman" w:eastAsia="Times New Roman" w:hAnsi="Times New Roman"/>
          <w:sz w:val="18"/>
          <w:szCs w:val="18"/>
          <w:color w:val="auto"/>
        </w:rPr>
        <w:t>. If, after the Effective Date, Company reasonably determines that it is necessary to acquire rights under a third party’s patent rights in order for Company to exploit the Patent Rights under this Agreement, Company shall have the right to negotiate and acquire such rights, through a license or otherwise, and then Company may deduct an amount equal to [***] of any amounts actually paid to such third party for the sale of a Licensed Product from any running royalties due to MIT hereunder provided that: (i) the third party is not an Affiliate; (ii) if the royalty rate for calculating royalty payments due to such third party licensor is greater than [***], the percentage deduction that Company is entitled to make against royalty payments due to MIT must not be greater than any percentage deduction that Company is entitled to make against royalty payments due to such third party licensor on account of royalty payments made to MIT with respect to such Licensed Product; and (iii) in no event shall the royalty payments due MIT with respect to such Licensed Product be reduced by more than fifty percent (50%) of the amount otherwise due.</w:t>
      </w:r>
    </w:p>
    <w:p>
      <w:pPr>
        <w:spacing w:after="0" w:line="191" w:lineRule="exact"/>
        <w:rPr>
          <w:rFonts w:ascii="Times New Roman" w:cs="Times New Roman" w:eastAsia="Times New Roman" w:hAnsi="Times New Roman"/>
          <w:sz w:val="18"/>
          <w:szCs w:val="18"/>
          <w:color w:val="auto"/>
        </w:rPr>
      </w:pPr>
    </w:p>
    <w:p>
      <w:pPr>
        <w:ind w:right="60" w:firstLine="987"/>
        <w:spacing w:after="0" w:line="256" w:lineRule="auto"/>
        <w:tabs>
          <w:tab w:leader="none" w:pos="121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For each Distinct Licensed Product (as defined herein), Company shall pay to MIT the amounts set forth in Table A (Distinct Licensed Product Milestone Payments in first indication) upon the achievement by Company or its Sublicensees of the Milestone Events set forth in Table A with respect to [***]. For each of [***] that differs from [***] for each Distinct Licensed Product, Company shall pay to MIT the amounts set forth in Table B (Distinct Licensed Milestone Payments in subsequent Indications) upon the achievement by Company or its Sublicensees of the Milestone Events set forth in Table B with respect to such [***]. No amounts shall be due for the achievement by Company or its Sublicensees of a Milestone Event with respect to [***] by a Distinct Licensed Product.</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foregoing paragraph, an “indication” shall mean a sign, symptom, disease or condition that leads to the recommendation of a treatment, test or procedure. Notwithstanding the foregoing, with respect to a treatment with a specific Licensed Product [***].</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Licensed Product is Distinct if it contains: (i) [***] or (ii) [***]. For clarity, a Licensed Product is not Distinct if it contains [***].</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47" w:name="page448"/>
    <w:bookmarkEnd w:id="447"/>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Milestone Payments set forth in the tables below shall not be payable with respect to a [***]. “Replacement” shall mean a Licensed Product that has [***]. For purposes of this paragraph, [***]. For purposes hereof, [***].</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Company shall also pay to MIT the amounts set forth in Table C (Commercial Milestone Payments) a single time only, and such Milestone Payments shall be calculated on a cumulative basis (i.e., the applicable Milestone Payment shall become due as soon as the cumulative Net Sales target has been reached, which shall be based upon the additive calculation of Net Sales across all Licensed Products in all indications).</w:t>
      </w:r>
    </w:p>
    <w:p>
      <w:pPr>
        <w:spacing w:after="0" w:line="388" w:lineRule="exact"/>
        <w:rPr>
          <w:sz w:val="20"/>
          <w:szCs w:val="20"/>
          <w:color w:val="auto"/>
        </w:rPr>
      </w:pPr>
    </w:p>
    <w:tbl>
      <w:tblPr>
        <w:tblLayout w:type="fixed"/>
        <w:tblInd w:w="1764"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80" w:type="dxa"/>
            <w:vAlign w:val="bottom"/>
            <w:gridSpan w:val="2"/>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9"/>
              </w:rPr>
              <w:t xml:space="preserve">Table A: Distinct Licensed Product Milestone Payments in </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53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80" w:type="dxa"/>
            <w:vAlign w:val="bottom"/>
            <w:gridSpan w:val="2"/>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9"/>
              </w:rPr>
              <w:t xml:space="preserve">Table B: Distinct Licensed Product Milestone Payments in </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80" w:type="dxa"/>
            <w:vAlign w:val="bottom"/>
            <w:gridSpan w:val="2"/>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9"/>
              </w:rPr>
              <w:t>Table C: Commercial Milestone Payments</w:t>
            </w:r>
          </w:p>
        </w:tc>
        <w:tc>
          <w:tcPr>
            <w:tcW w:w="0" w:type="dxa"/>
            <w:vAlign w:val="bottom"/>
          </w:tcPr>
          <w:p>
            <w:pPr>
              <w:spacing w:after="0"/>
              <w:rPr>
                <w:sz w:val="1"/>
                <w:szCs w:val="1"/>
                <w:color w:val="auto"/>
              </w:rPr>
            </w:pPr>
          </w:p>
        </w:tc>
      </w:tr>
      <w:tr>
        <w:trPr>
          <w:trHeight w:val="39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340" w:hanging="424"/>
        <w:spacing w:after="0" w:line="282" w:lineRule="auto"/>
        <w:tabs>
          <w:tab w:leader="none" w:pos="42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Approval” means (a) regulatory approval in the EU through the central procedure plus regulatory approval (including receipt of pricing approval) in any [***] EU Major Market Country</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4"/>
          </w:cols>
          <w:pgMar w:left="436" w:top="270" w:right="579" w:bottom="1440" w:gutter="0" w:footer="0" w:header="0"/>
        </w:sectPr>
      </w:pPr>
    </w:p>
    <w:bookmarkStart w:id="448" w:name="page449"/>
    <w:bookmarkEnd w:id="448"/>
    <w:p>
      <w:pPr>
        <w:ind w:left="42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defined below) OR (b) regulatory approvals (including receipt of pricing approvals) in any [***] EU Major Market Countries or any [***] European Major Market Countries (as defined below). “EU Major Market Country” means each of [***], for so long as such country is a member of the European Union. “European Major Market Country” means each of [***].</w:t>
      </w:r>
    </w:p>
    <w:p>
      <w:pPr>
        <w:spacing w:after="0" w:line="1" w:lineRule="exact"/>
        <w:rPr>
          <w:sz w:val="20"/>
          <w:szCs w:val="20"/>
          <w:color w:val="auto"/>
        </w:rPr>
      </w:pPr>
    </w:p>
    <w:p>
      <w:pPr>
        <w:ind w:left="424" w:right="40" w:hanging="424"/>
        <w:spacing w:after="0" w:line="260" w:lineRule="auto"/>
        <w:tabs>
          <w:tab w:leader="none" w:pos="42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in Japan or China” means the first to occur of approval in Japan or China. For clarity, this milestone payment is payable only once, and no additional payment shall be due for a subsequent approval in the other of Japan or China, as applicable.</w:t>
      </w:r>
    </w:p>
    <w:p>
      <w:pPr>
        <w:spacing w:after="0" w:line="181" w:lineRule="exact"/>
        <w:rPr>
          <w:sz w:val="20"/>
          <w:szCs w:val="20"/>
          <w:color w:val="auto"/>
        </w:rPr>
      </w:pPr>
    </w:p>
    <w:p>
      <w:pPr>
        <w:ind w:left="4" w:right="320" w:firstLine="440"/>
        <w:spacing w:after="0" w:line="289" w:lineRule="auto"/>
        <w:rPr>
          <w:sz w:val="20"/>
          <w:szCs w:val="20"/>
          <w:color w:val="auto"/>
        </w:rPr>
      </w:pPr>
      <w:r>
        <w:rPr>
          <w:rFonts w:ascii="Times New Roman" w:cs="Times New Roman" w:eastAsia="Times New Roman" w:hAnsi="Times New Roman"/>
          <w:sz w:val="17"/>
          <w:szCs w:val="17"/>
          <w:color w:val="auto"/>
        </w:rPr>
        <w:t>Company shall notify MIT within [***] following the date of the achievement of any of the above milestones by Company or its Sublicensee, such notice to specifically identify the applicable milestone event and payment obligation. Such amounts shall be both non-creditable and non-refundable, shall be payable for each Reporting Period, and shall be due to MIT within [***] following the last day of the Reporting Period.</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milestone events set forth above are intended to be [***].</w:t>
      </w:r>
    </w:p>
    <w:p>
      <w:pPr>
        <w:spacing w:after="0" w:line="22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If the Milestone Events set forth in Table A (Distinct Licensed Product Milestone Payments in first indication) and Table C (Commercial Milestone Payments) are not all achieved at least [***] prior to the expiration of the Term of this Agreement, then Company’s obligation to pay MIT the Milestone Payments set forth in Table A (Distinct Licensed Product Milestone Payments in first indication) and Table C (Commercial Milestone Payments) shall [***]. Upon the [***] achievement of each Milestone Event set forth in Table A (Distinct Licensed Product Milestone Payments in first indication), and Table C (Commercial Milestone Payments) (which need not be in the Milestone Event order set forth above) and subsequent payment to MIT of the corresponding Milestone Payment(s), [***].</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Upon a Change of Control of Company, a Change of Control of an Affiliated Sublicensee, or an otherwise MIT approved assignment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the Milestone Payments set forth in Table A and Table B (i.e., not including Table C) shall be increased by [***] for any subsequent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Milestone Events (e.g., [***]).</w:t>
      </w:r>
    </w:p>
    <w:p>
      <w:pPr>
        <w:spacing w:after="0" w:line="207" w:lineRule="exact"/>
        <w:rPr>
          <w:sz w:val="20"/>
          <w:szCs w:val="20"/>
          <w:color w:val="auto"/>
        </w:rPr>
      </w:pPr>
    </w:p>
    <w:p>
      <w:pPr>
        <w:ind w:left="4" w:firstLine="987"/>
        <w:spacing w:after="0" w:line="261" w:lineRule="auto"/>
        <w:tabs>
          <w:tab w:leader="none" w:pos="125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Sharing of Sublicense Income</w:t>
      </w:r>
      <w:r>
        <w:rPr>
          <w:rFonts w:ascii="Times New Roman" w:cs="Times New Roman" w:eastAsia="Times New Roman" w:hAnsi="Times New Roman"/>
          <w:sz w:val="18"/>
          <w:szCs w:val="18"/>
          <w:color w:val="auto"/>
        </w:rPr>
        <w:t>. Company shall pay to MIT the percentages of Sublicense Income received by Company or an Affiliated Sublicensee, as applicable, in connection with any Sublicense regardless of tier, as set forth below in Sections 4.1(g)(i)-(ii). If, in any Sublicense of the Patent Rights, Company or an Affiliated Sublicensee also grants rights to other [***] (hereinafter a “</w:t>
      </w:r>
      <w:r>
        <w:rPr>
          <w:rFonts w:ascii="Times New Roman" w:cs="Times New Roman" w:eastAsia="Times New Roman" w:hAnsi="Times New Roman"/>
          <w:sz w:val="18"/>
          <w:szCs w:val="18"/>
          <w:b w:val="1"/>
          <w:bCs w:val="1"/>
          <w:color w:val="auto"/>
        </w:rPr>
        <w:t>Bundled Sublicense</w:t>
      </w:r>
      <w:r>
        <w:rPr>
          <w:rFonts w:ascii="Times New Roman" w:cs="Times New Roman" w:eastAsia="Times New Roman" w:hAnsi="Times New Roman"/>
          <w:sz w:val="18"/>
          <w:szCs w:val="18"/>
          <w:color w:val="auto"/>
        </w:rPr>
        <w:t>”), Company or an Affiliated Sublicensee, as applicable,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449" w:name="page450"/>
    <w:bookmarkEnd w:id="44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For clarity, [***]. Any allocation of value ascribed to the Patent Rights shall be determined by Company or its Affiliated Sublicensee, as applicable, in good faith, without discrimination among and between Company or its Affiliated Sublicensee, as applicable, Sublicensee, MIT and/or any other third parties that claim rights to such technology and/or patent rights, and shall: (1) appropriately reflect the value of the Patent Rights Sublicensed by Company or an Affiliated Sublicensee, as applicable, in the context of the entire transaction or series of related transactions of which the Sublicense is a part; and (2) be supported by a detailed written analysis and justification delivered to MIT containing information reasonably sufficient to demonstrate the appropriateness of such valuation. Company shall provide MIT with any additional information reasonably requested by MIT to demonstrate the appropriateness of such valuation. In the event that MIT disputes the appropriateness of such allocation, MIT shall have the right to request that an independent third party, mutually agreed to by the Parties, conduct and certify an allocation of the value ascribed to the Patent Rights at Company’s expense (the “Independent Valuation”). The Independent Valuation, or such other allocation to which the Parties may mutually agree, shall then be used as the basis for calculating Sublicense Income sharing, in accordance with this Section 4.1(g)(ii)(A)-(C), for any such Bundled Sublicense. In the event that the Independent Valuation results in an allocation of value that differs from the allocation of value proposed by Company or its Affiliate Sublicensee, as applicable, directly prior to MIT’s request for the Independent Valuation by less than [***].</w:t>
      </w:r>
    </w:p>
    <w:p>
      <w:pPr>
        <w:spacing w:after="0" w:line="190" w:lineRule="exact"/>
        <w:rPr>
          <w:sz w:val="20"/>
          <w:szCs w:val="20"/>
          <w:color w:val="auto"/>
        </w:rPr>
      </w:pPr>
    </w:p>
    <w:p>
      <w:pPr>
        <w:ind w:left="4" w:right="160" w:firstLine="1979"/>
        <w:spacing w:after="0" w:line="282" w:lineRule="auto"/>
        <w:tabs>
          <w:tab w:leader="none" w:pos="220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Sublicense to Patent Rights.</w:t>
      </w:r>
      <w:r>
        <w:rPr>
          <w:rFonts w:ascii="Times New Roman" w:cs="Times New Roman" w:eastAsia="Times New Roman" w:hAnsi="Times New Roman"/>
          <w:sz w:val="18"/>
          <w:szCs w:val="18"/>
          <w:color w:val="auto"/>
        </w:rPr>
        <w:t xml:space="preserve"> Total of [***] of all Sublicense Income received by Company in any Sublicense to only the Patent Rights and not to any other technology and/or patent rights owned or controlled by Company.</w:t>
      </w:r>
    </w:p>
    <w:p>
      <w:pPr>
        <w:spacing w:after="0" w:line="161"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Sublicense to Bundled Patent Rights.</w:t>
      </w:r>
    </w:p>
    <w:p>
      <w:pPr>
        <w:spacing w:after="0" w:line="117" w:lineRule="exact"/>
        <w:rPr>
          <w:sz w:val="20"/>
          <w:szCs w:val="20"/>
          <w:color w:val="auto"/>
        </w:rPr>
      </w:pPr>
    </w:p>
    <w:p>
      <w:pPr>
        <w:ind w:left="2284" w:hanging="301"/>
        <w:spacing w:after="0"/>
        <w:tabs>
          <w:tab w:leader="none" w:pos="228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 a total of [***] of Sublicense Income.</w:t>
      </w:r>
    </w:p>
    <w:p>
      <w:pPr>
        <w:spacing w:after="0" w:line="117" w:lineRule="exact"/>
        <w:rPr>
          <w:rFonts w:ascii="Times New Roman" w:cs="Times New Roman" w:eastAsia="Times New Roman" w:hAnsi="Times New Roman"/>
          <w:sz w:val="18"/>
          <w:szCs w:val="18"/>
          <w:color w:val="auto"/>
        </w:rPr>
      </w:pPr>
    </w:p>
    <w:p>
      <w:pPr>
        <w:ind w:left="2264" w:hanging="281"/>
        <w:spacing w:after="0"/>
        <w:tabs>
          <w:tab w:leader="none" w:pos="226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 a total of [***] of Sublicense Income.</w:t>
      </w:r>
    </w:p>
    <w:p>
      <w:pPr>
        <w:spacing w:after="0" w:line="117" w:lineRule="exact"/>
        <w:rPr>
          <w:rFonts w:ascii="Times New Roman" w:cs="Times New Roman" w:eastAsia="Times New Roman" w:hAnsi="Times New Roman"/>
          <w:sz w:val="18"/>
          <w:szCs w:val="18"/>
          <w:color w:val="auto"/>
        </w:rPr>
      </w:pPr>
    </w:p>
    <w:p>
      <w:pPr>
        <w:ind w:left="2264" w:hanging="281"/>
        <w:spacing w:after="0"/>
        <w:tabs>
          <w:tab w:leader="none" w:pos="226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 a total of [***] of Sublicense Income.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such amounts shall be payable for each Reporting Period and shall be due to MIT within [***] following the end of each Reporting Period.</w:t>
      </w:r>
    </w:p>
    <w:p>
      <w:pPr>
        <w:spacing w:after="0" w:line="225" w:lineRule="exact"/>
        <w:rPr>
          <w:sz w:val="20"/>
          <w:szCs w:val="20"/>
          <w:color w:val="auto"/>
        </w:rPr>
      </w:pPr>
    </w:p>
    <w:p>
      <w:pPr>
        <w:ind w:left="1244" w:hanging="253"/>
        <w:spacing w:after="0"/>
        <w:tabs>
          <w:tab w:leader="none" w:pos="124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Patent Challenge</w:t>
      </w:r>
      <w:r>
        <w:rPr>
          <w:rFonts w:ascii="Times New Roman" w:cs="Times New Roman" w:eastAsia="Times New Roman" w:hAnsi="Times New Roman"/>
          <w:sz w:val="18"/>
          <w:szCs w:val="18"/>
          <w:color w:val="auto"/>
        </w:rPr>
        <w:t>. In the event that: (i) Company or an Affiliate brings a Patent Challenge against MIT; or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an Affiliate assists another party in bringing a Patent Challenge against MIT (except as required under a court order or subpoena),</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450" w:name="page451"/>
    <w:bookmarkEnd w:id="45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all payments due under this Article 4 shall be doubled for the remainder of the Term. In the event that such a Patent Challenge is successful, Company will have no right to recoup any payments made during the period of challenge. In the event that a Patent Challenge is unsuccessful, Company shall reimburse MIT for all reasonable legal fees, costs and expenses incurred in its defense against the Patent Challenge.</w:t>
      </w:r>
    </w:p>
    <w:p>
      <w:pPr>
        <w:spacing w:after="0" w:line="176" w:lineRule="exact"/>
        <w:rPr>
          <w:sz w:val="20"/>
          <w:szCs w:val="20"/>
          <w:color w:val="auto"/>
        </w:rPr>
      </w:pPr>
    </w:p>
    <w:p>
      <w:pPr>
        <w:jc w:val="both"/>
        <w:ind w:right="20" w:firstLine="987"/>
        <w:spacing w:after="0" w:line="256" w:lineRule="auto"/>
        <w:tabs>
          <w:tab w:leader="none" w:pos="120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Fee</w:t>
      </w:r>
      <w:r>
        <w:rPr>
          <w:rFonts w:ascii="Times New Roman" w:cs="Times New Roman" w:eastAsia="Times New Roman" w:hAnsi="Times New Roman"/>
          <w:sz w:val="18"/>
          <w:szCs w:val="18"/>
          <w:color w:val="auto"/>
        </w:rPr>
        <w:t>. Within [***] following (a) the first Change of Control of Company and (b) the first Change of Control of each Affiliated Sublicensee, Company shall report such Change of Control to MIT in writing and Company shall pay to MIT the cash equivalent of the lesser of: (i) [***] or (ii) [***]. Should this calculation yield a value less than [***], this payment shall be set to [***]. Notwithstanding the foregoing, if the Change of Control is not the result of an arms’ length transaction with an unaffiliated third party then the consideration received by Company for such Change of Control shall be calculated [***]. Where a Change of Control of an Affiliated Sublicensee is followed by a Change of Control of Company, the fee [***].</w:t>
      </w:r>
    </w:p>
    <w:p>
      <w:pPr>
        <w:spacing w:after="0" w:line="29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320" w:firstLine="987"/>
        <w:spacing w:after="0" w:line="282" w:lineRule="auto"/>
        <w:tabs>
          <w:tab w:leader="none" w:pos="123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Invoices</w:t>
      </w:r>
      <w:r>
        <w:rPr>
          <w:rFonts w:ascii="Times New Roman" w:cs="Times New Roman" w:eastAsia="Times New Roman" w:hAnsi="Times New Roman"/>
          <w:sz w:val="18"/>
          <w:szCs w:val="18"/>
          <w:color w:val="auto"/>
        </w:rPr>
        <w:t>. All invoices issued by MIT under this Agreement shall be addressed to Company as follows, or as otherwise provided by Company in writing to MIT: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Cullinan Amber Corp.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Main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to: Chief Financial Officer</w:t>
      </w:r>
    </w:p>
    <w:p>
      <w:pPr>
        <w:spacing w:after="0" w:line="207" w:lineRule="exact"/>
        <w:rPr>
          <w:sz w:val="20"/>
          <w:szCs w:val="20"/>
          <w:color w:val="auto"/>
        </w:rPr>
      </w:pPr>
    </w:p>
    <w:p>
      <w:pPr>
        <w:jc w:val="both"/>
        <w:ind w:right="40" w:firstLine="987"/>
        <w:spacing w:after="0" w:line="266" w:lineRule="auto"/>
        <w:tabs>
          <w:tab w:leader="none" w:pos="124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All payments under this Agreement shall be made payable to “Massachusetts Institute of Technology” and sent to the address identified on the invoice received. Each payment should reference this Agreement and identify the obligation under this Agreement that the payment satisfies. Unless otherwise stated on the invoice, payments sent by wire transfer shall be paid to:</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20" w:firstLine="987"/>
        <w:spacing w:after="0" w:line="282" w:lineRule="auto"/>
        <w:tabs>
          <w:tab w:leader="none" w:pos="123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in U.S. Dollars</w:t>
      </w:r>
      <w:r>
        <w:rPr>
          <w:rFonts w:ascii="Times New Roman" w:cs="Times New Roman" w:eastAsia="Times New Roman" w:hAnsi="Times New Roman"/>
          <w:sz w:val="18"/>
          <w:szCs w:val="18"/>
          <w:color w:val="auto"/>
        </w:rPr>
        <w:t>. All payments due under this Agreement shall be drawn on a United States bank and shall be payable in United States dollars. Conversion of foreign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451" w:name="page452"/>
    <w:bookmarkEnd w:id="451"/>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currency to U.S. dollars shall be made at the conversion rate existing in the United States (as reported by the Federal Reserve Bank of St. Louis or such other rates as MIT and Company may mutually agree from time to time) on the last working day of the calendar quarter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80" w:lineRule="exact"/>
        <w:rPr>
          <w:sz w:val="20"/>
          <w:szCs w:val="20"/>
          <w:color w:val="auto"/>
        </w:rPr>
      </w:pPr>
    </w:p>
    <w:p>
      <w:pPr>
        <w:ind w:left="4" w:right="180" w:firstLine="987"/>
        <w:spacing w:after="0" w:line="256" w:lineRule="auto"/>
        <w:tabs>
          <w:tab w:leader="none" w:pos="125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In the event that any payment under this Agreement is or becomes subject to any levy or tax, including, but not limited to any form of tax withholding, income tax, service tax, sales tax or VAT, by local, regional or federal government authorities, Company shall (i) pay to the applicable tax authorities, whether on its own or MIT’s behalf, such amount of levy or tax and, if applicable, penalties and interest, and (ii) promptly provide MIT with a copy of the withholding tax certificate or other tax filing documentation evidencing remittance was made. For the avoidance of doubt, any payments made by or on behalf of Company pursuant to this Section 4.2(d) shall not be deducted from any payment amounts due to MIT under this Agreement.</w:t>
      </w:r>
    </w:p>
    <w:p>
      <w:pPr>
        <w:spacing w:after="0" w:line="187"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Any payments by Company that are not paid on or before the date such payments are due under this Agreement shall bear interest, to the extent permitted by law, at [***] points above the Prime Rate of interest as reported by the Federal Reserve Bank of St. Louis on the last business day of the calendar quarterly Reporting Period to which such payments relate.</w:t>
      </w:r>
    </w:p>
    <w:p>
      <w:pPr>
        <w:spacing w:after="0" w:line="2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RECORDS</w:t>
      </w:r>
    </w:p>
    <w:p>
      <w:pPr>
        <w:spacing w:after="0" w:line="11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Progress Reports</w:t>
      </w:r>
      <w:r>
        <w:rPr>
          <w:rFonts w:ascii="Times New Roman" w:cs="Times New Roman" w:eastAsia="Times New Roman" w:hAnsi="Times New Roman"/>
          <w:sz w:val="18"/>
          <w:szCs w:val="18"/>
          <w:color w:val="auto"/>
        </w:rPr>
        <w:t>. Company shall deliver progress reports to MIT annually, within [***] following the end of each calendar year, containing information sufficient to illustrate compliance with this Agreement and specifically:</w:t>
      </w:r>
    </w:p>
    <w:p>
      <w:pPr>
        <w:spacing w:after="0" w:line="162" w:lineRule="exact"/>
        <w:rPr>
          <w:sz w:val="20"/>
          <w:szCs w:val="20"/>
          <w:color w:val="auto"/>
        </w:rPr>
      </w:pPr>
    </w:p>
    <w:p>
      <w:pPr>
        <w:ind w:left="4" w:right="160" w:firstLine="1428"/>
        <w:spacing w:after="0" w:line="282" w:lineRule="auto"/>
        <w:tabs>
          <w:tab w:leader="none" w:pos="168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of efforts to develop and commercialize Licensed Products, with specific reference to the Diligence Requirements set forth under Article 3 and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360" w:firstLine="1428"/>
        <w:spacing w:after="0" w:line="266" w:lineRule="auto"/>
        <w:tabs>
          <w:tab w:leader="none" w:pos="169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Sublicenses active during the applicable calendar year as well as an updated list of all Sublicenses, and amendments thereto, executed during the applicable calendar year (and copies thereof to the extent not already provided), and if none are active, so state;</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milestones set forth in Section 4.1(f) that have been achieved, and if none have been achieved, so state; and</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current Certificates of Insurance, in accordance with Section 8.2 (Insurance).</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452" w:name="page453"/>
    <w:bookmarkEnd w:id="452"/>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Financial Reports; Royalty Reports</w:t>
      </w:r>
      <w:r>
        <w:rPr>
          <w:rFonts w:ascii="Times New Roman" w:cs="Times New Roman" w:eastAsia="Times New Roman" w:hAnsi="Times New Roman"/>
          <w:sz w:val="18"/>
          <w:szCs w:val="18"/>
          <w:color w:val="auto"/>
        </w:rPr>
        <w:t>. Company’s obligation to submit reports under this Section shall commence upon the earliest of: [***]. Thereafter, Company shall deliver financial reports and royalty reports to MIT within [***] following the end of each Reporting Period, containing at least the following information for the preceding Reporting Period, in substantially the forms attached hereto as Appendix D-1 and Appendix D-2 (or equivalent):</w:t>
      </w:r>
    </w:p>
    <w:p>
      <w:pPr>
        <w:spacing w:after="0" w:line="180" w:lineRule="exact"/>
        <w:rPr>
          <w:sz w:val="20"/>
          <w:szCs w:val="20"/>
          <w:color w:val="auto"/>
        </w:rPr>
      </w:pPr>
    </w:p>
    <w:p>
      <w:pPr>
        <w:ind w:left="1240" w:hanging="253"/>
        <w:spacing w:after="0"/>
        <w:tabs>
          <w:tab w:leader="none" w:pos="12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of Licensed Products sold by Company and its Sublicensees in each country;</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Milestone Event set forth in Section 4.1(f) that has been achieved during the Reporting Period, together with the corresponding payment amount;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 billed or invoiced by Company and its Sublicensees for each Distinct Licensed Product, in each country,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Net Sales for the applicable Reporting Period in each country for each Distinct Licensed Product, including a listing of applicable deductions;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royalty payable on Net Sales in U.S. dollars, together with the exchange rates used for conversion; and</w:t>
      </w:r>
    </w:p>
    <w:p>
      <w:pPr>
        <w:spacing w:after="0" w:line="225" w:lineRule="exact"/>
        <w:rPr>
          <w:rFonts w:ascii="Times New Roman" w:cs="Times New Roman" w:eastAsia="Times New Roman" w:hAnsi="Times New Roman"/>
          <w:sz w:val="18"/>
          <w:szCs w:val="18"/>
          <w:color w:val="auto"/>
        </w:rPr>
      </w:pPr>
    </w:p>
    <w:p>
      <w:pPr>
        <w:ind w:right="220" w:firstLine="987"/>
        <w:spacing w:after="0" w:line="277" w:lineRule="auto"/>
        <w:tabs>
          <w:tab w:leader="none" w:pos="1216"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Sublicense Income received by Company and Affiliated Sublicensee(s) , as applicable, from each Sublicensee and the amount due to MIT from such Sublicense Income, including: (i) an itemized breakdown of the sources of income comprising the Sublicense Income, which may include information concerning transactions related to the Sublicense; and (ii) information reasonably sufficient (in MIT’s reasonable judgment) to demonstrate any Research Support Payments deducted from Sublicense Income, as applicable. Company shall provide MIT with any additional information reasonably requested by MIT to support the deduction of Research Support Payments deducted from Sublicense Income.</w:t>
      </w:r>
    </w:p>
    <w:p>
      <w:pPr>
        <w:spacing w:after="0" w:line="16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amounts are due to MIT for any Reporting Period, the report shall so state.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On or before the [***] day following the last day of Company’s fiscal year, Company shall provide MIT with Company’s financial statements for the preceding fiscal year including, at a minimum, a balance sheet and an income statement, certified by Company’s treasurer or chief financial officer or by an independent auditor.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453" w:name="page454"/>
    <w:bookmarkEnd w:id="453"/>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Company and its agents, as applicable, shall keep, in accordance with generally accepted accounting principles, up-to-date, complete, true and accurate books of account in sufficient detail to permit calculation of all amounts due hereunder. MIT shall have the right to appoint an independent auditor, reasonably acceptable to Company, to audit, at MIT’s expense, upon reasonable advance written notice to Company and during normal business hours, all existing and relevant records for any Reporting Period during the Term ending not more than [***] prior to the date of such notice of audit, to the extent necessary to perform an audit of amounts due under this Agreement. Company may condition such auditor’s access to the books and records of Company on such auditor’s having executed and delivered a reasonable confidentiality agreement in favor of Company protecting disclosure and use of the information in such books and records. MIT shall instruct such auditor to complete the audit promptly. Company shall cooperate reasonably with such audit and shall permit such auditor to inspect and copy such portions of books and records that such auditor deems appropriate and necessary. Books of account and supporting records shall be retained by Company for at least [***] following the end of the Reporting Period to which they pertain. In the event that any audit performed under this Section reveals an underpayment in excess of the lesser of: (a) [***] during the audited period or any Reporting Period; and (b) [***], Company shall bear the full cost of such audit, and shall also remit any amounts due to MIT as revealed by such audit within [***] of receiving notice thereof from MIT. The parties agree that all applicable statutes of limitation and time-based defenses (including, but not limited to, estoppel and laches) shall be tolled during the pendency of an audit requested under this Section by MIT. The parties shall cooperate in taking any actions necessary to achieve this result.</w:t>
      </w:r>
    </w:p>
    <w:p>
      <w:pPr>
        <w:spacing w:after="0" w:line="346" w:lineRule="exact"/>
        <w:rPr>
          <w:sz w:val="20"/>
          <w:szCs w:val="20"/>
          <w:color w:val="auto"/>
        </w:rPr>
      </w:pPr>
    </w:p>
    <w:p>
      <w:pPr>
        <w:ind w:left="424" w:hanging="424"/>
        <w:spacing w:after="0"/>
        <w:tabs>
          <w:tab w:leader="none" w:pos="42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PROSECUTION</w:t>
      </w:r>
    </w:p>
    <w:p>
      <w:pPr>
        <w:spacing w:after="0" w:line="117" w:lineRule="exact"/>
        <w:rPr>
          <w:sz w:val="20"/>
          <w:szCs w:val="20"/>
          <w:color w:val="auto"/>
        </w:rPr>
      </w:pPr>
    </w:p>
    <w:p>
      <w:pPr>
        <w:ind w:left="4"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Responsibility for Patent Rights</w:t>
      </w:r>
      <w:r>
        <w:rPr>
          <w:rFonts w:ascii="Times New Roman" w:cs="Times New Roman" w:eastAsia="Times New Roman" w:hAnsi="Times New Roman"/>
          <w:sz w:val="18"/>
          <w:szCs w:val="18"/>
          <w:color w:val="auto"/>
        </w:rPr>
        <w:t>. MIT shall prepare, file, prosecute, and maintain all of the Patent Rights; Company shall cooperate with MIT in such filing, prosecution and maintenance. MIT shall instruct its patent counsel to provide Company with copies of all patent prosecution documents relating to the Patent Rights, including correspondence to and from patent offices, and shall provide Company a reasonable opportunity, if time permits, to review and comment on such materials. MIT shall seriously consider in good faith any comments received from Company relating to the preparation, filing, prosecution and maintenance of the Patent Rights; however, the Parties hereby agree and acknowledge that MIT has sole authority to make all decisions relating to the preparation, filing, prosecution, and maintenance of the Patent Rights.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454" w:name="page455"/>
    <w:bookmarkEnd w:id="45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International (non-United States) Filings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is a list of countries in which patent applications corresponding to the United States patent applications listed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shall be filed, prosecuted, and maintained.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may be amended by mutual agreement of Company and MIT.</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Returned Patent Rights</w:t>
      </w:r>
      <w:r>
        <w:rPr>
          <w:rFonts w:ascii="Times New Roman" w:cs="Times New Roman" w:eastAsia="Times New Roman" w:hAnsi="Times New Roman"/>
          <w:sz w:val="18"/>
          <w:szCs w:val="18"/>
          <w:color w:val="auto"/>
        </w:rPr>
        <w:t>. In the event that Company desires to discontinue its support of any patent or patent application within the Patent Rights in any particular country or countries, Company shall provide MIT with at least [***] prior written notice of such intended discontinuance of support. In such event, on a country-by-country basis, (i) any such patent or patent application (the “Returned Rights”) shall be removed from the definition of Patent Rights under this Agreement, (ii) the licenses granted to Company as to such Returned Rights shall terminate, (iii) Company shall have no further obligation with respect to such Returned Rights pursuant to Section 6.4 commencing [***] after Company’s notice, and (iv) MIT shall have the unrestricted right to license such Returned Rights to Third Parties. Notwithstanding the foregoing, at MIT’s election and in its sole discretion, MIT may, acting reasonably and in good faith, on a country-by-country basis, as an alternative to terminating the licenses granted to Company to such Returned Rights as set forth in clause (ii) above: (A) terminate the exclusivity of the license with respect to such Returned Rights in the applicable country and (B) continue to prosecute and maintain the Returned Rights at its own expense. If MIT makes such election, MIT shall promptly notify Company in writing of such election, and Company shall retain a non-exclusive license under the Returned Rights in the applicable country, provided that Company: (1) will be obligated to pay a royalty on Net Sales of Licensed Products at a rate that is [***] of the rates set forth in Section 4.1(d) in the countries where it has non-exclusive rights, (2) will remain obligated to pay any other amounts otherwise due under Section 4.1, and (3) MIT shall have the unrestricted right to grant to third parties non-exclusive licenses under the Returned Rights in such countries.</w:t>
      </w:r>
    </w:p>
    <w:p>
      <w:pPr>
        <w:spacing w:after="0" w:line="18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Payment of Patent Expenses</w:t>
      </w:r>
      <w:r>
        <w:rPr>
          <w:rFonts w:ascii="Times New Roman" w:cs="Times New Roman" w:eastAsia="Times New Roman" w:hAnsi="Times New Roman"/>
          <w:sz w:val="18"/>
          <w:szCs w:val="18"/>
          <w:color w:val="auto"/>
        </w:rPr>
        <w:t>. Payment of all fees and costs, including attorneys’ fees, relating to the filing, prosecution and maintenance of the Patent Rights (including without limitation interferences, reexaminations and reissues) shall be the responsibility of Company (“Patent Expenses”), whether such amounts were incurred before or after the Effective Date. As of December 12, 2019, MIT has incurred approximately [***] for such patent-related fees and costs. Without limiting Section 4.1(a)(ii) concerning Patent Expenses incurred prior to and including the Effective Date, Company shall reimburse all amounts due pursuant to this Section 6.4 within [***] of receipt of an invoice from MIT; late payments shall accrue interest pursuant to Section 4.2(e) (Late Payments). In all instances, MIT shall pay the fees prescribed for large entities to the United States Patent and Trademark Office unless otherwise agreed by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455" w:name="page456"/>
    <w:bookmarkEnd w:id="455"/>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 In the event MIT grants a commercial license(s) to one or more third parties under the Patent Rights MIT shall make a reasonable allocation in good faith of the Patent Expenses incurred during the term of such commercial license(s) among Company and such third parties.</w:t>
      </w:r>
    </w:p>
    <w:p>
      <w:pPr>
        <w:spacing w:after="0" w:line="310" w:lineRule="exact"/>
        <w:rPr>
          <w:sz w:val="20"/>
          <w:szCs w:val="20"/>
          <w:color w:val="auto"/>
        </w:rPr>
      </w:pPr>
    </w:p>
    <w:p>
      <w:pPr>
        <w:ind w:left="424" w:hanging="424"/>
        <w:spacing w:after="0"/>
        <w:tabs>
          <w:tab w:leader="none" w:pos="42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INFRINGEMENT; ENFORCEMENT.</w:t>
      </w:r>
    </w:p>
    <w:p>
      <w:pPr>
        <w:spacing w:after="0" w:line="117"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Notice of Infringement</w:t>
      </w:r>
      <w:r>
        <w:rPr>
          <w:rFonts w:ascii="Times New Roman" w:cs="Times New Roman" w:eastAsia="Times New Roman" w:hAnsi="Times New Roman"/>
          <w:sz w:val="18"/>
          <w:szCs w:val="18"/>
          <w:color w:val="auto"/>
        </w:rPr>
        <w:t>. In the event either party becomes aware of any possible or actual infringement of any Patent Rights with respect to Licensed Products in the Field in the Territory (an “Infringement”), that party shall promptly notify the other party and provide it with details regarding such Infringement.</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Suit by Company</w:t>
      </w:r>
      <w:r>
        <w:rPr>
          <w:rFonts w:ascii="Times New Roman" w:cs="Times New Roman" w:eastAsia="Times New Roman" w:hAnsi="Times New Roman"/>
          <w:sz w:val="18"/>
          <w:szCs w:val="18"/>
          <w:color w:val="auto"/>
        </w:rPr>
        <w:t>. Company shall have the first right, but not the obligation, to take action to enforce the Patent Rights against any Infringement. Prior to commencing any enforcement action with respect to any Infringement, Company (i) shall advise MIT in writing of Company’s proposed course of action, (ii) at MIT’s request shall meet with MIT to discuss such proposed course of action, and (iii) shall consider in good faith the views of MIT and the potential effects of enforcement activities on MIT and the public interest. Should Company elect to take action to enforce the Patent Rights against any Infringement, Company shall first obtain MIT’s approval of Company’s selected counsel, which approval shall not be unreasonably withheld. Once counsel is selected and approved, Company shall keep MIT reasonably informed of the progress of the enforcement action and shall give MIT a reasonable opportunity to offer its views about major decisions affecting the enforcement action or the validity or enforceability of the Patent Rights. Company agrees to consider those views in good faith, but shall have the right to control the action; provided, however, that if Company fails to defend in good faith the validity and/or enforceability of the Patent Rights in the action or, if Company’s exclusive license to a Valid Claim in the action terminates, MIT has the right to take control of the action pursuant to Section 7.6.</w:t>
      </w:r>
    </w:p>
    <w:p>
      <w:pPr>
        <w:spacing w:after="0" w:line="194"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If MIT is a necessary party under applicable law to establish standing for the initiation or maintenance of an enforcement action by Company under Section 7.2 (Suit by Company), MIT agrees to join as a co-plaintiff or declaratory judgment co-defendant in the action, provided that MIT shall not be the first named plaintiff or defendant party in such action. In addition, MIT has the right to elect to participate as a co-plaintiff in an enforcement action by Company with respect to any Infringement. If MIT elects prior to the initiating pleading to participate as a co-plaintiff, Company shall obtain MIT’s approval of Company’s selection of jurisdiction and venue, which approval shall not be unreasonably withheld. If MIT joins the action as a party at any time, Company shall make reasonable efforts to minimize any disruption to MIT’s operations resulting from such joinder and participation in the action.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4"/>
          </w:cols>
          <w:pgMar w:left="436" w:top="270" w:right="499" w:bottom="1440" w:gutter="0" w:footer="0" w:header="0"/>
        </w:sectPr>
      </w:pPr>
    </w:p>
    <w:bookmarkStart w:id="456" w:name="page457"/>
    <w:bookmarkEnd w:id="45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Costs, Expenses and Fees</w:t>
      </w:r>
      <w:r>
        <w:rPr>
          <w:rFonts w:ascii="Times New Roman" w:cs="Times New Roman" w:eastAsia="Times New Roman" w:hAnsi="Times New Roman"/>
          <w:sz w:val="18"/>
          <w:szCs w:val="18"/>
          <w:color w:val="auto"/>
        </w:rPr>
        <w:t>. The costs and expenses of any action the Company elects to bring shall be paid for entirely by Company. Company shall indemnify MIT and hold MIT free, clear and harmless from and against any and all costs, expenses, damages and liability that MIT may incur in connection with any such action, including, without limitation, attorneys’ fees and other costs, expenses, damages and liability that are incurred by MIT with respect to any aspect of the prosecution, adjudication, defense, management and/or settlement of, or joinder to, any such action, including any appeals, remands or other related proceedings, or that are awarded against MIT as a party to such action (collectively, “Litigation Expenses”). Company shall reimburse MIT for all Litigation Expenses within [***] after receiving an invoice from MIT for same.</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Settlement and Recovery</w:t>
      </w:r>
      <w:r>
        <w:rPr>
          <w:rFonts w:ascii="Times New Roman" w:cs="Times New Roman" w:eastAsia="Times New Roman" w:hAnsi="Times New Roman"/>
          <w:sz w:val="18"/>
          <w:szCs w:val="18"/>
          <w:color w:val="auto"/>
        </w:rPr>
        <w:t>. Company must obtain MIT’s written consent before offering or accepting any compromise or settlement, which consent shall not be unreasonably withheld, conditioned or delayed. In the event Company exercises its right to commence an enforcement action pursuant to Section 7.2 (Suit by Company), out of any sums recovered in such suit or in settlement thereof, Company shall first reimburse MIT for any unreimbursed Litigation Expenses and then may reimburse itself for all litigation costs and expenses including reasonable attorneys’ fees incurred by Company in connection with the suit. If, after such reimbursement, any funds shall remain from said recovery, then MIT shall receive an amount equal to [***] of such funds and the remaining [***] of such funds shall be retained by Company.</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Suit by MIT</w:t>
      </w:r>
      <w:r>
        <w:rPr>
          <w:rFonts w:ascii="Times New Roman" w:cs="Times New Roman" w:eastAsia="Times New Roman" w:hAnsi="Times New Roman"/>
          <w:sz w:val="18"/>
          <w:szCs w:val="18"/>
          <w:color w:val="auto"/>
        </w:rPr>
        <w:t>. If Company does not take action to enforce the Patent Rights against Infringement pursuant to Section 7.2 (Suit by Company), and has not commenced negotiations with the infringer for the discontinuance of said Infringement, then, within [***] after notification of the existence of an Infringement has been given to MIT pursuant to Section 7.1 (Notice of Infringement), MIT may elect to enforce the Patent Rights against such Infringement. Upon written request from MIT, Company agrees to join as a co-plaintiff in the action. Should MIT elect to bring suit against an infringer and Company is joined as party plaintiff in any such suit, Company shall have the right to approve the counsel selected by MIT to represent MIT and Company, such approval not to be unreasonably withheld. Any and all expenses, including reasonable attorneys’ fees, incurred by Company with respect to the prosecution, adjudication and/or settlement of such suit, including any related appeals, shall be paid for entirely by MIT and MIT shall hold Company free, clear and harmless from and against any and all such expenses. MIT shall not compromise or settle such litigation without the prior written consent of Company, which consent shall not be unreasonably withheld, conditioned or delayed. In the event MIT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70" w:right="519" w:bottom="1440" w:gutter="0" w:footer="0" w:header="0"/>
        </w:sectPr>
      </w:pPr>
    </w:p>
    <w:bookmarkStart w:id="457" w:name="page458"/>
    <w:bookmarkEnd w:id="457"/>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exercises its right to sue pursuant to this Section 7.6 (Suit by MIT), it shall first reimburse Company for any unreimbursed Litigation Expenses and then may reimburse itself out of any sums recovered in such suit or in settlement thereof for Litigation Expenses. If, after such reimbursement, any funds shall remain from said recovery, then Company shall receive an amount equal to [***] of such funds and the remaining [***] of such funds shall be retained by MIT.</w:t>
      </w:r>
    </w:p>
    <w:p>
      <w:pPr>
        <w:spacing w:after="0" w:line="180"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Own Counsel</w:t>
      </w:r>
      <w:r>
        <w:rPr>
          <w:rFonts w:ascii="Times New Roman" w:cs="Times New Roman" w:eastAsia="Times New Roman" w:hAnsi="Times New Roman"/>
          <w:sz w:val="18"/>
          <w:szCs w:val="18"/>
          <w:color w:val="auto"/>
        </w:rPr>
        <w:t>. Each party shall always have the right to be represented by counsel of its own selection and at its own expense in any suit for Infringement instituted under this Article 7 by the other party.</w:t>
      </w:r>
    </w:p>
    <w:p>
      <w:pPr>
        <w:spacing w:after="0" w:line="162"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agrees to cooperate fully in any action under this Article 7 that is controlled by the other party, provided that the controlling party reimburses the cooperating party promptly for any costs and expenses incurred by the cooperating party in connection with providing such assistance.</w:t>
      </w:r>
    </w:p>
    <w:p>
      <w:pPr>
        <w:spacing w:after="0" w:line="17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Declaratory Judgment</w:t>
      </w:r>
      <w:r>
        <w:rPr>
          <w:rFonts w:ascii="Times New Roman" w:cs="Times New Roman" w:eastAsia="Times New Roman" w:hAnsi="Times New Roman"/>
          <w:sz w:val="18"/>
          <w:szCs w:val="18"/>
          <w:color w:val="auto"/>
        </w:rPr>
        <w:t>. If a declaratory judgment action is brought naming Company and Sublicensees as a defendant and alleging invalidity or unenforceability of any claims within the Patent Rights, Company shall promptly notify MIT in writing and MIT may elect, upon written notice to Company, to take over the sole defense of the invalidity and/or unenforceability aspect of the action at its own expense.</w:t>
      </w:r>
    </w:p>
    <w:p>
      <w:pPr>
        <w:spacing w:after="0" w:line="324" w:lineRule="exact"/>
        <w:rPr>
          <w:sz w:val="20"/>
          <w:szCs w:val="20"/>
          <w:color w:val="auto"/>
        </w:rPr>
      </w:pPr>
    </w:p>
    <w:p>
      <w:pPr>
        <w:ind w:left="444" w:right="7440" w:hanging="444"/>
        <w:spacing w:after="0" w:line="375" w:lineRule="auto"/>
        <w:tabs>
          <w:tab w:leader="none" w:pos="43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INDEMNIFICATION AND INSURANCE </w:t>
      </w: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Company shall indemnify, defend, and hold harmless MIT and its trustees, directors, officers, faculty, students, employees, agents, affiliates and their respective successors, heirs and assigns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against any liability, damage, loss, or expense (including reasonable attorneys’ fees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incurred by or imposed upon any of the Indemnitees in connection with any third-party claims, suits, investigations, actions, demands or judgments (i) arising out of, or in connection with, any theory of liability concerning any Licensed Product that is made, used, sold or imported by Company, its agents, Distributors or Sublicensees , (ii) arising out of, or in connection with, the exercise of rights granted to Company and Sublicensees under this Agreement, or (iii) arising out of, or in connection with, a breach of this Agreement by Company or a breach of a Sublicense by a Sublicensee; provided, however, that Company shall have no obligation pursuant to the foregoing to the extent such Losses directly result from the gross negligence or willful misconduct of any Indemnitee.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458" w:name="page459"/>
    <w:bookmarkEnd w:id="458"/>
    <w:p>
      <w:pPr>
        <w:ind w:left="4" w:right="40" w:firstLine="987"/>
        <w:spacing w:after="0" w:line="253" w:lineRule="auto"/>
        <w:tabs>
          <w:tab w:leader="none" w:pos="125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Procedures</w:t>
      </w:r>
      <w:r>
        <w:rPr>
          <w:rFonts w:ascii="Times New Roman" w:cs="Times New Roman" w:eastAsia="Times New Roman" w:hAnsi="Times New Roman"/>
          <w:sz w:val="18"/>
          <w:szCs w:val="18"/>
          <w:color w:val="auto"/>
        </w:rPr>
        <w:t>. The Indemnitees agree to provide Company with prompt written notice of any claim, suit, action, demand, or judgment for which indemnification is sought under this Agreement. Company agrees, at its own expense, to provide attorneys reasonably acceptable to MIT to defend against any such claim. The Indemnitees shall reasonably cooperate with Company in such defense and will permit Company to conduct and control such defense and the disposition of such claim, suit, or action (including all decisions relative to litigation, appeal, and settlement); provided, however, that any Indemnitee shall have the right to retain its own counsel, at the expense of Company, if representation of such Indemnitee by the counsel retained by Company would be inappropriate because of actual or potential differences in the interests of such Indemnitee and any other party represented by such counsel. Company agrees to keep MIT informed of the progress in the defense and disposition of such claim and to consult with MIT with regard to any proposed settlement. Company shall not enter into any settlement, consent judgment, or other voluntary final disposition of any claim that would have a material, adverse effect on any Indemnitee(s) (including reputational harm) or admits any wrongdoing or fault by any Indemnitee or imposes on any Indemnitee any payment obligation or other material liability, without the prior written consent of MIT.</w:t>
      </w:r>
    </w:p>
    <w:p>
      <w:pPr>
        <w:spacing w:after="0" w:line="19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Company shall obtain and carry commercial general liability (“</w:t>
      </w:r>
      <w:r>
        <w:rPr>
          <w:rFonts w:ascii="Times New Roman" w:cs="Times New Roman" w:eastAsia="Times New Roman" w:hAnsi="Times New Roman"/>
          <w:sz w:val="18"/>
          <w:szCs w:val="18"/>
          <w:b w:val="1"/>
          <w:bCs w:val="1"/>
          <w:color w:val="auto"/>
        </w:rPr>
        <w:t>CGL</w:t>
      </w:r>
      <w:r>
        <w:rPr>
          <w:rFonts w:ascii="Times New Roman" w:cs="Times New Roman" w:eastAsia="Times New Roman" w:hAnsi="Times New Roman"/>
          <w:sz w:val="18"/>
          <w:szCs w:val="18"/>
          <w:color w:val="auto"/>
        </w:rPr>
        <w:t>”) insurance as set forth in this Section. Such CGL insurance, pursuant to its terms, shall (i) list MIT as an additional insured thereunder but only with respect to claims made against MIT arising from Company’s own actual or alleged acts, errors or omissions, (ii) include products/completed operations coverage or Company shall obtain and maintain product liability coverage under a separate policy, and (iii) require [***] written notice to be given to MIT prior to any cancellation or material reduction thereof. The minimum limits of the CGL insurance shall be [***] per occurrence, with an aggregate limit of [***]. Beginning with the earlier of</w:t>
      </w:r>
    </w:p>
    <w:p>
      <w:pPr>
        <w:spacing w:after="0" w:line="3" w:lineRule="exact"/>
        <w:rPr>
          <w:sz w:val="20"/>
          <w:szCs w:val="20"/>
          <w:color w:val="auto"/>
        </w:rPr>
      </w:pPr>
    </w:p>
    <w:p>
      <w:pPr>
        <w:ind w:left="4" w:right="60" w:hanging="4"/>
        <w:spacing w:after="0" w:line="252" w:lineRule="auto"/>
        <w:tabs>
          <w:tab w:leader="none" w:pos="25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human clinical trials of a Licensed Product or (2) commercial distribution, sale, lease, transfer or use of a Licensed Product, and for so long as a Licensed Product is under development or being commercialized by Company or its Affiliates or Sublicensees, the minimum limits of the CGL insurance, or of a separate policy of insurance covering product liability, shall be not less than [***] per occurrence, with an aggregate limit of [***]. With respect to any insurance required hereunder that is underwritten on a per-claims basis, the Company shall either (a) maintain such insurance for at least [***] following the termination of this Agreement, or (b) alternatively, purchase a [***] extended reporting period with respect to such insurance, which shall satisfy in full the obligation set forth in sub-part (a) of this sentence. Company shall provide MIT with certificates of insurance evidencing compliance with this Section for as long as the coverage must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59" w:name="page460"/>
    <w:bookmarkEnd w:id="45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maintained. Notwithstanding the foregoing, the products/completed operations coverage and errors and omissions coverage, as described above, shall be in place at least [***] prior to: (1) the use, operation, demonstration, or testing of any Licensed Product by Company or a third party at the premises of any third party that is not subject to a contractual indemnity extending protection to MIT or (2) the first distribution, sale, lease, or transfer of a Licensed Product to a third party.</w:t>
      </w:r>
    </w:p>
    <w:p>
      <w:pPr>
        <w:spacing w:after="0" w:line="328" w:lineRule="exact"/>
        <w:rPr>
          <w:sz w:val="20"/>
          <w:szCs w:val="20"/>
          <w:color w:val="auto"/>
        </w:rPr>
      </w:pPr>
    </w:p>
    <w:p>
      <w:pPr>
        <w:ind w:left="424" w:hanging="424"/>
        <w:spacing w:after="0"/>
        <w:tabs>
          <w:tab w:leader="none" w:pos="42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DISCLAIMER OF WARRANTIES; LIMITATION OF LIABILITY</w:t>
      </w:r>
    </w:p>
    <w:p>
      <w:pPr>
        <w:spacing w:after="0" w:line="117"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9.1 MIT represents and warrants that as of the Effective Date, and to the knowledge of the TLO: (a) MIT has received assignments from the inventors named on the MIT disclosure form that the TLO received on September 17, 2018, which assigns each inventor’s rights, title and interests in and to the Patent Rights to MIT and (b) MIT has the right and authority to grant the rights and licenses set forth in this Agreement.</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EXCEPT AS OTHERWISE EXPRESSLY SET FORTH IN THIS AGREEMENT, MIT MAKES NO REPRESENTATIONS OR WARRANTIES OF ANY KIND CONCERNING THE PATENT RIGHTS, (INCLUDING, WITHOUT LIMITATION, ANY WARRANTY BY MIT THAT IT CAN OR WILL BE ABLE TO OBTAIN PATENTS ON PATENT APPLICATIONS INCLUDED IN THE PATENT RIGHTS AND ANY WARRANTY AS TO THE COMMERCIAL OR SCIENTIFIC VALUE OF THE PATENT RIGHTS AND HEREBY DISCLAIMS ALL REPRESENTATIONS AND WARRANTIES, EXPRESS OR IMPLIED, INCLUDING WITHOUT LIMITATION WARRANTIES OF MERCHANTABILITY, FITNESS FOR A PARTICULAR PURPOSE, NONINFRINGEMENT OF INTELLECTUAL PROPERTY RIGHTS OF MIT OR THIRD PARTIES, VALIDITY, ENFORCEABILITY AND SCOPE OF PATENT RIGHTS, WHETHER ISSUED OR PENDING, AND THE ABSENCE OF LATENT OR OTHER DEFECTS, WHETHER OR NOT DISCOVERABLE. EXCEPT AS OTHERWISE EXPRESSLY SET FORTH IN THIS AGREEMENT, COMPANY MAKES NO REPRESENTATIONS OR WARRANTIES OF ANY KIND CONCERNING ANY MATTER WHATSOEVER, AND HEREBY DISCLAIMS ALL REPRESENTATIONS AND WARRANTIES, EXPRESS OR IMPLIED, INCLUDING WITHOUT LIMITATION WARRANTIES OF MERCHANTABILITY, FITNESS FOR A PARTICULAR PURPOSE, NONINFRINGEMENT OF INTELLECTUAL PROPERTY RIGHTS OF THIRD PARTIES OR THAT ANY LICENSED PRODUCT CAN BE SUCCESSFULLY DEVELOPED OR COMMERCIALIZED.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460" w:name="page461"/>
    <w:bookmarkEnd w:id="460"/>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EXCEPT FOR COMPANY’S INDEMNIFICATION OBLIGATIONS SET FORTH IN SECTION 8, IN NO EVENT SHALL A PARTY, ITS TRUSTEES, DIRECTORS, OFFICERS, FACULTY, STUDENTS, EMPLOYEES, AGENTS AND AFFILIATES BE LIABLE FOR SPECIAL, INCIDENTAL, INDIRECT, OR CONSEQUENTIAL DAMAGES OF ANY KIND, INCLUDING ECONOMIC DAMAGES OR INJURY TO PROPERTY AND LOST PROFITS (REGARDLESS AS TO WHETHER LOST PROFITS ARE CHARACTERIZED AS INDIRECT OR DIRECT DAMAGES), REGARDLESS OF WHETHER SUCH PARTY SHALL BE ADVISED, SHALL HAVE OTHER REASON TO KNOW, OR IN FACT SHALL KNOW OF THE POSSIBILITY OF THE FOREGOING.</w:t>
      </w:r>
    </w:p>
    <w:p>
      <w:pPr>
        <w:spacing w:after="0" w:line="295" w:lineRule="exact"/>
        <w:rPr>
          <w:sz w:val="20"/>
          <w:szCs w:val="20"/>
          <w:color w:val="auto"/>
        </w:rPr>
      </w:pPr>
    </w:p>
    <w:p>
      <w:pPr>
        <w:ind w:left="404" w:hanging="404"/>
        <w:spacing w:after="0"/>
        <w:tabs>
          <w:tab w:leader="none" w:pos="40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p>
    <w:p>
      <w:pPr>
        <w:spacing w:after="0" w:line="117"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This Agreement is personal to Company, and any assignment or transfer of this Agreement by Company to a third party may be made only with the prior written consent of MIT, except Company may assign this Agreement without the prior written consent of MIT to an Affiliate or as part of a merger or acquisition of the Company, so long as (i) Company is in compliance with this Agreement, (ii) the assignee agrees in writing to be bound by the terms of this Agreement, (iii) and MIT is notified of the assignment and the assignee. Nothing in this Section 10 shall be construed to modify or eliminate any obligation of Company to pay MIT a fee in connection with a Change of Control of Company in accordance with Section 4.1(i). Any purported assignment or transfer in violation of the foregoing shall be null and void and of no force or effect.</w:t>
      </w:r>
    </w:p>
    <w:p>
      <w:pPr>
        <w:spacing w:after="0" w:line="295" w:lineRule="exact"/>
        <w:rPr>
          <w:sz w:val="20"/>
          <w:szCs w:val="20"/>
          <w:color w:val="auto"/>
        </w:rPr>
      </w:pPr>
    </w:p>
    <w:p>
      <w:pPr>
        <w:ind w:left="404" w:hanging="404"/>
        <w:spacing w:after="0"/>
        <w:tabs>
          <w:tab w:leader="none" w:pos="40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COMPLIANCE WITH LAWS</w:t>
      </w:r>
    </w:p>
    <w:p>
      <w:pPr>
        <w:spacing w:after="0" w:line="117"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Company shall, and shall cause its Sublicensees as necessary, to comply with all material local, state, federal, and international laws and regulations relating to the development, manufacture, use, and sale of Licensed Products.</w:t>
      </w:r>
    </w:p>
    <w:p>
      <w:pPr>
        <w:spacing w:after="0" w:line="162"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As required by applicable law, Company shall, and shall cause its and Sublicensees as necessary to, register or record this Agreement with the relevant government authority. After the completion of the registration and recordation, Company shall provide MIT with documentation of registration and recordation issued by the government authorities with respect to this Agreement. The costs of the registration and filing shall be borne by Company.</w:t>
      </w:r>
    </w:p>
    <w:p>
      <w:pPr>
        <w:spacing w:after="0" w:line="180"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Export Control</w:t>
      </w:r>
      <w:r>
        <w:rPr>
          <w:rFonts w:ascii="Times New Roman" w:cs="Times New Roman" w:eastAsia="Times New Roman" w:hAnsi="Times New Roman"/>
          <w:sz w:val="18"/>
          <w:szCs w:val="18"/>
          <w:color w:val="auto"/>
        </w:rPr>
        <w:t>. Company shall, and shall cause its Sublicensees as necessary to, comply with all United States laws and regulations controlling the export of certain commodities and technical data, including without limitation all Export Administration Regulations of the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4"/>
          </w:cols>
          <w:pgMar w:left="436" w:top="270" w:right="499" w:bottom="1440" w:gutter="0" w:footer="0" w:header="0"/>
        </w:sectPr>
      </w:pPr>
    </w:p>
    <w:bookmarkStart w:id="461" w:name="page462"/>
    <w:bookmarkEnd w:id="46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United States Department of Commerce. Among other things, these laws and regulations prohibit or require a license for the export of certain types of commodities and technical data to specified countries. Company hereby gives written assurance that it will comply with, and will cause its Sublicensees to comply with, all United States export control laws and regulations, that it bears sole responsibility for any violation of such laws and regulations by itself or its Sublicensees, and that it will indemnify, defend, and hold MIT harmless (in accordance with Section 8.1 (Indemnification)) for the consequences of any such violation.</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Use of MIT Name</w:t>
      </w:r>
      <w:r>
        <w:rPr>
          <w:rFonts w:ascii="Times New Roman" w:cs="Times New Roman" w:eastAsia="Times New Roman" w:hAnsi="Times New Roman"/>
          <w:sz w:val="18"/>
          <w:szCs w:val="18"/>
          <w:color w:val="auto"/>
        </w:rPr>
        <w:t>. During the Term, Company may make certain factual statements that it has entered into this Agreement with MIT to license the Patent Rights. Such statements may be made in connection with general company information (e.g., statements regarding company history or technology background) or in annual shareholder reports or investor presentations; however, no such statement may be used in advertising or other promotional material or activities or in any manner to suggest or imply MIT’s endorsement of Company, its Sublicensees, or Company’s or Sublicensees’ products or services. Except as specifically permitted herein, Company shall, and shall cause its Sublicensees to, not otherwise use or allow the use of the name of “Massachusetts Institute of Technology,” “Lincoln Laboratory” or any variation, adaptation, or abbreviation thereof, or of any of its trustees, officers, faculty, students, employees, or agents, or any trademark owned by MIT, or any terms of this Agreement in any other public announcement or disclosure without the prior written consent of MIT (via [***]), which consent MIT may withhold in its sole discretion. If Company or Sublicensee seeks to use the name of an individual trustee, officer, faculty, student, employee or agent, Company must receive the written consent of such individual.</w:t>
      </w:r>
    </w:p>
    <w:p>
      <w:pPr>
        <w:spacing w:after="0" w:line="194"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Marking of Licensed Products</w:t>
      </w:r>
      <w:r>
        <w:rPr>
          <w:rFonts w:ascii="Times New Roman" w:cs="Times New Roman" w:eastAsia="Times New Roman" w:hAnsi="Times New Roman"/>
          <w:sz w:val="18"/>
          <w:szCs w:val="18"/>
          <w:color w:val="auto"/>
        </w:rPr>
        <w:t>. To the extent commercially feasible and consistent with prevailing business practices, Company shall, and shall cause its Sublicensees as necessary to, mark all Licensed Products that are manufactured or sold under this Agreement to notify the public and competitors that such products are patented.</w:t>
      </w:r>
    </w:p>
    <w:p>
      <w:pPr>
        <w:spacing w:after="0" w:line="284" w:lineRule="exact"/>
        <w:rPr>
          <w:sz w:val="20"/>
          <w:szCs w:val="20"/>
          <w:color w:val="auto"/>
        </w:rPr>
      </w:pPr>
    </w:p>
    <w:p>
      <w:pPr>
        <w:ind w:left="404" w:hanging="404"/>
        <w:spacing w:after="0"/>
        <w:tabs>
          <w:tab w:leader="none" w:pos="40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117"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Voluntary Termination by Company</w:t>
      </w:r>
      <w:r>
        <w:rPr>
          <w:rFonts w:ascii="Times New Roman" w:cs="Times New Roman" w:eastAsia="Times New Roman" w:hAnsi="Times New Roman"/>
          <w:sz w:val="18"/>
          <w:szCs w:val="18"/>
          <w:color w:val="auto"/>
        </w:rPr>
        <w:t>. Company shall have the right to terminate this Agreement, for any reason, upon at least [***] prior written notice to MIT, provided that all amounts due to MIT have been paid by Company up to and including such termination effective date.</w:t>
      </w:r>
    </w:p>
    <w:p>
      <w:pPr>
        <w:spacing w:after="0" w:line="162"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Cessation of Business</w:t>
      </w:r>
      <w:r>
        <w:rPr>
          <w:rFonts w:ascii="Times New Roman" w:cs="Times New Roman" w:eastAsia="Times New Roman" w:hAnsi="Times New Roman"/>
          <w:sz w:val="18"/>
          <w:szCs w:val="18"/>
          <w:color w:val="auto"/>
        </w:rPr>
        <w:t>. If Company ceases to carry on its business related to this Agreement, MIT shall have the right to terminate this Agreement immediately upon written notice to Company.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462" w:name="page463"/>
    <w:bookmarkEnd w:id="462"/>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w:t>
      </w:r>
      <w:r>
        <w:rPr>
          <w:sz w:val="20"/>
          <w:szCs w:val="20"/>
          <w:color w:val="auto"/>
        </w:rPr>
        <w:tab/>
      </w:r>
      <w:r>
        <w:rPr>
          <w:rFonts w:ascii="Times New Roman" w:cs="Times New Roman" w:eastAsia="Times New Roman" w:hAnsi="Times New Roman"/>
          <w:sz w:val="17"/>
          <w:szCs w:val="17"/>
          <w:u w:val="single" w:color="auto"/>
          <w:color w:val="auto"/>
        </w:rPr>
        <w:t>Termination for Default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360" w:firstLine="987"/>
        <w:spacing w:after="0" w:line="312" w:lineRule="auto"/>
        <w:tabs>
          <w:tab w:leader="none" w:pos="1236"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Nonpayment</w:t>
      </w:r>
      <w:r>
        <w:rPr>
          <w:rFonts w:ascii="Times New Roman" w:cs="Times New Roman" w:eastAsia="Times New Roman" w:hAnsi="Times New Roman"/>
          <w:sz w:val="17"/>
          <w:szCs w:val="17"/>
          <w:color w:val="auto"/>
        </w:rPr>
        <w:t>. In the event Company fails to pay any amounts due and payable to MIT hereunder, and fails to make such payments within [***] after receiving written notice of such failure, MIT may terminate this Agreement immediately upon written notice to Company.</w:t>
      </w:r>
    </w:p>
    <w:p>
      <w:pPr>
        <w:spacing w:after="0" w:line="139" w:lineRule="exact"/>
        <w:rPr>
          <w:rFonts w:ascii="Times New Roman" w:cs="Times New Roman" w:eastAsia="Times New Roman" w:hAnsi="Times New Roman"/>
          <w:sz w:val="17"/>
          <w:szCs w:val="17"/>
          <w:color w:val="auto"/>
        </w:rPr>
      </w:pPr>
    </w:p>
    <w:p>
      <w:pPr>
        <w:ind w:right="140" w:firstLine="987"/>
        <w:spacing w:after="0" w:line="266" w:lineRule="auto"/>
        <w:tabs>
          <w:tab w:leader="none" w:pos="124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 Breach</w:t>
      </w:r>
      <w:r>
        <w:rPr>
          <w:rFonts w:ascii="Times New Roman" w:cs="Times New Roman" w:eastAsia="Times New Roman" w:hAnsi="Times New Roman"/>
          <w:sz w:val="18"/>
          <w:szCs w:val="18"/>
          <w:color w:val="auto"/>
        </w:rPr>
        <w:t>. In the event Company commits a material breach of its obligations under this Agreement, except as described in Section 12.3(a) (Nonpayment) and Section 3.2 (Failure to Achieve Diligence Milestone; Right to Cure), and fails to cure that breach within [***] after receiving written notice thereof, MIT may terminate this Agreement immediately upon written notice to Company.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Disputes Regarding Termination</w:t>
      </w:r>
      <w:r>
        <w:rPr>
          <w:rFonts w:ascii="Times New Roman" w:cs="Times New Roman" w:eastAsia="Times New Roman" w:hAnsi="Times New Roman"/>
          <w:sz w:val="18"/>
          <w:szCs w:val="18"/>
          <w:color w:val="auto"/>
        </w:rPr>
        <w:t>. If Company disputes any termination by MIT under this Section, it must notify MIT of the nature of such dispute and the proposed manner in which to resolve the dispute within [***] following its receipt of notification of breach or notification of termination by MIT, whichever is sooner. If the parties do not resolve such dispute within [***] of such notification, then Company shall be required to initiate the dispute resolution procedures outlined in Section 13.3 (Dispute Resolution Procedure, as applicable) immediately. If it does not do so, Company shall be considered to have waived its rights to dispute the termination.</w:t>
      </w:r>
    </w:p>
    <w:p>
      <w:pPr>
        <w:spacing w:after="0" w:line="183"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Upon termination of this Agreement by either party pursuant to any of the provisions of Section 12.1 (Voluntary Termination by Company), 12.2 (Cessation of Business) or 12.3 (Termination for Default) or by MIT pursuant to Section 3.2 (Failure to Achieve Diligence Milestone; Right to Cure): (a) the rights and licenses granted to Company under Article 2 shall terminate, all rights in and to and under the Patent Rights will revert to MIT and Company may not make any further use or exploitation of the Patent Rights and (b) any existing agreements that contain a Sublicense shall terminate to the extent of such Sublicense; provided, however, that, for each Sublicensee, if the Sublicensee is not then in breach of its Sublicense agreement with Company such that Company would have the right to terminate such Sublicense, such Sublicensee shall have the right to request a direct license from MIT, such request by the Sublicensee to be made within [***] of termination of this Agreement (the “</w:t>
      </w:r>
      <w:r>
        <w:rPr>
          <w:rFonts w:ascii="Times New Roman" w:cs="Times New Roman" w:eastAsia="Times New Roman" w:hAnsi="Times New Roman"/>
          <w:sz w:val="17"/>
          <w:szCs w:val="17"/>
          <w:b w:val="1"/>
          <w:bCs w:val="1"/>
          <w:color w:val="auto"/>
        </w:rPr>
        <w:t>License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Election Period</w:t>
      </w:r>
      <w:r>
        <w:rPr>
          <w:rFonts w:ascii="Times New Roman" w:cs="Times New Roman" w:eastAsia="Times New Roman" w:hAnsi="Times New Roman"/>
          <w:sz w:val="17"/>
          <w:szCs w:val="17"/>
          <w:color w:val="auto"/>
        </w:rPr>
        <w:t>”). If such Sublicensee makes such request during the License Election Period, MIT agrees to negotiate in good faith a license with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Sublicensee, under reasonable terms and conditions, (the “</w:t>
      </w:r>
      <w:r>
        <w:rPr>
          <w:rFonts w:ascii="Times New Roman" w:cs="Times New Roman" w:eastAsia="Times New Roman" w:hAnsi="Times New Roman"/>
          <w:sz w:val="17"/>
          <w:szCs w:val="17"/>
          <w:b w:val="1"/>
          <w:bCs w:val="1"/>
          <w:color w:val="auto"/>
        </w:rPr>
        <w:t>New Direct License</w:t>
      </w:r>
      <w:r>
        <w:rPr>
          <w:rFonts w:ascii="Times New Roman" w:cs="Times New Roman" w:eastAsia="Times New Roman" w:hAnsi="Times New Roman"/>
          <w:sz w:val="17"/>
          <w:szCs w:val="17"/>
          <w:color w:val="auto"/>
        </w:rPr>
        <w:t>”) for a period of up to [***] (the “</w:t>
      </w:r>
      <w:r>
        <w:rPr>
          <w:rFonts w:ascii="Times New Roman" w:cs="Times New Roman" w:eastAsia="Times New Roman" w:hAnsi="Times New Roman"/>
          <w:sz w:val="17"/>
          <w:szCs w:val="17"/>
          <w:b w:val="1"/>
          <w:bCs w:val="1"/>
          <w:color w:val="auto"/>
        </w:rPr>
        <w:t>Negotiation Period</w:t>
      </w:r>
      <w:r>
        <w:rPr>
          <w:rFonts w:ascii="Times New Roman" w:cs="Times New Roman" w:eastAsia="Times New Roman" w:hAnsi="Times New Roman"/>
          <w:sz w:val="17"/>
          <w:szCs w:val="17"/>
          <w:color w:val="auto"/>
        </w:rPr>
        <w:t>”). MIT is not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63" w:name="page464"/>
    <w:bookmarkEnd w:id="46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obligated to undertake any obligations under the New Direct License that are in addition to, or inconsistent with, the terms of this Agreement. Any New Direct License shall include payment to MIT of the license maintenance fees (Section 4.1(c)), running royalties (Section 4.1(d)) and milestone payments (Section 4.1(f)) provided for in this Agreement and an amount equal to the share of Sublicense Income that MIT would otherwise have received from Company as a result of the applicable Sublicense under the terms of Section 4.1(g) of this Agreement for the longer of: (i) the period of time under this Agreement that Company would have been obligated to pay MIT a share of Sublicense Income and (ii) the payment term of the applicable Sublicense between Company and Sublicensee. Until the earlier of: (A) the expiration of the Negotiation Period or (B) the execution and delivery of the New Direct License, the Sublicense agreement shall remain in effect, provided that MIT shall have no obligations thereunder that are in addition to, or inconsistent with, the terms of this Agreement and all financial, reporting and other obligations of such Sublicensee thereunder shall run in favor of MIT. Further, such Sublicensee shall be responsible for reimbursing MIT for any Patent Expenses related to the Patent Rights during the License Election Period, and if Sublicensee has requested such license within the License Election Period, the Sublicensee shall be responsible for reimbursing MIT for any Patent Expenses related to the Patent Rights during the Negotiation Period and up until the effective date of the such New Direct License.</w:t>
      </w:r>
    </w:p>
    <w:p>
      <w:pPr>
        <w:spacing w:after="0" w:line="19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Any provisions that, by their intent or meaning under the circumstances, are intended to survive, shall survive the expiration or termination of this Agreement. In addition, the following provisions shall survive the expiration or termination of this Agreement:</w:t>
      </w:r>
    </w:p>
    <w:p>
      <w:pPr>
        <w:spacing w:after="0" w:line="67" w:lineRule="exact"/>
        <w:rPr>
          <w:sz w:val="20"/>
          <w:szCs w:val="20"/>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 (“Definitions”);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4.1(b) (“Equity”);</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4.1(f) (“Milestone Payments”), as and to the extent provided therein;</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4.1(g) (“Sharing of Sublicense Income”), as and to the extent provided therein;</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4.1(i) (“Change of Control Fee”)’</w:t>
      </w:r>
    </w:p>
    <w:p>
      <w:pPr>
        <w:spacing w:after="0" w:line="130" w:lineRule="exact"/>
        <w:rPr>
          <w:rFonts w:ascii="Times New Roman" w:cs="Times New Roman" w:eastAsia="Times New Roman" w:hAnsi="Times New Roman"/>
          <w:sz w:val="18"/>
          <w:szCs w:val="18"/>
          <w:color w:val="auto"/>
        </w:rPr>
      </w:pPr>
    </w:p>
    <w:p>
      <w:pPr>
        <w:ind w:left="2080" w:right="460" w:hanging="545"/>
        <w:spacing w:after="0" w:line="266" w:lineRule="auto"/>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 (“Financial Reports”), as and to the extent required to report any outstanding payment obligations and the achievement of Milestone Event for which Company has a corresponding and surviving obligation to pay Milestone Payments;</w:t>
      </w:r>
    </w:p>
    <w:p>
      <w:pPr>
        <w:spacing w:after="0" w:line="8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5.4 (“Records”);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 (“Indemnification”);</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 (“Insurance”), as and to the extent provided therein that requires Company to maintain insurance;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64" w:name="page465"/>
    <w:bookmarkEnd w:id="464"/>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 (“Representations and Warranties; Disclaimer of Warranties and Limitation of Liability”);</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11.3 (“Export Control”);</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12.4 (“Disputes regarding Termination”);</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12.5 (“Effect of Termination”);</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 (“Survival”);</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12.7 (“Accruing Obligations”);</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13 (“Dispute Resolution”);</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14 (“Confidentiality”), to the extent provided therein; and</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15 (“Miscellaneous”).</w:t>
      </w:r>
    </w:p>
    <w:p>
      <w:pPr>
        <w:spacing w:after="0" w:line="225" w:lineRule="exact"/>
        <w:rPr>
          <w:sz w:val="20"/>
          <w:szCs w:val="20"/>
          <w:color w:val="auto"/>
        </w:rPr>
      </w:pPr>
    </w:p>
    <w:p>
      <w:pPr>
        <w:jc w:val="both"/>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Accruing Obligations</w:t>
      </w:r>
      <w:r>
        <w:rPr>
          <w:rFonts w:ascii="Times New Roman" w:cs="Times New Roman" w:eastAsia="Times New Roman" w:hAnsi="Times New Roman"/>
          <w:sz w:val="18"/>
          <w:szCs w:val="18"/>
          <w:color w:val="auto"/>
        </w:rPr>
        <w:t>. In no event shall termination or expiration of this Agreement release Company from the obligation to pay any amounts that became due or payable on or before the date of such termination or expiration. The parties agree that the obligations in Section 4.1(b) (Equity) will accrue immediately upon execution of this Agreement by both parties, regardless of the events, invoice and payment timing details set forth therein.</w:t>
      </w:r>
    </w:p>
    <w:p>
      <w:pPr>
        <w:spacing w:after="0" w:line="288" w:lineRule="exact"/>
        <w:rPr>
          <w:sz w:val="20"/>
          <w:szCs w:val="20"/>
          <w:color w:val="auto"/>
        </w:rPr>
      </w:pPr>
    </w:p>
    <w:p>
      <w:pPr>
        <w:ind w:left="404" w:hanging="404"/>
        <w:spacing w:after="0"/>
        <w:tabs>
          <w:tab w:leader="none" w:pos="40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p>
    <w:p>
      <w:pPr>
        <w:spacing w:after="0" w:line="117"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Mandatory Procedures</w:t>
      </w:r>
      <w:r>
        <w:rPr>
          <w:rFonts w:ascii="Times New Roman" w:cs="Times New Roman" w:eastAsia="Times New Roman" w:hAnsi="Times New Roman"/>
          <w:sz w:val="18"/>
          <w:szCs w:val="18"/>
          <w:color w:val="auto"/>
        </w:rPr>
        <w:t>. The parties agree that any dispute arising out of or relating to this Agreement (except as described in Section 12.3(a) (Nonpayment) and Section 3.2 (Failure to Achieve Diligence Milestone; Right to Cure)) shall be resolved solely by means of the procedures set forth in this Article, and that such procedures constitute legally binding obligations that are an essential provision of this Agreement. If either party fails to observe the procedures of this Article, as may be modified by their written agreement, the other party may bring an action for specific performance of these procedures in any court of competent jurisdiction.</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Equitable Remedies</w:t>
      </w:r>
      <w:r>
        <w:rPr>
          <w:rFonts w:ascii="Times New Roman" w:cs="Times New Roman" w:eastAsia="Times New Roman" w:hAnsi="Times New Roman"/>
          <w:sz w:val="18"/>
          <w:szCs w:val="18"/>
          <w:color w:val="auto"/>
        </w:rPr>
        <w:t>. Although the procedures specified in this Article are the sole and exclusive procedures for the resolution of disputes arising out of or relating to this Agreement (except as described in Section 12.3(a) (Nonpayment) and Section 3.2 (Failure to Achieve Diligence Milestone; Right to Cure)), either party may seek a preliminary injunction or other provisional equitable relief if, in its reasonable judgment, such action is necessary to avoid irreparable harm to itself or to preserve its rights under this Agreement.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70" w:right="499" w:bottom="1440" w:gutter="0" w:footer="0" w:header="0"/>
        </w:sectPr>
      </w:pPr>
    </w:p>
    <w:bookmarkStart w:id="465" w:name="page466"/>
    <w:bookmarkEnd w:id="465"/>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13.3</w:t>
      </w:r>
      <w:r>
        <w:rPr>
          <w:sz w:val="20"/>
          <w:szCs w:val="20"/>
          <w:color w:val="auto"/>
        </w:rPr>
        <w:tab/>
      </w:r>
      <w:r>
        <w:rPr>
          <w:rFonts w:ascii="Times New Roman" w:cs="Times New Roman" w:eastAsia="Times New Roman" w:hAnsi="Times New Roman"/>
          <w:sz w:val="17"/>
          <w:szCs w:val="17"/>
          <w:u w:val="single" w:color="auto"/>
          <w:color w:val="auto"/>
        </w:rPr>
        <w:t>Dispute Resolution Procedures.</w:t>
      </w:r>
    </w:p>
    <w:p>
      <w:pPr>
        <w:spacing w:after="0" w:line="117" w:lineRule="exact"/>
        <w:rPr>
          <w:sz w:val="20"/>
          <w:szCs w:val="20"/>
          <w:color w:val="auto"/>
        </w:rPr>
      </w:pPr>
    </w:p>
    <w:p>
      <w:pPr>
        <w:ind w:left="4" w:right="20" w:firstLine="987"/>
        <w:spacing w:after="0" w:line="253" w:lineRule="auto"/>
        <w:tabs>
          <w:tab w:leader="none" w:pos="12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Mediation</w:t>
      </w:r>
      <w:r>
        <w:rPr>
          <w:rFonts w:ascii="Times New Roman" w:cs="Times New Roman" w:eastAsia="Times New Roman" w:hAnsi="Times New Roman"/>
          <w:sz w:val="18"/>
          <w:szCs w:val="18"/>
          <w:color w:val="auto"/>
        </w:rPr>
        <w:t>. In the event of any dispute arising out of or relating to this Agreement (except as described in Section 12.3(a) (Nonpayment) and Section 3.2 (Failure to Achieve Diligence Milestone; Right to Cure)), either party may initiate mediation upon written notice to the other party (“Notice Date”) pursuant to Section 15.1 (Notice), whereupon both parties shall be obligated to engage in a mediation proceeding. The mediation shall commence within forty-five (45) days following the Notice Date. The mediation shall be conducted by a single mediator in Boston, Massachusetts. The party requesting mediation shall designate two (2) or more nominees for mediator in its Notice Date. The other party may accept one of the nominees or may designate its own nominees by notice addressed to the American Arbitration Association (AAA) and copied to the requesting party. If within fifteen (15) days following the Notice Date, the parties have not selected a mutually acceptable mediator, a mediator shall be appointed by the AAA according to the Commercial Mediation Rules. The mediator shall attempt to facilitate a negotiated settlement of the dispute, but shall have no authority to impose any settlement terms on the parties. The expenses of the mediation shall be borne equally by the parties, but each party shall be responsible for its own counsel fees and expenses.</w:t>
      </w:r>
    </w:p>
    <w:p>
      <w:pPr>
        <w:spacing w:after="0" w:line="194"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5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Trial Without Jury</w:t>
      </w:r>
      <w:r>
        <w:rPr>
          <w:rFonts w:ascii="Times New Roman" w:cs="Times New Roman" w:eastAsia="Times New Roman" w:hAnsi="Times New Roman"/>
          <w:sz w:val="18"/>
          <w:szCs w:val="18"/>
          <w:color w:val="auto"/>
        </w:rPr>
        <w:t>. If the dispute is not resolved by mediation within forty-five (45) days after commencement of mediation, each party shall have the right to pursue any other remedies legally available to resolve the dispute; provided, however, that the parties expressly waive any right to a jury trial in any legal proceeding under this Article.</w:t>
      </w:r>
    </w:p>
    <w:p>
      <w:pPr>
        <w:spacing w:after="0" w:line="17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Performance to Continue</w:t>
      </w:r>
      <w:r>
        <w:rPr>
          <w:rFonts w:ascii="Times New Roman" w:cs="Times New Roman" w:eastAsia="Times New Roman" w:hAnsi="Times New Roman"/>
          <w:sz w:val="18"/>
          <w:szCs w:val="18"/>
          <w:color w:val="auto"/>
        </w:rPr>
        <w:t>. Each party shall continue to perform its undisputed obligations under this Agreement pending final resolution of any dispute arising out of or relating to this Agreement; provided, however, that a party may suspend performance of its undisputed obligations during any period in which the other party fails or refuses to perform its undisputed obligations. Nothing in this Article is intended to relieve Company from its obligation to make undisputed payments pursuant to Articles 4 and 6 of this Agreement.</w:t>
      </w:r>
    </w:p>
    <w:p>
      <w:pPr>
        <w:spacing w:after="0" w:line="180"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Statute of Limitations</w:t>
      </w:r>
      <w:r>
        <w:rPr>
          <w:rFonts w:ascii="Times New Roman" w:cs="Times New Roman" w:eastAsia="Times New Roman" w:hAnsi="Times New Roman"/>
          <w:sz w:val="18"/>
          <w:szCs w:val="18"/>
          <w:color w:val="auto"/>
        </w:rPr>
        <w:t>. The parties agree that all applicable statutes of limitation and time-based defenses (including, but not limited to, estoppel and laches) shall be tolled while the procedures set forth in this Article are pending. The parties shall cooperate in taking any actions necessary to achieve this result.</w:t>
      </w:r>
    </w:p>
    <w:p>
      <w:pPr>
        <w:spacing w:after="0" w:line="284" w:lineRule="exact"/>
        <w:rPr>
          <w:sz w:val="20"/>
          <w:szCs w:val="20"/>
          <w:color w:val="auto"/>
        </w:rPr>
      </w:pPr>
    </w:p>
    <w:p>
      <w:pPr>
        <w:ind w:left="404" w:hanging="404"/>
        <w:spacing w:after="0"/>
        <w:tabs>
          <w:tab w:leader="none" w:pos="40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11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“Confidential Information” means any proprietary information specifically designated as confidential, which may include Progress Reports, Financial Statements, Financial Reports, or Sublicense agreements provided to MIT pursuant to this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466" w:name="page467"/>
    <w:bookmarkEnd w:id="466"/>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that Company shall only furnish Confidential Information to the TLO. Confidential Information shall be marked with a legend indicating its confidential status (such as “Confidential” or “Proprietary”). Confidential Information shall not include:</w:t>
      </w:r>
    </w:p>
    <w:p>
      <w:pPr>
        <w:spacing w:after="0" w:line="54" w:lineRule="exact"/>
        <w:rPr>
          <w:sz w:val="20"/>
          <w:szCs w:val="20"/>
          <w:color w:val="auto"/>
        </w:rPr>
      </w:pPr>
    </w:p>
    <w:p>
      <w:pPr>
        <w:ind w:left="660" w:hanging="224"/>
        <w:spacing w:after="0"/>
        <w:tabs>
          <w:tab w:leader="none" w:pos="6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at the time of disclosure hereunder is already generally known or publicly available;</w:t>
      </w:r>
    </w:p>
    <w:p>
      <w:pPr>
        <w:spacing w:after="0" w:line="117" w:lineRule="exact"/>
        <w:rPr>
          <w:rFonts w:ascii="Times New Roman" w:cs="Times New Roman" w:eastAsia="Times New Roman" w:hAnsi="Times New Roman"/>
          <w:sz w:val="18"/>
          <w:szCs w:val="18"/>
          <w:color w:val="auto"/>
        </w:rPr>
      </w:pPr>
    </w:p>
    <w:p>
      <w:pPr>
        <w:ind w:left="440" w:hanging="4"/>
        <w:spacing w:after="0" w:line="282" w:lineRule="auto"/>
        <w:tabs>
          <w:tab w:leader="none" w:pos="70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after disclosure hereunder becomes generally known or publicly available other than through any act or omission of MIT in violation of this Agreement;</w:t>
      </w:r>
    </w:p>
    <w:p>
      <w:pPr>
        <w:spacing w:after="0" w:line="53" w:lineRule="exact"/>
        <w:rPr>
          <w:rFonts w:ascii="Times New Roman" w:cs="Times New Roman" w:eastAsia="Times New Roman" w:hAnsi="Times New Roman"/>
          <w:sz w:val="18"/>
          <w:szCs w:val="18"/>
          <w:color w:val="auto"/>
        </w:rPr>
      </w:pPr>
    </w:p>
    <w:p>
      <w:pPr>
        <w:ind w:left="440" w:right="840" w:hanging="4"/>
        <w:spacing w:after="0" w:line="282" w:lineRule="auto"/>
        <w:tabs>
          <w:tab w:leader="none" w:pos="75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was in possession of MIT without obligations of confidentiality to Company prior to disclosure to MIT under this Agreement; and</w:t>
      </w:r>
    </w:p>
    <w:p>
      <w:pPr>
        <w:spacing w:after="0" w:line="53" w:lineRule="exact"/>
        <w:rPr>
          <w:rFonts w:ascii="Times New Roman" w:cs="Times New Roman" w:eastAsia="Times New Roman" w:hAnsi="Times New Roman"/>
          <w:sz w:val="18"/>
          <w:szCs w:val="18"/>
          <w:color w:val="auto"/>
        </w:rPr>
      </w:pPr>
    </w:p>
    <w:p>
      <w:pPr>
        <w:ind w:left="440" w:right="380" w:hanging="4"/>
        <w:spacing w:after="0" w:line="282" w:lineRule="auto"/>
        <w:tabs>
          <w:tab w:leader="none" w:pos="74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is hereafter lawfully disclosed by a third party to MIT, which information such third party did not acquire under a still effective obligation of confidentiality to Company; or</w:t>
      </w:r>
    </w:p>
    <w:p>
      <w:pPr>
        <w:spacing w:after="0" w:line="53" w:lineRule="exact"/>
        <w:rPr>
          <w:rFonts w:ascii="Times New Roman" w:cs="Times New Roman" w:eastAsia="Times New Roman" w:hAnsi="Times New Roman"/>
          <w:sz w:val="18"/>
          <w:szCs w:val="18"/>
          <w:color w:val="auto"/>
        </w:rPr>
      </w:pPr>
    </w:p>
    <w:p>
      <w:pPr>
        <w:ind w:left="440" w:right="220" w:hanging="4"/>
        <w:spacing w:after="0" w:line="282" w:lineRule="auto"/>
        <w:tabs>
          <w:tab w:leader="none" w:pos="69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was independently developed by MIT without use of, reference to or reliance upon Company’s Confidential Information as evidenced by written records.</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Non-Use and Non-Disclosure</w:t>
      </w:r>
      <w:r>
        <w:rPr>
          <w:rFonts w:ascii="Times New Roman" w:cs="Times New Roman" w:eastAsia="Times New Roman" w:hAnsi="Times New Roman"/>
          <w:sz w:val="18"/>
          <w:szCs w:val="18"/>
          <w:color w:val="auto"/>
        </w:rPr>
        <w:t>. For a period of [***] after disclosure of the Confidential Information , MIT shall treat Confidential Information as confidential and shall not use or disclose it, except for purposes of exercising its rights or fulfilling its obligations under this Agreement or as otherwise expressly permitted herein, without the prior written and express consent of the Company.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MIT may disclose the Confidential Information to its officers, employees, contractors and consultants (including lawyers and financial advisors), as well as joint owners and sponsors of the Patent Rights, who have a need to know for purposes of this Agreement and compliance hereunder and are subject to confidentiality obligations at least as protective of such Confidential Information as this Article 14.</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Disclosure Required by Law</w:t>
      </w:r>
      <w:r>
        <w:rPr>
          <w:rFonts w:ascii="Times New Roman" w:cs="Times New Roman" w:eastAsia="Times New Roman" w:hAnsi="Times New Roman"/>
          <w:sz w:val="18"/>
          <w:szCs w:val="18"/>
          <w:color w:val="auto"/>
        </w:rPr>
        <w:t>. Notwithstanding the above, MIT may disclose Company’s Confidential Information to the extent required by law, regulation, or stock exchange requirement, provided that MIT shall (unless legally prohibited) give the other party prompt written notice in order for Company to have the opportunity to take appropriate measures to protect its Confidential Information. MIT shall disclose Company’s Confidential Information pursuant to this Section 14.4 solely to the extent so required.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67" w:name="page468"/>
    <w:bookmarkEnd w:id="467"/>
    <w:p>
      <w:pPr>
        <w:ind w:left="404" w:hanging="404"/>
        <w:spacing w:after="0"/>
        <w:tabs>
          <w:tab w:leader="none" w:pos="40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117" w:lineRule="exact"/>
        <w:rPr>
          <w:sz w:val="20"/>
          <w:szCs w:val="20"/>
          <w:color w:val="auto"/>
        </w:rPr>
      </w:pPr>
    </w:p>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Any notices required or permitted under this Agreement shall be in writing, shall specifically refer to this Agreement, and shall be sent by hand, recognized national overnight courier, confirmed electronic mail (e.g., by means of read receipt or specific acknowledgment by recipient of receipt through responsive email) to an email address provided by the applicable party in a written notice to the other party in the manner provided in this Section 15.1, or registered or certified mail, postage prepaid, return receipt requested, to the following addresses or facsimile numbers of the parties:</w:t>
      </w:r>
    </w:p>
    <w:p>
      <w:pPr>
        <w:sectPr>
          <w:pgSz w:w="11900" w:h="16838" w:orient="portrait"/>
          <w:cols w:equalWidth="0" w:num="1">
            <w:col w:w="11004"/>
          </w:cols>
          <w:pgMar w:left="436" w:top="270" w:right="459" w:bottom="1440" w:gutter="0" w:footer="0" w:header="0"/>
        </w:sectPr>
      </w:pPr>
    </w:p>
    <w:p>
      <w:pPr>
        <w:spacing w:after="0" w:line="19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If to MIT: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Massachusetts Institute of Technology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Licensing Office,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Main Street, Kendall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Director</w:t>
      </w:r>
    </w:p>
    <w:p>
      <w:pPr>
        <w:spacing w:after="0" w:line="200" w:lineRule="exact"/>
        <w:rPr>
          <w:sz w:val="20"/>
          <w:szCs w:val="20"/>
          <w:color w:val="auto"/>
        </w:rPr>
      </w:pPr>
    </w:p>
    <w:p>
      <w:pPr>
        <w:sectPr>
          <w:pgSz w:w="11900" w:h="16838" w:orient="portrait"/>
          <w:cols w:equalWidth="0" w:num="2">
            <w:col w:w="1664" w:space="720"/>
            <w:col w:w="8620"/>
          </w:cols>
          <w:pgMar w:left="436" w:top="270" w:right="459" w:bottom="1440" w:gutter="0" w:footer="0" w:header="0"/>
          <w:type w:val="continuous"/>
        </w:sectPr>
      </w:pPr>
    </w:p>
    <w:p>
      <w:pPr>
        <w:spacing w:after="0" w:line="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If to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Cullinan Amber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Business Officer</w:t>
      </w:r>
    </w:p>
    <w:p>
      <w:pPr>
        <w:spacing w:after="0" w:line="200" w:lineRule="exact"/>
        <w:rPr>
          <w:sz w:val="20"/>
          <w:szCs w:val="20"/>
          <w:color w:val="auto"/>
        </w:rPr>
      </w:pPr>
    </w:p>
    <w:p>
      <w:pPr>
        <w:sectPr>
          <w:pgSz w:w="11900" w:h="16838" w:orient="portrait"/>
          <w:cols w:equalWidth="0" w:num="2">
            <w:col w:w="1664" w:space="720"/>
            <w:col w:w="8620"/>
          </w:cols>
          <w:pgMar w:left="436" w:top="270" w:right="459" w:bottom="1440" w:gutter="0" w:footer="0" w:header="0"/>
          <w:type w:val="continuous"/>
        </w:sectPr>
      </w:pPr>
    </w:p>
    <w:p>
      <w:pPr>
        <w:spacing w:after="0" w:line="18"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All notices under this Agreement shall be deemed effective upon receipt. A party may change its contact information immediately upon written notice to the other party in the manner provided in this Section.</w:t>
      </w:r>
    </w:p>
    <w:p>
      <w:pPr>
        <w:spacing w:after="0" w:line="16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 This Agreement and all disputes arising out of or related to this Agreement, or the performance, enforcement, breach or termination hereof, and any remedies relating thereto, shall be construed, governed, interpreted and applied in accordance with the laws of the Commonwealth of Massachusetts, U.S.A., without regard to conflict of laws principles, except that questions affecting the construction and effect of any patent shall be determined by the law of the country in which the patent shall have been granted. The state and federal courts having jurisdiction over Cambridge, MA, U.S.A., provide the exclusive forum for any Patent Challenge and/or any court action between the parties relating to this Agreement. Company submits to the jurisdiction of such courts and waives any claim that such court lacks jurisdiction over Company or constitutes an inconvenient or improper forum.</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type w:val="continuous"/>
        </w:sectPr>
      </w:pPr>
    </w:p>
    <w:bookmarkStart w:id="468" w:name="page469"/>
    <w:bookmarkEnd w:id="468"/>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will be responsible for delays resulting from causes beyond the reasonable control of such party, including without limitation fire, explosion, flood, war, strike, or riot, provided that the nonperforming party uses commercially reasonable efforts to avoid or remove such causes of nonperformance and continues performance under this Agreement promptly whenever such causes are removed.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may be amended, supplemented, or otherwise modified only by means of a written instrument signed by both parties. Any waiver of any rights or failure to act in a specific instance shall not be construed as an agreement to waive any rights or fail to act in any other instance, whether or not similar.</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shall be held invalid or unenforceable for any reason, such invalidity or unenforceability shall not affect any other provision of this Agreement.</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and their respective permitted successors and assigns.</w:t>
      </w:r>
    </w:p>
    <w:p>
      <w:pPr>
        <w:spacing w:after="0" w:line="16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All headings are for convenience only and shall not affect the meaning of any provision of this Agreement.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this subject matter and supersedes all prior agreements or understandings between the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relating to its subject matter.</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440" w:top="270" w:right="579" w:bottom="1440" w:gutter="0" w:footer="0" w:header="0"/>
        </w:sectPr>
      </w:pPr>
    </w:p>
    <w:bookmarkStart w:id="469" w:name="page470"/>
    <w:bookmarkEnd w:id="4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executed by their duly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MASSACHUSETTS INSTITUTE OF</w:t>
            </w:r>
          </w:p>
        </w:tc>
        <w:tc>
          <w:tcPr>
            <w:tcW w:w="5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CULLINAN AMBER CORP.</w:t>
            </w:r>
          </w:p>
        </w:tc>
      </w:tr>
      <w:tr>
        <w:trPr>
          <w:trHeight w:val="238"/>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9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Lesley Millar-Nicholson</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Owen Hughes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7"/>
                <w:szCs w:val="17"/>
                <w:color w:val="auto"/>
              </w:rPr>
            </w:pPr>
          </w:p>
        </w:tc>
        <w:tc>
          <w:tcPr>
            <w:tcW w:w="4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Lesley Millar-Nicholson</w:t>
            </w:r>
          </w:p>
        </w:tc>
        <w:tc>
          <w:tcPr>
            <w:tcW w:w="92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Owen Hughes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TLO</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Maria T. Zuber</w:t>
            </w: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Maria T. Zuber</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for Research</w:t>
            </w:r>
          </w:p>
        </w:tc>
        <w:tc>
          <w:tcPr>
            <w:tcW w:w="9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 A. Griswold Professor of Geophysics</w:t>
            </w:r>
          </w:p>
        </w:tc>
        <w:tc>
          <w:tcPr>
            <w:tcW w:w="9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64"/>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39</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70" w:name="page471"/>
    <w:bookmarkEnd w:id="470"/>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u w:val="single" w:color="auto"/>
          <w:color w:val="auto"/>
        </w:rPr>
        <w:t>List of Patent Applications and Patents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019"/>
          </w:cols>
          <w:pgMar w:left="440" w:top="270" w:right="1440" w:bottom="1440" w:gutter="0" w:footer="0" w:header="0"/>
        </w:sectPr>
      </w:pPr>
    </w:p>
    <w:bookmarkStart w:id="471" w:name="page472"/>
    <w:bookmarkEnd w:id="471"/>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List of Countries (excluding United States) for which</w:t>
      </w:r>
    </w:p>
    <w:p>
      <w:pPr>
        <w:spacing w:after="0" w:line="225"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color w:val="auto"/>
        </w:rPr>
        <w:t>Patent Rights Applications Will Be Filed, Prosecuted and Maintained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019"/>
          </w:cols>
          <w:pgMar w:left="440" w:top="270" w:right="1440" w:bottom="1440" w:gutter="0" w:footer="0" w:header="0"/>
        </w:sectPr>
      </w:pPr>
    </w:p>
    <w:bookmarkStart w:id="472" w:name="page473"/>
    <w:bookmarkEnd w:id="472"/>
    <w:p>
      <w:pPr>
        <w:jc w:val="center"/>
        <w:ind w:right="-100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C</w:t>
      </w:r>
    </w:p>
    <w:p>
      <w:pPr>
        <w:spacing w:after="0" w:line="225"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color w:val="auto"/>
        </w:rPr>
        <w:t>Diligence Milestones</w:t>
      </w:r>
    </w:p>
    <w:p>
      <w:pPr>
        <w:spacing w:after="0" w:line="225"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Company must achieve the following diligence milestones:</w:t>
      </w:r>
    </w:p>
    <w:p>
      <w:pPr>
        <w:spacing w:after="0" w:line="131" w:lineRule="exact"/>
        <w:rPr>
          <w:sz w:val="20"/>
          <w:szCs w:val="20"/>
          <w:color w:val="auto"/>
        </w:rPr>
      </w:pPr>
    </w:p>
    <w:p>
      <w:pPr>
        <w:ind w:left="424" w:hanging="424"/>
        <w:spacing w:after="0"/>
        <w:tabs>
          <w:tab w:leader="none" w:pos="42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0023"/>
          </w:cols>
          <w:pgMar w:left="436" w:top="270" w:right="1440" w:bottom="1440" w:gutter="0" w:footer="0" w:header="0"/>
        </w:sectPr>
      </w:pPr>
    </w:p>
    <w:p>
      <w:pPr>
        <w:spacing w:after="0" w:line="25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64" w:space="720"/>
            <w:col w:w="5639"/>
          </w:cols>
          <w:pgMar w:left="436" w:top="270" w:right="1440" w:bottom="1440" w:gutter="0" w:footer="0" w:header="0"/>
          <w:type w:val="continuous"/>
        </w:sectPr>
      </w:pPr>
    </w:p>
    <w:p>
      <w:pPr>
        <w:spacing w:after="0" w:line="34" w:lineRule="exact"/>
        <w:rPr>
          <w:sz w:val="20"/>
          <w:szCs w:val="20"/>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23"/>
          </w:cols>
          <w:pgMar w:left="436" w:top="270" w:right="1440" w:bottom="1440" w:gutter="0" w:footer="0" w:header="0"/>
          <w:type w:val="continuous"/>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19"/>
          </w:cols>
          <w:pgMar w:left="440" w:top="270" w:right="1440" w:bottom="1440" w:gutter="0" w:footer="0" w:header="0"/>
        </w:sectPr>
      </w:pPr>
    </w:p>
    <w:bookmarkStart w:id="474" w:name="page475"/>
    <w:bookmarkEnd w:id="474"/>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D-1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Financial Report</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wp:posOffset>
            </wp:positionV>
            <wp:extent cx="484314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wp:posOffset>
            </wp:positionV>
            <wp:extent cx="484314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wp:posOffset>
            </wp:positionV>
            <wp:extent cx="484314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Separate reports must be filed for payments associated with each Licensed Product.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Licensed Product Name:</w:t>
            </w:r>
          </w:p>
        </w:tc>
        <w:tc>
          <w:tcPr>
            <w:tcW w:w="2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9"/>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Reporting Period:</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w:t>
            </w:r>
          </w:p>
        </w:tc>
        <w:tc>
          <w:tcPr>
            <w:tcW w:w="76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i w:val="1"/>
                <w:iCs w:val="1"/>
                <w:color w:val="auto"/>
              </w:rPr>
              <w:t>mm/dd/yyyy</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76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i w:val="1"/>
                <w:iCs w:val="1"/>
                <w:color w:val="auto"/>
              </w:rPr>
              <w:t>mm/dd/yyyy</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8"/>
        </w:trPr>
        <w:tc>
          <w:tcPr>
            <w:tcW w:w="516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54"/>
        </w:trPr>
        <w:tc>
          <w:tcPr>
            <w:tcW w:w="51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426"/>
        </w:trPr>
        <w:tc>
          <w:tcPr>
            <w:tcW w:w="990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Detailed Explanation of Payment Required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Maintenance Fees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Milestone Payments</w:t>
            </w:r>
          </w:p>
        </w:tc>
        <w:tc>
          <w:tcPr>
            <w:tcW w:w="2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Sublicense Income (itemize)</w:t>
            </w:r>
          </w:p>
        </w:tc>
        <w:tc>
          <w:tcPr>
            <w:tcW w:w="2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Change of Control Fee</w:t>
            </w:r>
          </w:p>
        </w:tc>
        <w:tc>
          <w:tcPr>
            <w:tcW w:w="2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payment</w:t>
            </w:r>
          </w:p>
        </w:tc>
        <w:tc>
          <w:tcPr>
            <w:tcW w:w="2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980" w:type="dxa"/>
            <w:vAlign w:val="bottom"/>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98"/>
        </w:trPr>
        <w:tc>
          <w:tcPr>
            <w:tcW w:w="2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475" w:name="page476"/>
    <w:bookmarkEnd w:id="47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D-2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Royalty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REPORTS SHOULD BE SUBMITTED TO: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REQUIRED: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49460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49460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494601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494601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Separate reports must be filed for:</w:t>
      </w:r>
    </w:p>
    <w:p>
      <w:pPr>
        <w:spacing w:after="0" w:line="131" w:lineRule="exact"/>
        <w:rPr>
          <w:sz w:val="20"/>
          <w:szCs w:val="20"/>
          <w:color w:val="auto"/>
        </w:rPr>
      </w:pPr>
    </w:p>
    <w:p>
      <w:pPr>
        <w:ind w:left="1200" w:hanging="435"/>
        <w:spacing w:after="0"/>
        <w:tabs>
          <w:tab w:leader="none" w:pos="1200" w:val="left"/>
        </w:tabs>
        <w:numPr>
          <w:ilvl w:val="0"/>
          <w:numId w:val="3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Each Licensed Product sold.</w:t>
      </w:r>
    </w:p>
    <w:p>
      <w:pPr>
        <w:spacing w:after="0" w:line="130" w:lineRule="exact"/>
        <w:rPr>
          <w:rFonts w:ascii="Times New Roman" w:cs="Times New Roman" w:eastAsia="Times New Roman" w:hAnsi="Times New Roman"/>
          <w:sz w:val="18"/>
          <w:szCs w:val="18"/>
          <w:b w:val="1"/>
          <w:bCs w:val="1"/>
          <w:i w:val="1"/>
          <w:iCs w:val="1"/>
          <w:color w:val="auto"/>
        </w:rPr>
      </w:pPr>
    </w:p>
    <w:p>
      <w:pPr>
        <w:ind w:left="1200" w:hanging="435"/>
        <w:spacing w:after="0"/>
        <w:tabs>
          <w:tab w:leader="none" w:pos="1200" w:val="left"/>
        </w:tabs>
        <w:numPr>
          <w:ilvl w:val="0"/>
          <w:numId w:val="3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Each country of sale, if different deductions or royalty rates apply.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Licensed Product Name:</w:t>
            </w:r>
          </w:p>
        </w:tc>
        <w:tc>
          <w:tcPr>
            <w:tcW w:w="778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r>
      <w:tr>
        <w:trPr>
          <w:trHeight w:val="439"/>
        </w:trPr>
        <w:tc>
          <w:tcPr>
            <w:tcW w:w="2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Reporting Period:</w:t>
            </w:r>
          </w:p>
        </w:tc>
        <w:tc>
          <w:tcPr>
            <w:tcW w:w="7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2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w:t>
            </w:r>
          </w:p>
        </w:tc>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mm/dd/yyyy</w:t>
            </w:r>
          </w:p>
        </w:tc>
        <w:tc>
          <w:tcPr>
            <w:tcW w:w="900" w:type="dxa"/>
            <w:vAlign w:val="bottom"/>
          </w:tcPr>
          <w:p>
            <w:pPr>
              <w:spacing w:after="0"/>
              <w:rPr>
                <w:sz w:val="24"/>
                <w:szCs w:val="24"/>
                <w:color w:val="auto"/>
              </w:rPr>
            </w:pPr>
          </w:p>
        </w:tc>
      </w:tr>
      <w:tr>
        <w:trPr>
          <w:trHeight w:val="223"/>
        </w:trPr>
        <w:tc>
          <w:tcPr>
            <w:tcW w:w="2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w:t>
            </w:r>
          </w:p>
        </w:tc>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mm/dd/yyyy</w:t>
            </w:r>
          </w:p>
        </w:tc>
        <w:tc>
          <w:tcPr>
            <w:tcW w:w="900" w:type="dxa"/>
            <w:vAlign w:val="bottom"/>
          </w:tcPr>
          <w:p>
            <w:pPr>
              <w:spacing w:after="0"/>
              <w:rPr>
                <w:sz w:val="19"/>
                <w:szCs w:val="19"/>
                <w:color w:val="auto"/>
              </w:rPr>
            </w:pPr>
          </w:p>
        </w:tc>
      </w:tr>
      <w:tr>
        <w:trPr>
          <w:trHeight w:val="298"/>
        </w:trPr>
        <w:tc>
          <w:tcPr>
            <w:tcW w:w="234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54"/>
        </w:trPr>
        <w:tc>
          <w:tcPr>
            <w:tcW w:w="23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Country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31400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Quantity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-10795</wp:posOffset>
            </wp:positionV>
            <wp:extent cx="31400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Gross Sales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140075" cy="889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140075" cy="889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Deductions (Itemize)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i w:val="1"/>
          <w:iCs w:val="1"/>
          <w:color w:val="auto"/>
        </w:rPr>
        <w:t>Please list each deduction separately. Use same definition as appears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 Agreement under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140075"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117475</wp:posOffset>
            </wp:positionV>
            <wp:extent cx="314007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314007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14007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Royalty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Credits (Itemize)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140075" cy="889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Royalties Due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31400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of Anticipated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248920</wp:posOffset>
            </wp:positionV>
            <wp:extent cx="69951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Your Name: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237490</wp:posOffset>
            </wp:positionV>
            <wp:extent cx="699516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476" w:name="page477"/>
    <w:bookmarkEnd w:id="47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Portions of this Exhibit have been redacted because they are both (i) not material and (ii) would be competitively harmful if publicly disclosed.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that was omitted has been noted in this document with a placeholder identified by the mark “[***]”.</w:t>
      </w:r>
    </w:p>
    <w:p>
      <w:pPr>
        <w:spacing w:after="0" w:line="2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Amendment Number 1</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Exclusive Patent License Agreement</w:t>
      </w:r>
    </w:p>
    <w:p>
      <w:pPr>
        <w:spacing w:after="0" w:line="20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This Amendment Number 1 to Exclusive Patent License Agreement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dated as of April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2020 (the “</w:t>
      </w:r>
      <w:r>
        <w:rPr>
          <w:rFonts w:ascii="Times New Roman" w:cs="Times New Roman" w:eastAsia="Times New Roman" w:hAnsi="Times New Roman"/>
          <w:sz w:val="18"/>
          <w:szCs w:val="18"/>
          <w:u w:val="single" w:color="auto"/>
          <w:color w:val="auto"/>
        </w:rPr>
        <w:t>First Amendment Date</w:t>
      </w:r>
      <w:r>
        <w:rPr>
          <w:rFonts w:ascii="Times New Roman" w:cs="Times New Roman" w:eastAsia="Times New Roman" w:hAnsi="Times New Roman"/>
          <w:sz w:val="18"/>
          <w:szCs w:val="18"/>
          <w:color w:val="auto"/>
        </w:rPr>
        <w:t>”) is made by and between Massachusetts Institute of Technology (“</w:t>
      </w:r>
      <w:r>
        <w:rPr>
          <w:rFonts w:ascii="Times New Roman" w:cs="Times New Roman" w:eastAsia="Times New Roman" w:hAnsi="Times New Roman"/>
          <w:sz w:val="18"/>
          <w:szCs w:val="18"/>
          <w:u w:val="single" w:color="auto"/>
          <w:color w:val="auto"/>
        </w:rPr>
        <w:t>MIT</w:t>
      </w:r>
      <w:r>
        <w:rPr>
          <w:rFonts w:ascii="Times New Roman" w:cs="Times New Roman" w:eastAsia="Times New Roman" w:hAnsi="Times New Roman"/>
          <w:sz w:val="18"/>
          <w:szCs w:val="18"/>
          <w:color w:val="auto"/>
        </w:rPr>
        <w:t>”), a Massachusetts non-profit corporation and educational institution, with a principal office at 77 Massachusetts Avenue, Cambridge, MA 02139-4307 and Cullinan Amber Corp.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with a principal place of business at One Main Street, Cambridge, MA 02142. MIT and Company are parties to that certain Exclusive Patent License Agreement dated as of December 20, 2019 (the “</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MIT and Company may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All capitalized terms used herein that are not otherwise defined herein shall have their respective meanings as set forth in the License Agreement.</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wish to correct the number of shares of Company’s common stock to be issued to MIT as an initial grant pursuant to the terms of the License Agreement; and</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wish to provide additional time for MIT to review and approve the proposed form of stock purchase agreement governing the issuance of the Shares and other related transaction documents and for Company to issue to MIT the Shares;</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the covenants contained herein and other good and valuable consideration, the receipt and sufficiency of which are hereby acknowledged, the Parties hereby agree:</w:t>
      </w:r>
    </w:p>
    <w:p>
      <w:pPr>
        <w:spacing w:after="0" w:line="158" w:lineRule="exact"/>
        <w:rPr>
          <w:sz w:val="20"/>
          <w:szCs w:val="20"/>
          <w:color w:val="auto"/>
        </w:rPr>
      </w:pPr>
    </w:p>
    <w:p>
      <w:pPr>
        <w:ind w:left="184" w:hanging="184"/>
        <w:spacing w:after="0"/>
        <w:tabs>
          <w:tab w:leader="none" w:pos="184"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License Agreement.</w:t>
      </w:r>
    </w:p>
    <w:p>
      <w:pPr>
        <w:spacing w:after="0" w:line="121" w:lineRule="exact"/>
        <w:rPr>
          <w:rFonts w:ascii="Times New Roman" w:cs="Times New Roman" w:eastAsia="Times New Roman" w:hAnsi="Times New Roman"/>
          <w:sz w:val="18"/>
          <w:szCs w:val="18"/>
          <w:b w:val="1"/>
          <w:bCs w:val="1"/>
          <w:color w:val="auto"/>
        </w:rPr>
      </w:pPr>
    </w:p>
    <w:p>
      <w:pPr>
        <w:ind w:left="4" w:right="520" w:firstLine="436"/>
        <w:spacing w:after="0" w:line="282" w:lineRule="auto"/>
        <w:tabs>
          <w:tab w:leader="none" w:pos="689"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“Eight Hundred Thousand sixty-six (800,066) shares,” that appear in Section 4.1(b)(ii) of the License Agreement are hereby deleted and replaced in their entirety with the words, “Two Hundred Thousand sixty-six (200,066) shares.”</w:t>
      </w:r>
    </w:p>
    <w:p>
      <w:pPr>
        <w:spacing w:after="0" w:line="53"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99"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“not later than [***] following the Effective Date,” that appear in Section 4.1(b)(ii) of the License Agreement are hereby deleted and replaced in their entirety with the words, “not later than [***] following the Effective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CONFIDENTIAL</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5" w:right="459" w:bottom="1440" w:gutter="0" w:footer="0" w:header="0"/>
        </w:sectPr>
      </w:pPr>
    </w:p>
    <w:bookmarkStart w:id="477" w:name="page478"/>
    <w:bookmarkEnd w:id="477"/>
    <w:p>
      <w:pPr>
        <w:ind w:left="184" w:hanging="184"/>
        <w:spacing w:after="0"/>
        <w:tabs>
          <w:tab w:leader="none" w:pos="184"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121" w:lineRule="exact"/>
        <w:rPr>
          <w:rFonts w:ascii="Times New Roman" w:cs="Times New Roman" w:eastAsia="Times New Roman" w:hAnsi="Times New Roman"/>
          <w:sz w:val="18"/>
          <w:szCs w:val="18"/>
          <w:b w:val="1"/>
          <w:bCs w:val="1"/>
          <w:color w:val="auto"/>
        </w:rPr>
      </w:pPr>
    </w:p>
    <w:p>
      <w:pPr>
        <w:ind w:left="4" w:right="120" w:firstLine="436"/>
        <w:spacing w:after="0" w:line="258" w:lineRule="auto"/>
        <w:tabs>
          <w:tab w:leader="none" w:pos="689"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License Agreement; Entire Agreement</w:t>
      </w:r>
      <w:r>
        <w:rPr>
          <w:rFonts w:ascii="Times New Roman" w:cs="Times New Roman" w:eastAsia="Times New Roman" w:hAnsi="Times New Roman"/>
          <w:sz w:val="18"/>
          <w:szCs w:val="18"/>
          <w:color w:val="auto"/>
        </w:rPr>
        <w:t>. Except as expressly modified by the terms of this First Amendment, the License Agreement shall remain unchanged and in full force and effect. References in the License Agreement to “this Agreement” shall be deemed inclusive of this First Amendment. This First Amendment and the License Agreement together constitute the entire agreement between the Parties with respect to the subject matter of the License Agreement and supersede all prior agreements or understandings between the Parties, whether oral or written, relating to such subject matter.</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First Amendment shall be effective as of the Effective Date.</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for convenience only and shall not affect the meaning of any provision of this First Amendment.</w:t>
      </w:r>
    </w:p>
    <w:p>
      <w:pPr>
        <w:spacing w:after="0" w:line="117"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First Amendment may be executed in one or more counterparts, each of which shall be deemed an original, and all of which together shall be deemed to be one and the same instrument. A facsimile or a portable document format (PDF) copy of this First Amendment, including the signature pages, shall be deemed an original.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CONFIDENTIAL</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5" w:right="4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First Amendment to be executed by their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CULLINAN AMBER CORP.</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Lesley Millar-Nicholson</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Owen Hughes</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Lesley Millar-Nicholson</w:t>
            </w:r>
          </w:p>
        </w:tc>
        <w:tc>
          <w:tcPr>
            <w:tcW w:w="7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Owen Hughes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 TLO</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5" w:right="439" w:bottom="1440" w:gutter="0" w:footer="0" w:header="0"/>
        </w:sectPr>
      </w:pPr>
    </w:p>
    <w:bookmarkStart w:id="479" w:name="page480"/>
    <w:bookmarkEnd w:id="47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redacted because they are both (i) not material and (ii) would be competitively harmful if publicly disclosed.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that was omitted has been noted in this document with a placeholder identified by the mark “[***]”.</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COLLABORATION AGREEMENT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November 28, 2018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Adimab, LLC, a Delaware limited liability company having an address at 7 Lucent Drive, Lebanon, NH 03766 (“</w:t>
      </w:r>
      <w:r>
        <w:rPr>
          <w:rFonts w:ascii="Times New Roman" w:cs="Times New Roman" w:eastAsia="Times New Roman" w:hAnsi="Times New Roman"/>
          <w:sz w:val="18"/>
          <w:szCs w:val="18"/>
          <w:b w:val="1"/>
          <w:bCs w:val="1"/>
          <w:color w:val="auto"/>
        </w:rPr>
        <w:t>Adimab</w:t>
      </w:r>
      <w:r>
        <w:rPr>
          <w:rFonts w:ascii="Times New Roman" w:cs="Times New Roman" w:eastAsia="Times New Roman" w:hAnsi="Times New Roman"/>
          <w:sz w:val="18"/>
          <w:szCs w:val="18"/>
          <w:color w:val="auto"/>
        </w:rPr>
        <w:t>”), and Cullinan Management, Inc., a Delaware Corporation having an address at 1 Main Street, Suite 520 Cambridge, MA 02142 (“</w:t>
      </w:r>
      <w:r>
        <w:rPr>
          <w:rFonts w:ascii="Times New Roman" w:cs="Times New Roman" w:eastAsia="Times New Roman" w:hAnsi="Times New Roman"/>
          <w:sz w:val="18"/>
          <w:szCs w:val="18"/>
          <w:b w:val="1"/>
          <w:bCs w:val="1"/>
          <w:color w:val="auto"/>
        </w:rPr>
        <w:t>Cullinan</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ACKGROUND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Adimab is a leader in yeast-based, fully human antibody discovery and optimization using its proprietary core technology platform;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Cullinan is a biotechnology company in the business of, among other things, developing and commercializing therapeutic products;</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Cullinan wishes to collaborate with Adimab on a variety of projects, potentially including: (i) the discovery and optimization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antibodies against Target(s) of Cullinan’s choosing, (ii) the optimization of existing Cullinan antibodies, and (iii) the generation of multispecific molecules which include proprietary Adimab CD3 antibodies together with one or more (x) antibodies discovered by Adimab, (y) optimized versions of Cullinan antibodies, and/or (z) Cullinan antibodies which have not been optimized by Adimab;</w:t>
      </w:r>
    </w:p>
    <w:p>
      <w:pPr>
        <w:spacing w:after="0" w:line="176"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Cullinan desires the right to take a research license to Adimab’s proprietary CD3 antibodies so that Cullinan may generate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multispecific antibodies on its own; and</w:t>
      </w:r>
    </w:p>
    <w:p>
      <w:pPr>
        <w:spacing w:after="0" w:line="15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covenants set forth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is hereby acknowledged, Adimab and Cullinan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initially capitalized terms have the following meanings (and derivative forms of them will be interpreted accordingly):</w:t>
      </w:r>
    </w:p>
    <w:p>
      <w:pPr>
        <w:spacing w:after="0" w:line="22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AAA</w:t>
      </w:r>
      <w:r>
        <w:rPr>
          <w:rFonts w:ascii="Times New Roman" w:cs="Times New Roman" w:eastAsia="Times New Roman" w:hAnsi="Times New Roman"/>
          <w:sz w:val="17"/>
          <w:szCs w:val="17"/>
          <w:color w:val="auto"/>
        </w:rPr>
        <w:t>” has the meaning set forth in Section 10.2(b) (</w:t>
      </w:r>
      <w:r>
        <w:rPr>
          <w:rFonts w:ascii="Times New Roman" w:cs="Times New Roman" w:eastAsia="Times New Roman" w:hAnsi="Times New Roman"/>
          <w:sz w:val="17"/>
          <w:szCs w:val="17"/>
          <w:i w:val="1"/>
          <w:iCs w:val="1"/>
          <w:color w:val="auto"/>
        </w:rPr>
        <w:t>Disputes Not Resolved Between the Parties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Adimab</w:t>
      </w:r>
      <w:r>
        <w:rPr>
          <w:rFonts w:ascii="Times New Roman" w:cs="Times New Roman" w:eastAsia="Times New Roman" w:hAnsi="Times New Roman"/>
          <w:sz w:val="18"/>
          <w:szCs w:val="18"/>
          <w:color w:val="auto"/>
        </w:rPr>
        <w:t>” has the meaning set forth in the recitals.</w:t>
      </w:r>
    </w:p>
    <w:p>
      <w:pPr>
        <w:sectPr>
          <w:pgSz w:w="11900" w:h="16838" w:orient="portrait"/>
          <w:cols w:equalWidth="0" w:num="1">
            <w:col w:w="11020"/>
          </w:cols>
          <w:pgMar w:left="440" w:top="117" w:right="439" w:bottom="1440" w:gutter="0" w:footer="0" w:header="0"/>
        </w:sectPr>
      </w:pPr>
    </w:p>
    <w:bookmarkStart w:id="480" w:name="page481"/>
    <w:bookmarkEnd w:id="480"/>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Adimab CD3 Antibodies</w:t>
      </w:r>
      <w:r>
        <w:rPr>
          <w:rFonts w:ascii="Times New Roman" w:cs="Times New Roman" w:eastAsia="Times New Roman" w:hAnsi="Times New Roman"/>
          <w:sz w:val="18"/>
          <w:szCs w:val="18"/>
          <w:color w:val="auto"/>
        </w:rPr>
        <w:t>” means antibodies against CD3 generated by Adimab, which antibodies, either in physical form or as sequences,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delivered to Cullinan (and any Program-Benefited Antibodies generated therefrom).</w:t>
      </w:r>
    </w:p>
    <w:p>
      <w:pPr>
        <w:spacing w:after="0" w:line="15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Adimab CD3 Antibody Know-How</w:t>
      </w:r>
      <w:r>
        <w:rPr>
          <w:rFonts w:ascii="Times New Roman" w:cs="Times New Roman" w:eastAsia="Times New Roman" w:hAnsi="Times New Roman"/>
          <w:sz w:val="17"/>
          <w:szCs w:val="17"/>
          <w:color w:val="auto"/>
        </w:rPr>
        <w:t>” means Know-How related to Adimab CD3 Antibodies. For clarity, [***].</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Adimab CD3 IP</w:t>
      </w:r>
      <w:r>
        <w:rPr>
          <w:rFonts w:ascii="Times New Roman" w:cs="Times New Roman" w:eastAsia="Times New Roman" w:hAnsi="Times New Roman"/>
          <w:sz w:val="17"/>
          <w:szCs w:val="17"/>
          <w:color w:val="auto"/>
        </w:rPr>
        <w:t>” means collectively Adimab CD3 Patents and Adimab CD3 Antibody Know-How.</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Adimab CD3 Patents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Adimab Indemnitees</w:t>
      </w:r>
      <w:r>
        <w:rPr>
          <w:rFonts w:ascii="Times New Roman" w:cs="Times New Roman" w:eastAsia="Times New Roman" w:hAnsi="Times New Roman"/>
          <w:sz w:val="17"/>
          <w:szCs w:val="17"/>
          <w:color w:val="auto"/>
        </w:rPr>
        <w:t>” has the meaning set forth in Section 8.2 (</w:t>
      </w:r>
      <w:r>
        <w:rPr>
          <w:rFonts w:ascii="Times New Roman" w:cs="Times New Roman" w:eastAsia="Times New Roman" w:hAnsi="Times New Roman"/>
          <w:sz w:val="17"/>
          <w:szCs w:val="17"/>
          <w:i w:val="1"/>
          <w:iCs w:val="1"/>
          <w:color w:val="auto"/>
        </w:rPr>
        <w:t>Indemnification by Cullinan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Adimab Materials</w:t>
      </w:r>
      <w:r>
        <w:rPr>
          <w:rFonts w:ascii="Times New Roman" w:cs="Times New Roman" w:eastAsia="Times New Roman" w:hAnsi="Times New Roman"/>
          <w:sz w:val="17"/>
          <w:szCs w:val="17"/>
          <w:color w:val="auto"/>
        </w:rPr>
        <w:t>” means any of [***].</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Adimab Platform Patents</w:t>
      </w:r>
      <w:r>
        <w:rPr>
          <w:rFonts w:ascii="Times New Roman" w:cs="Times New Roman" w:eastAsia="Times New Roman" w:hAnsi="Times New Roman"/>
          <w:sz w:val="18"/>
          <w:szCs w:val="18"/>
          <w:color w:val="auto"/>
        </w:rPr>
        <w:t>” means all Patents [***]</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Adimab Platform Technology</w:t>
      </w:r>
      <w:r>
        <w:rPr>
          <w:rFonts w:ascii="Times New Roman" w:cs="Times New Roman" w:eastAsia="Times New Roman" w:hAnsi="Times New Roman"/>
          <w:sz w:val="18"/>
          <w:szCs w:val="18"/>
          <w:color w:val="auto"/>
        </w:rPr>
        <w:t>” means all Patents and Know-How Controlled by Adimab or its Affiliates as of the Effective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that relate to [***]. For clarity, Adimab Platform Technology excludes [***].</w:t>
      </w:r>
    </w:p>
    <w:p>
      <w:pPr>
        <w:spacing w:after="0" w:line="155"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Adimab Platform Technology Improvement</w:t>
      </w:r>
      <w:r>
        <w:rPr>
          <w:rFonts w:ascii="Times New Roman" w:cs="Times New Roman" w:eastAsia="Times New Roman" w:hAnsi="Times New Roman"/>
          <w:sz w:val="17"/>
          <w:szCs w:val="17"/>
          <w:color w:val="auto"/>
        </w:rPr>
        <w:t>” means all [***].</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 entity that, directly or indirectly, through one or more intermediaries, controls,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a Party. For this purpose, “control” means the ownership of fifty percent (50%) or more of the voting securities entitled to elect the directors or management of the entity, or the actual power to elect or direct the management of the entity.</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has the meaning set forth in the recitals.</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Candidate</w:t>
      </w:r>
      <w:r>
        <w:rPr>
          <w:rFonts w:ascii="Times New Roman" w:cs="Times New Roman" w:eastAsia="Times New Roman" w:hAnsi="Times New Roman"/>
          <w:sz w:val="18"/>
          <w:szCs w:val="18"/>
          <w:color w:val="auto"/>
        </w:rPr>
        <w:t>” means a Product designated as a Back-Up Candidate by Cullinan in accordance with Section 4.4(d) (</w:t>
      </w:r>
      <w:r>
        <w:rPr>
          <w:rFonts w:ascii="Times New Roman" w:cs="Times New Roman" w:eastAsia="Times New Roman" w:hAnsi="Times New Roman"/>
          <w:sz w:val="18"/>
          <w:szCs w:val="18"/>
          <w:i w:val="1"/>
          <w:iCs w:val="1"/>
          <w:color w:val="auto"/>
        </w:rPr>
        <w:t>Back-Up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Candidates</w:t>
      </w:r>
      <w:r>
        <w:rPr>
          <w:rFonts w:ascii="Times New Roman" w:cs="Times New Roman" w:eastAsia="Times New Roman" w:hAnsi="Times New Roman"/>
          <w:sz w:val="18"/>
          <w:szCs w:val="18"/>
          <w:color w:val="auto"/>
        </w:rPr>
        <w:t>), which Product is directed to the same Target (or, with respect to a multispecific antibody, the same set of Targets) as the designated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Blended Multispecific Product</w:t>
      </w:r>
      <w:r>
        <w:rPr>
          <w:rFonts w:ascii="Times New Roman" w:cs="Times New Roman" w:eastAsia="Times New Roman" w:hAnsi="Times New Roman"/>
          <w:sz w:val="17"/>
          <w:szCs w:val="17"/>
          <w:color w:val="auto"/>
        </w:rPr>
        <w:t>” means a Multispecific Product in which exactly one of the antibodies is a Program-Benefited Antibody.</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CD3 License</w:t>
      </w:r>
      <w:r>
        <w:rPr>
          <w:rFonts w:ascii="Times New Roman" w:cs="Times New Roman" w:eastAsia="Times New Roman" w:hAnsi="Times New Roman"/>
          <w:sz w:val="18"/>
          <w:szCs w:val="18"/>
          <w:color w:val="auto"/>
        </w:rPr>
        <w:t>” means the license granted to Cullinan pursuant to Section 3.1(a)(ii) (</w:t>
      </w:r>
      <w:r>
        <w:rPr>
          <w:rFonts w:ascii="Times New Roman" w:cs="Times New Roman" w:eastAsia="Times New Roman" w:hAnsi="Times New Roman"/>
          <w:sz w:val="18"/>
          <w:szCs w:val="18"/>
          <w:i w:val="1"/>
          <w:iCs w:val="1"/>
          <w:color w:val="auto"/>
        </w:rPr>
        <w:t>Antibodies Generated by Cullinan During the CD3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License 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CD3 License Option</w:t>
      </w:r>
      <w:r>
        <w:rPr>
          <w:rFonts w:ascii="Times New Roman" w:cs="Times New Roman" w:eastAsia="Times New Roman" w:hAnsi="Times New Roman"/>
          <w:sz w:val="17"/>
          <w:szCs w:val="17"/>
          <w:color w:val="auto"/>
        </w:rPr>
        <w:t>” has the meaning set forth in Section 3.2(a)(ii) (</w:t>
      </w:r>
      <w:r>
        <w:rPr>
          <w:rFonts w:ascii="Times New Roman" w:cs="Times New Roman" w:eastAsia="Times New Roman" w:hAnsi="Times New Roman"/>
          <w:sz w:val="17"/>
          <w:szCs w:val="17"/>
          <w:i w:val="1"/>
          <w:iCs w:val="1"/>
          <w:color w:val="auto"/>
        </w:rPr>
        <w:t>Option Exercise Under the CD3 License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5" w:right="459" w:bottom="1440" w:gutter="0" w:footer="0" w:header="0"/>
        </w:sectPr>
      </w:pPr>
    </w:p>
    <w:bookmarkStart w:id="481" w:name="page482"/>
    <w:bookmarkEnd w:id="481"/>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CD3 License Term</w:t>
      </w:r>
      <w:r>
        <w:rPr>
          <w:rFonts w:ascii="Times New Roman" w:cs="Times New Roman" w:eastAsia="Times New Roman" w:hAnsi="Times New Roman"/>
          <w:sz w:val="18"/>
          <w:szCs w:val="18"/>
          <w:color w:val="auto"/>
        </w:rPr>
        <w:t>” means the date (a) beginning on the date on which Cullinan notifies Adimab that it wishes to commence the CD3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Term and pays the first annual fee in accordance with Section 4.1(b) (</w:t>
      </w:r>
      <w:r>
        <w:rPr>
          <w:rFonts w:ascii="Times New Roman" w:cs="Times New Roman" w:eastAsia="Times New Roman" w:hAnsi="Times New Roman"/>
          <w:sz w:val="18"/>
          <w:szCs w:val="18"/>
          <w:i w:val="1"/>
          <w:iCs w:val="1"/>
          <w:color w:val="auto"/>
        </w:rPr>
        <w:t>Annual Access Fee</w:t>
      </w:r>
      <w:r>
        <w:rPr>
          <w:rFonts w:ascii="Times New Roman" w:cs="Times New Roman" w:eastAsia="Times New Roman" w:hAnsi="Times New Roman"/>
          <w:sz w:val="18"/>
          <w:szCs w:val="18"/>
          <w:color w:val="auto"/>
        </w:rPr>
        <w:t>), which notice and payment must occur within [***] of the Effective Date, and (b) ending on the date which is [***] after the date of such notice, unless earlier terminated by Cullinan.</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CD3 Product</w:t>
      </w:r>
      <w:r>
        <w:rPr>
          <w:rFonts w:ascii="Times New Roman" w:cs="Times New Roman" w:eastAsia="Times New Roman" w:hAnsi="Times New Roman"/>
          <w:sz w:val="17"/>
          <w:szCs w:val="17"/>
          <w:color w:val="auto"/>
        </w:rPr>
        <w:t>” means a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CD3 Research Plan</w:t>
      </w:r>
      <w:r>
        <w:rPr>
          <w:rFonts w:ascii="Times New Roman" w:cs="Times New Roman" w:eastAsia="Times New Roman" w:hAnsi="Times New Roman"/>
          <w:sz w:val="17"/>
          <w:szCs w:val="17"/>
          <w:color w:val="auto"/>
        </w:rPr>
        <w:t>” means the Research Plan adopted pursuant to a CD3 Research Program.</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CD3 Research Program</w:t>
      </w:r>
      <w:r>
        <w:rPr>
          <w:rFonts w:ascii="Times New Roman" w:cs="Times New Roman" w:eastAsia="Times New Roman" w:hAnsi="Times New Roman"/>
          <w:sz w:val="17"/>
          <w:szCs w:val="17"/>
          <w:color w:val="auto"/>
        </w:rPr>
        <w:t>” means a Research Program designed to generate CD3 Products [***].</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CDR</w:t>
      </w:r>
      <w:r>
        <w:rPr>
          <w:rFonts w:ascii="Times New Roman" w:cs="Times New Roman" w:eastAsia="Times New Roman" w:hAnsi="Times New Roman"/>
          <w:sz w:val="18"/>
          <w:szCs w:val="18"/>
          <w:color w:val="auto"/>
        </w:rPr>
        <w:t>” means the complementarity determining regions of an antibody as defined by the Kabat numbering scheme, or the Chothia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numbering scheme, or the IMGT database.</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Combination Product</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the level of efforts required to carry out a task in a diligent and sustained manner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undue interruption, pause or delay; which level is at least commensurate with the level of efforts that a similarly situated biotechnology company to Cullinan would devote to a product of similar potential at a similar stage in development or product life, taking into account safety and efficacy; the competitiveness of alternative products; the proprietary position of the Product; pricing and reimbursement; difficulty in and costs of developing or manufacturing the Product in the market; regulatory strategy; the potential profitability of the Product; and all other relevant scientific, legal, technical, financial and commercial factors, without taking into account the royalty, milestone and other payments due to Adimab under this Agreement. Commercially Reasonable Efforts shall be determined on a country-by-country basis, and it is anticipated that the level of effort will change over time reflecting changes in the market and/or the status of the Product.</w:t>
      </w:r>
    </w:p>
    <w:p>
      <w:pPr>
        <w:spacing w:after="0" w:line="18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has the meaning set forth in Section 6.1(a) (</w:t>
      </w:r>
      <w:r>
        <w:rPr>
          <w:rFonts w:ascii="Times New Roman" w:cs="Times New Roman" w:eastAsia="Times New Roman" w:hAnsi="Times New Roman"/>
          <w:sz w:val="17"/>
          <w:szCs w:val="17"/>
          <w:i w:val="1"/>
          <w:iCs w:val="1"/>
          <w:color w:val="auto"/>
        </w:rPr>
        <w:t>Ownership of Confidential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Know-How or Patent, possession by a Party, directly or through an Affiliate, and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or license (other than pursuant to this Agreement), of the ability to grant a license or sublicense as provided for in this Agreement without violating the terms of any written agreement with any Third Party.</w:t>
      </w:r>
    </w:p>
    <w:p>
      <w:pPr>
        <w:spacing w:after="0" w:line="17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with respect to a particular item and a particular Patent, that such Patent claims or covers, in any of the countries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use, and/or sale, (a) the composition of such item, of any of its ingredients or formulations, or of any product containing such item or that is made using such item by virtue of such product containing or being made using such item; (b) a method of making or using any of the foregoing things referred to in (a); (c) an item used or present in the manufacture of any of the foregoing things referred to in (a) or (b) (for example, with respect to a biologic, any vector, plasmid or cell line used to manufacture such product or item or any ingredient in either of them); or (d) any method by which the foregoing things referred to in (a), (b), or (c) was discovered or identified, in the absence of a license or assignment, infringe a valid claim of such Patent.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5" w:right="459" w:bottom="1440" w:gutter="0" w:footer="0" w:header="0"/>
        </w:sectPr>
      </w:pPr>
    </w:p>
    <w:bookmarkStart w:id="482" w:name="page483"/>
    <w:bookmarkEnd w:id="482"/>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w:t>
      </w:r>
      <w:r>
        <w:rPr>
          <w:rFonts w:ascii="Times New Roman" w:cs="Times New Roman" w:eastAsia="Times New Roman" w:hAnsi="Times New Roman"/>
          <w:sz w:val="17"/>
          <w:szCs w:val="17"/>
          <w:color w:val="auto"/>
        </w:rPr>
        <w:t>” has the meaning set forth in the recitals.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Antibody</w:t>
      </w:r>
      <w:r>
        <w:rPr>
          <w:rFonts w:ascii="Times New Roman" w:cs="Times New Roman" w:eastAsia="Times New Roman" w:hAnsi="Times New Roman"/>
          <w:sz w:val="17"/>
          <w:szCs w:val="17"/>
          <w:color w:val="auto"/>
        </w:rPr>
        <w:t>” means a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Collaborator</w:t>
      </w:r>
      <w:r>
        <w:rPr>
          <w:rFonts w:ascii="Times New Roman" w:cs="Times New Roman" w:eastAsia="Times New Roman" w:hAnsi="Times New Roman"/>
          <w:sz w:val="17"/>
          <w:szCs w:val="17"/>
          <w:color w:val="auto"/>
        </w:rPr>
        <w:t>” has the meaning set forth in Section 2.4(b) (</w:t>
      </w:r>
      <w:r>
        <w:rPr>
          <w:rFonts w:ascii="Times New Roman" w:cs="Times New Roman" w:eastAsia="Times New Roman" w:hAnsi="Times New Roman"/>
          <w:sz w:val="17"/>
          <w:szCs w:val="17"/>
          <w:i w:val="1"/>
          <w:iCs w:val="1"/>
          <w:color w:val="auto"/>
        </w:rPr>
        <w:t>Use of Third Party Contractors and Collaborators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Collaborator Agreement</w:t>
      </w:r>
      <w:r>
        <w:rPr>
          <w:rFonts w:ascii="Times New Roman" w:cs="Times New Roman" w:eastAsia="Times New Roman" w:hAnsi="Times New Roman"/>
          <w:sz w:val="17"/>
          <w:szCs w:val="17"/>
          <w:color w:val="auto"/>
        </w:rPr>
        <w:t>” has the meaning set forth in Section 2.4(b) (</w:t>
      </w:r>
      <w:r>
        <w:rPr>
          <w:rFonts w:ascii="Times New Roman" w:cs="Times New Roman" w:eastAsia="Times New Roman" w:hAnsi="Times New Roman"/>
          <w:sz w:val="17"/>
          <w:szCs w:val="17"/>
          <w:i w:val="1"/>
          <w:iCs w:val="1"/>
          <w:color w:val="auto"/>
        </w:rPr>
        <w:t>Use of Third Party Contractors and Collaborators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Format</w:t>
      </w:r>
      <w:r>
        <w:rPr>
          <w:rFonts w:ascii="Times New Roman" w:cs="Times New Roman" w:eastAsia="Times New Roman" w:hAnsi="Times New Roman"/>
          <w:sz w:val="17"/>
          <w:szCs w:val="17"/>
          <w:color w:val="auto"/>
        </w:rPr>
        <w:t>” means a proprietary multispecific format Controlled by Cullinan.</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Indemnitees</w:t>
      </w:r>
      <w:r>
        <w:rPr>
          <w:rFonts w:ascii="Times New Roman" w:cs="Times New Roman" w:eastAsia="Times New Roman" w:hAnsi="Times New Roman"/>
          <w:sz w:val="17"/>
          <w:szCs w:val="17"/>
          <w:color w:val="auto"/>
        </w:rPr>
        <w:t>” has the meaning set forth in Section 8.1 (</w:t>
      </w:r>
      <w:r>
        <w:rPr>
          <w:rFonts w:ascii="Times New Roman" w:cs="Times New Roman" w:eastAsia="Times New Roman" w:hAnsi="Times New Roman"/>
          <w:sz w:val="17"/>
          <w:szCs w:val="17"/>
          <w:i w:val="1"/>
          <w:iCs w:val="1"/>
          <w:color w:val="auto"/>
        </w:rPr>
        <w:t>Indemnification by Adimab</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Materials</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Product Know-How</w:t>
      </w:r>
      <w:r>
        <w:rPr>
          <w:rFonts w:ascii="Times New Roman" w:cs="Times New Roman" w:eastAsia="Times New Roman" w:hAnsi="Times New Roman"/>
          <w:sz w:val="17"/>
          <w:szCs w:val="17"/>
          <w:color w:val="auto"/>
        </w:rPr>
        <w:t>” means Know-How related to a Product. For clarity,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Product Patent</w:t>
      </w:r>
      <w:r>
        <w:rPr>
          <w:rFonts w:ascii="Times New Roman" w:cs="Times New Roman" w:eastAsia="Times New Roman" w:hAnsi="Times New Roman"/>
          <w:sz w:val="17"/>
          <w:szCs w:val="17"/>
          <w:color w:val="auto"/>
        </w:rPr>
        <w:t>” means a Patent that Covers an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Program Inventions</w:t>
      </w:r>
      <w:r>
        <w:rPr>
          <w:rFonts w:ascii="Times New Roman" w:cs="Times New Roman" w:eastAsia="Times New Roman" w:hAnsi="Times New Roman"/>
          <w:sz w:val="17"/>
          <w:szCs w:val="17"/>
          <w:color w:val="auto"/>
        </w:rPr>
        <w:t>” has the meaning set forth in Section 5.1(a)(iv) (</w:t>
      </w:r>
      <w:r>
        <w:rPr>
          <w:rFonts w:ascii="Times New Roman" w:cs="Times New Roman" w:eastAsia="Times New Roman" w:hAnsi="Times New Roman"/>
          <w:sz w:val="17"/>
          <w:szCs w:val="17"/>
          <w:i w:val="1"/>
          <w:iCs w:val="1"/>
          <w:color w:val="auto"/>
        </w:rPr>
        <w:t>Cullinan Program Inventions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Proprietary Antibody</w:t>
      </w:r>
      <w:r>
        <w:rPr>
          <w:rFonts w:ascii="Times New Roman" w:cs="Times New Roman" w:eastAsia="Times New Roman" w:hAnsi="Times New Roman"/>
          <w:sz w:val="17"/>
          <w:szCs w:val="17"/>
          <w:color w:val="auto"/>
        </w:rPr>
        <w:t>” means an antibody Controlled by Cullinan,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Cullinan Public Antibody</w:t>
      </w:r>
      <w:r>
        <w:rPr>
          <w:rFonts w:ascii="Times New Roman" w:cs="Times New Roman" w:eastAsia="Times New Roman" w:hAnsi="Times New Roman"/>
          <w:sz w:val="17"/>
          <w:szCs w:val="17"/>
          <w:color w:val="auto"/>
        </w:rPr>
        <w:t>” means an antibody whose sequence is provided to Adimab by Cullinan,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b w:val="1"/>
          <w:bCs w:val="1"/>
          <w:color w:val="auto"/>
        </w:rPr>
        <w:t>Delivery Fee</w:t>
      </w:r>
      <w:r>
        <w:rPr>
          <w:rFonts w:ascii="Times New Roman" w:cs="Times New Roman" w:eastAsia="Times New Roman" w:hAnsi="Times New Roman"/>
          <w:sz w:val="17"/>
          <w:szCs w:val="17"/>
          <w:color w:val="auto"/>
        </w:rPr>
        <w:t>” means the [***].</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has the meaning set forth in Section 10.2(a) (</w:t>
      </w:r>
      <w:r>
        <w:rPr>
          <w:rFonts w:ascii="Times New Roman" w:cs="Times New Roman" w:eastAsia="Times New Roman" w:hAnsi="Times New Roman"/>
          <w:sz w:val="17"/>
          <w:szCs w:val="17"/>
          <w:i w:val="1"/>
          <w:iCs w:val="1"/>
          <w:color w:val="auto"/>
        </w:rPr>
        <w:t>Initial Dispute Resolution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has the meaning set forth in the recitals.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Europe</w:t>
      </w:r>
      <w:r>
        <w:rPr>
          <w:rFonts w:ascii="Times New Roman" w:cs="Times New Roman" w:eastAsia="Times New Roman" w:hAnsi="Times New Roman"/>
          <w:sz w:val="17"/>
          <w:szCs w:val="17"/>
          <w:color w:val="auto"/>
        </w:rPr>
        <w:t>” means the European Economic Area (as of the Effective Date), and Switzerland.</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20"/>
          </w:cols>
          <w:pgMar w:left="880" w:top="265" w:right="799" w:bottom="1440" w:gutter="0" w:footer="0" w:header="0"/>
        </w:sectPr>
      </w:pPr>
    </w:p>
    <w:bookmarkStart w:id="483" w:name="page484"/>
    <w:bookmarkEnd w:id="483"/>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Evaluation Term</w:t>
      </w:r>
      <w:r>
        <w:rPr>
          <w:rFonts w:ascii="Times New Roman" w:cs="Times New Roman" w:eastAsia="Times New Roman" w:hAnsi="Times New Roman"/>
          <w:sz w:val="18"/>
          <w:szCs w:val="18"/>
          <w:color w:val="auto"/>
        </w:rPr>
        <w:t>” means, with respect to a Research Program, the time period beginning upon the Final Delivery with respect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Program and ending on the earlier of [***].</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Technology</w:t>
      </w:r>
      <w:r>
        <w:rPr>
          <w:rFonts w:ascii="Times New Roman" w:cs="Times New Roman" w:eastAsia="Times New Roman" w:hAnsi="Times New Roman"/>
          <w:sz w:val="17"/>
          <w:szCs w:val="17"/>
          <w:color w:val="auto"/>
        </w:rPr>
        <w:t>” means technology (and the Patents that Cover and the Know-How that embodies such technology) related to:</w:t>
      </w:r>
    </w:p>
    <w:p>
      <w:pPr>
        <w:spacing w:after="0" w:line="229" w:lineRule="exact"/>
        <w:rPr>
          <w:sz w:val="20"/>
          <w:szCs w:val="20"/>
          <w:color w:val="auto"/>
        </w:rPr>
      </w:pPr>
    </w:p>
    <w:p>
      <w:pPr>
        <w:ind w:left="1380" w:hanging="393"/>
        <w:spacing w:after="0"/>
        <w:tabs>
          <w:tab w:leader="none" w:pos="13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Delivery</w:t>
      </w:r>
      <w:r>
        <w:rPr>
          <w:rFonts w:ascii="Times New Roman" w:cs="Times New Roman" w:eastAsia="Times New Roman" w:hAnsi="Times New Roman"/>
          <w:sz w:val="18"/>
          <w:szCs w:val="18"/>
          <w:color w:val="auto"/>
        </w:rPr>
        <w:t>” means, on a Research Program-by-Research Program basis, the delivery by Adimab to Cullinan of [***]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Program. For clarity, if there are multiple deliveries of sequences of Program Antibodies during the course of a Research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one delivery with respect to the Program Antibodies generated through the initial discovery process and a subsequent delivery of sequences of Program Antibodies with respect to optimization of the initially delivered Program Antibodies into new, optimized Program Antibodies), then Final Delivery shall mean only the last of such deliveries;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 passes from the most recent delivery of Program Antibodies from Adimab to Cullinan under a Research Program and Cullinan has not submitted a list of Program Antibodies for additional work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optimization) with respect to such Research Program, then such delivery will be deemed to be the Final Delivery under such Research Program, even if the possibility exists that Adimab will perform additional work with respect to such Research Program (and even if Adimab actually subsequently performs additional work with respect to such Research Program).</w:t>
      </w:r>
    </w:p>
    <w:p>
      <w:pPr>
        <w:spacing w:after="0" w:line="188"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Product in any country, the first sale, transfer or disposition for value or for end use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consumption of such Product in such country after Marketing Approval (and, if applicable, pricing approval) for such Product has been received in such country. For the avoidance of doubt, a first sale for compassionate use or named patient program sales shall not constitute a First Commercial Sale for purposes of this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5" w:right="479" w:bottom="1440" w:gutter="0" w:footer="0" w:header="0"/>
        </w:sectPr>
      </w:pPr>
    </w:p>
    <w:bookmarkStart w:id="484" w:name="page485"/>
    <w:bookmarkEnd w:id="484"/>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conditions beyond a Party’s reasonable control or ability to plan for, including acts of God, war, terrorism, civil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commotion, labor strike or lock-out; epidemic; failure or default of public utilities or common carriers; and destruction of facilities or materials by fire, earthquake, storm or like catastrophe;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payment of invoices due and owing under this Agreement will not be excused by reason of a Force Majeure affecting the payor.</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the equivalent of a full-time employee’s working days over a [***] period (taking account of normal vacations, sick days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holidays not being considered working days), which equates to a total of [***] per [***] period of work performed by a fully qualified Adimab employee or consultant in a Research Program. To provide an FTE over a given period that is less than a year means to provide the proportionate share (corresponding to the proportion that such period bears to a full year) during such period of a full year’s FTE.</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FTE Rate</w:t>
      </w:r>
      <w:r>
        <w:rPr>
          <w:rFonts w:ascii="Times New Roman" w:cs="Times New Roman" w:eastAsia="Times New Roman" w:hAnsi="Times New Roman"/>
          <w:sz w:val="17"/>
          <w:szCs w:val="17"/>
          <w:color w:val="auto"/>
        </w:rPr>
        <w:t>” means [***] per FTE.</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Back Exclusion</w:t>
      </w:r>
      <w:r>
        <w:rPr>
          <w:rFonts w:ascii="Times New Roman" w:cs="Times New Roman" w:eastAsia="Times New Roman" w:hAnsi="Times New Roman"/>
          <w:sz w:val="17"/>
          <w:szCs w:val="17"/>
          <w:color w:val="auto"/>
        </w:rPr>
        <w:t>” means, with respect to any given Cullinan Product Patent,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Indemnify</w:t>
      </w:r>
      <w:r>
        <w:rPr>
          <w:rFonts w:ascii="Times New Roman" w:cs="Times New Roman" w:eastAsia="Times New Roman" w:hAnsi="Times New Roman"/>
          <w:sz w:val="17"/>
          <w:szCs w:val="17"/>
          <w:color w:val="auto"/>
        </w:rPr>
        <w:t>” has the meaning set forth in Section 8.1 (</w:t>
      </w:r>
      <w:r>
        <w:rPr>
          <w:rFonts w:ascii="Times New Roman" w:cs="Times New Roman" w:eastAsia="Times New Roman" w:hAnsi="Times New Roman"/>
          <w:sz w:val="17"/>
          <w:szCs w:val="17"/>
          <w:i w:val="1"/>
          <w:iCs w:val="1"/>
          <w:color w:val="auto"/>
        </w:rPr>
        <w:t>Indemnification by Adimab</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technical information and know-how in any tangible or intangible form, including (a) inventions, discoveries,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spacing w:after="0" w:line="183"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Product</w:t>
      </w:r>
      <w:r>
        <w:rPr>
          <w:rFonts w:ascii="Times New Roman" w:cs="Times New Roman" w:eastAsia="Times New Roman" w:hAnsi="Times New Roman"/>
          <w:sz w:val="18"/>
          <w:szCs w:val="18"/>
          <w:color w:val="auto"/>
        </w:rPr>
        <w:t>” means the Product designated as a Lead Product by Cullinan in the context of identifying a Back-Up Candidate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4.4(c) (</w:t>
      </w:r>
      <w:r>
        <w:rPr>
          <w:rFonts w:ascii="Times New Roman" w:cs="Times New Roman" w:eastAsia="Times New Roman" w:hAnsi="Times New Roman"/>
          <w:sz w:val="18"/>
          <w:szCs w:val="18"/>
          <w:i w:val="1"/>
          <w:iCs w:val="1"/>
          <w:color w:val="auto"/>
        </w:rPr>
        <w:t>Back-Up Candidates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3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means a Third Party to whom Cullinan has granted, directly or indirectly through multiple tiers, rights to research,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manufacture, and/or commercialize Program-Benefited Antibodies;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Licensees will exclude Third Party Contractors and any other fee-for-service contract research organizations or contract manufacturing organizations acting in such capacity for the benefit of Cullinan. For clarity, licensees of the rights assigned to Cullinan by Adimab and sublicensees of the license granted by Adimab to Cullinan pursuant to Section 3.2 (</w:t>
      </w:r>
      <w:r>
        <w:rPr>
          <w:rFonts w:ascii="Times New Roman" w:cs="Times New Roman" w:eastAsia="Times New Roman" w:hAnsi="Times New Roman"/>
          <w:sz w:val="18"/>
          <w:szCs w:val="18"/>
          <w:i w:val="1"/>
          <w:iCs w:val="1"/>
          <w:color w:val="auto"/>
        </w:rPr>
        <w:t>Commercial Rights</w:t>
      </w:r>
      <w:r>
        <w:rPr>
          <w:rFonts w:ascii="Times New Roman" w:cs="Times New Roman" w:eastAsia="Times New Roman" w:hAnsi="Times New Roman"/>
          <w:sz w:val="18"/>
          <w:szCs w:val="18"/>
          <w:color w:val="auto"/>
        </w:rPr>
        <w:t>) will be Licensees.</w:t>
      </w:r>
    </w:p>
    <w:p>
      <w:pPr>
        <w:spacing w:after="0" w:line="17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Licensee Agreement</w:t>
      </w:r>
      <w:r>
        <w:rPr>
          <w:rFonts w:ascii="Times New Roman" w:cs="Times New Roman" w:eastAsia="Times New Roman" w:hAnsi="Times New Roman"/>
          <w:sz w:val="17"/>
          <w:szCs w:val="17"/>
          <w:color w:val="auto"/>
        </w:rPr>
        <w:t>” has the meaning set forth in Section 3.2(b)(iii) (</w:t>
      </w:r>
      <w:r>
        <w:rPr>
          <w:rFonts w:ascii="Times New Roman" w:cs="Times New Roman" w:eastAsia="Times New Roman" w:hAnsi="Times New Roman"/>
          <w:sz w:val="17"/>
          <w:szCs w:val="17"/>
          <w:i w:val="1"/>
          <w:iCs w:val="1"/>
          <w:color w:val="auto"/>
        </w:rPr>
        <w:t>Licensees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5" w:right="459" w:bottom="1440" w:gutter="0" w:footer="0" w:header="0"/>
        </w:sectPr>
      </w:pPr>
    </w:p>
    <w:bookmarkStart w:id="485" w:name="page486"/>
    <w:bookmarkEnd w:id="485"/>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has the meaning set forth in Section 8.1 (</w:t>
      </w:r>
      <w:r>
        <w:rPr>
          <w:rFonts w:ascii="Times New Roman" w:cs="Times New Roman" w:eastAsia="Times New Roman" w:hAnsi="Times New Roman"/>
          <w:sz w:val="17"/>
          <w:szCs w:val="17"/>
          <w:i w:val="1"/>
          <w:iCs w:val="1"/>
          <w:color w:val="auto"/>
        </w:rPr>
        <w:t>Indemnification by Adimab</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Region</w:t>
      </w:r>
      <w:r>
        <w:rPr>
          <w:rFonts w:ascii="Times New Roman" w:cs="Times New Roman" w:eastAsia="Times New Roman" w:hAnsi="Times New Roman"/>
          <w:sz w:val="17"/>
          <w:szCs w:val="17"/>
          <w:color w:val="auto"/>
        </w:rPr>
        <w:t>” means any of [***].</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Approval</w:t>
      </w:r>
      <w:r>
        <w:rPr>
          <w:rFonts w:ascii="Times New Roman" w:cs="Times New Roman" w:eastAsia="Times New Roman" w:hAnsi="Times New Roman"/>
          <w:sz w:val="18"/>
          <w:szCs w:val="18"/>
          <w:color w:val="auto"/>
        </w:rPr>
        <w:t>” means, within any given country, approval by the relevant regulatory agency to market a Product legally as a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biologic, such as approval by the United States Food &amp; Drug Administration of a Biologic License Application (as defined in the U.S. Federal Food, Drug and Cosmetics Act and the regulations promulgated thereunder (21 C.F.R. §§ 600-680) in the United States), or approval by a comparable agency of a comparable filing in any other non-U.S. jurisdiction. Pricing approval need not be obtained for Marketing Approval to be achieved.</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Milestone Event</w:t>
      </w:r>
      <w:r>
        <w:rPr>
          <w:rFonts w:ascii="Times New Roman" w:cs="Times New Roman" w:eastAsia="Times New Roman" w:hAnsi="Times New Roman"/>
          <w:sz w:val="17"/>
          <w:szCs w:val="17"/>
          <w:color w:val="auto"/>
        </w:rPr>
        <w:t>” has the meaning set forth in Section 4.4(a) (</w:t>
      </w:r>
      <w:r>
        <w:rPr>
          <w:rFonts w:ascii="Times New Roman" w:cs="Times New Roman" w:eastAsia="Times New Roman" w:hAnsi="Times New Roman"/>
          <w:sz w:val="17"/>
          <w:szCs w:val="17"/>
          <w:i w:val="1"/>
          <w:iCs w:val="1"/>
          <w:color w:val="auto"/>
        </w:rPr>
        <w:t>Milestone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Milestone Payment</w:t>
      </w:r>
      <w:r>
        <w:rPr>
          <w:rFonts w:ascii="Times New Roman" w:cs="Times New Roman" w:eastAsia="Times New Roman" w:hAnsi="Times New Roman"/>
          <w:sz w:val="17"/>
          <w:szCs w:val="17"/>
          <w:color w:val="auto"/>
        </w:rPr>
        <w:t>” has the meaning set forth in Section 4.4(a) (</w:t>
      </w:r>
      <w:r>
        <w:rPr>
          <w:rFonts w:ascii="Times New Roman" w:cs="Times New Roman" w:eastAsia="Times New Roman" w:hAnsi="Times New Roman"/>
          <w:sz w:val="17"/>
          <w:szCs w:val="17"/>
          <w:i w:val="1"/>
          <w:iCs w:val="1"/>
          <w:color w:val="auto"/>
        </w:rPr>
        <w:t>Milestone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Multispecific Antibody</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Multispecific Delivery Fee</w:t>
      </w:r>
      <w:r>
        <w:rPr>
          <w:rFonts w:ascii="Times New Roman" w:cs="Times New Roman" w:eastAsia="Times New Roman" w:hAnsi="Times New Roman"/>
          <w:sz w:val="17"/>
          <w:szCs w:val="17"/>
          <w:color w:val="auto"/>
        </w:rPr>
        <w:t>” has the meaning set forth in Section 4.2(b)(iii) (</w:t>
      </w:r>
      <w:r>
        <w:rPr>
          <w:rFonts w:ascii="Times New Roman" w:cs="Times New Roman" w:eastAsia="Times New Roman" w:hAnsi="Times New Roman"/>
          <w:sz w:val="17"/>
          <w:szCs w:val="17"/>
          <w:i w:val="1"/>
          <w:iCs w:val="1"/>
          <w:color w:val="auto"/>
        </w:rPr>
        <w:t>Multispecific Delivery Fee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Multispecific Product</w:t>
      </w:r>
      <w:r>
        <w:rPr>
          <w:rFonts w:ascii="Times New Roman" w:cs="Times New Roman" w:eastAsia="Times New Roman" w:hAnsi="Times New Roman"/>
          <w:sz w:val="17"/>
          <w:szCs w:val="17"/>
          <w:color w:val="auto"/>
        </w:rPr>
        <w:t>” means a Product that contains or is comprised of a Multispecific Antibody.</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Naïve Discovery Delivery Fee</w:t>
      </w:r>
      <w:r>
        <w:rPr>
          <w:rFonts w:ascii="Times New Roman" w:cs="Times New Roman" w:eastAsia="Times New Roman" w:hAnsi="Times New Roman"/>
          <w:sz w:val="17"/>
          <w:szCs w:val="17"/>
          <w:color w:val="auto"/>
        </w:rPr>
        <w:t>” has the meaning set forth in Section 4.2(b)(i) (</w:t>
      </w:r>
      <w:r>
        <w:rPr>
          <w:rFonts w:ascii="Times New Roman" w:cs="Times New Roman" w:eastAsia="Times New Roman" w:hAnsi="Times New Roman"/>
          <w:sz w:val="17"/>
          <w:szCs w:val="17"/>
          <w:i w:val="1"/>
          <w:iCs w:val="1"/>
          <w:color w:val="auto"/>
        </w:rPr>
        <w:t>Naïve Discovery Delivery Fee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Naïve Library</w:t>
      </w:r>
      <w:r>
        <w:rPr>
          <w:rFonts w:ascii="Times New Roman" w:cs="Times New Roman" w:eastAsia="Times New Roman" w:hAnsi="Times New Roman"/>
          <w:sz w:val="17"/>
          <w:szCs w:val="17"/>
          <w:color w:val="auto"/>
        </w:rPr>
        <w:t>” means an antibody library containing at least [***].</w:t>
      </w:r>
    </w:p>
    <w:p>
      <w:pPr>
        <w:spacing w:after="0" w:line="225" w:lineRule="exact"/>
        <w:rPr>
          <w:sz w:val="20"/>
          <w:szCs w:val="20"/>
          <w:color w:val="auto"/>
        </w:rPr>
      </w:pPr>
    </w:p>
    <w:p>
      <w:pPr>
        <w:jc w:val="both"/>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amounts invoiced for a Product by Cullinan, its Affiliates and its Licensees for sales or other disposition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Product to a Third Party purchaser, less the following, to the extent that the following are directly incurred with respect to a Product, or allocated specifically to a Product in accordance with generally accepted accounting principles consistently applied across the books and records of Cullinan and its Licensees, as applicable:</w:t>
      </w:r>
    </w:p>
    <w:p>
      <w:pPr>
        <w:spacing w:after="0" w:line="180" w:lineRule="exact"/>
        <w:rPr>
          <w:sz w:val="20"/>
          <w:szCs w:val="20"/>
          <w:color w:val="auto"/>
        </w:rPr>
      </w:pPr>
    </w:p>
    <w:p>
      <w:pPr>
        <w:ind w:left="1380" w:hanging="393"/>
        <w:spacing w:after="0"/>
        <w:tabs>
          <w:tab w:leader="none" w:pos="138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65" w:right="539" w:bottom="1440" w:gutter="0" w:footer="0" w:header="0"/>
        </w:sectPr>
      </w:pPr>
    </w:p>
    <w:bookmarkStart w:id="486" w:name="page487"/>
    <w:bookmarkEnd w:id="486"/>
    <w:p>
      <w:pPr>
        <w:ind w:left="1340" w:hanging="353"/>
        <w:spacing w:after="0"/>
        <w:tabs>
          <w:tab w:leader="none" w:pos="134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Non-Optioned Antibodies</w:t>
      </w:r>
      <w:r>
        <w:rPr>
          <w:rFonts w:ascii="Times New Roman" w:cs="Times New Roman" w:eastAsia="Times New Roman" w:hAnsi="Times New Roman"/>
          <w:sz w:val="18"/>
          <w:szCs w:val="18"/>
          <w:color w:val="auto"/>
        </w:rPr>
        <w:t>” means any Program Antibody with respect to which the Evaluation Term has expired and which was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selected by Cullinan pursuant to the exercise of an Option under Section 3.2(a), and any Program-Benefited Antibody generated from such Program Antibody.</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North America</w:t>
      </w:r>
      <w:r>
        <w:rPr>
          <w:rFonts w:ascii="Times New Roman" w:cs="Times New Roman" w:eastAsia="Times New Roman" w:hAnsi="Times New Roman"/>
          <w:sz w:val="17"/>
          <w:szCs w:val="17"/>
          <w:color w:val="auto"/>
        </w:rPr>
        <w:t>” means the United States, including its territories and possessions, Canada, and Mexico.</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Optimization Completion Fee</w:t>
      </w:r>
      <w:r>
        <w:rPr>
          <w:rFonts w:ascii="Times New Roman" w:cs="Times New Roman" w:eastAsia="Times New Roman" w:hAnsi="Times New Roman"/>
          <w:sz w:val="17"/>
          <w:szCs w:val="17"/>
          <w:color w:val="auto"/>
        </w:rPr>
        <w:t>” has the meaning set forth in Section 4.2(b)(ii) (</w:t>
      </w:r>
      <w:r>
        <w:rPr>
          <w:rFonts w:ascii="Times New Roman" w:cs="Times New Roman" w:eastAsia="Times New Roman" w:hAnsi="Times New Roman"/>
          <w:sz w:val="17"/>
          <w:szCs w:val="17"/>
          <w:i w:val="1"/>
          <w:iCs w:val="1"/>
          <w:color w:val="auto"/>
        </w:rPr>
        <w:t>Optimization Completion Fee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Optimized Cullinan Antibody</w:t>
      </w:r>
      <w:r>
        <w:rPr>
          <w:rFonts w:ascii="Times New Roman" w:cs="Times New Roman" w:eastAsia="Times New Roman" w:hAnsi="Times New Roman"/>
          <w:sz w:val="17"/>
          <w:szCs w:val="17"/>
          <w:color w:val="auto"/>
        </w:rPr>
        <w:t>” means a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Optimized Cullinan Product</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collectively the Program Antibody Option and the CD3 License Option.</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Fee</w:t>
      </w:r>
      <w:r>
        <w:rPr>
          <w:rFonts w:ascii="Times New Roman" w:cs="Times New Roman" w:eastAsia="Times New Roman" w:hAnsi="Times New Roman"/>
          <w:sz w:val="17"/>
          <w:szCs w:val="17"/>
          <w:color w:val="auto"/>
        </w:rPr>
        <w:t>” has the meaning set forth in Section 4.3 (</w:t>
      </w:r>
      <w:r>
        <w:rPr>
          <w:rFonts w:ascii="Times New Roman" w:cs="Times New Roman" w:eastAsia="Times New Roman" w:hAnsi="Times New Roman"/>
          <w:sz w:val="17"/>
          <w:szCs w:val="17"/>
          <w:i w:val="1"/>
          <w:iCs w:val="1"/>
          <w:color w:val="auto"/>
        </w:rPr>
        <w:t>Option Fee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Optioned Antibody</w:t>
      </w:r>
      <w:r>
        <w:rPr>
          <w:rFonts w:ascii="Times New Roman" w:cs="Times New Roman" w:eastAsia="Times New Roman" w:hAnsi="Times New Roman"/>
          <w:sz w:val="18"/>
          <w:szCs w:val="18"/>
          <w:color w:val="auto"/>
        </w:rPr>
        <w:t>” means any Program Antibody selected by Cullinan pursuant to Section 3.2(a)(i) (</w:t>
      </w:r>
      <w:r>
        <w:rPr>
          <w:rFonts w:ascii="Times New Roman" w:cs="Times New Roman" w:eastAsia="Times New Roman" w:hAnsi="Times New Roman"/>
          <w:sz w:val="18"/>
          <w:szCs w:val="18"/>
          <w:i w:val="1"/>
          <w:iCs w:val="1"/>
          <w:color w:val="auto"/>
        </w:rPr>
        <w:t>Option Exercise for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Programs</w:t>
      </w:r>
      <w:r>
        <w:rPr>
          <w:rFonts w:ascii="Times New Roman" w:cs="Times New Roman" w:eastAsia="Times New Roman" w:hAnsi="Times New Roman"/>
          <w:sz w:val="18"/>
          <w:szCs w:val="18"/>
          <w:color w:val="auto"/>
        </w:rPr>
        <w:t>) or 3.2(a)(ii) (</w:t>
      </w:r>
      <w:r>
        <w:rPr>
          <w:rFonts w:ascii="Times New Roman" w:cs="Times New Roman" w:eastAsia="Times New Roman" w:hAnsi="Times New Roman"/>
          <w:sz w:val="18"/>
          <w:szCs w:val="18"/>
          <w:i w:val="1"/>
          <w:iCs w:val="1"/>
          <w:color w:val="auto"/>
        </w:rPr>
        <w:t>Option Exercise Under the CD3 License</w:t>
      </w:r>
      <w:r>
        <w:rPr>
          <w:rFonts w:ascii="Times New Roman" w:cs="Times New Roman" w:eastAsia="Times New Roman" w:hAnsi="Times New Roman"/>
          <w:sz w:val="18"/>
          <w:szCs w:val="18"/>
          <w:color w:val="auto"/>
        </w:rPr>
        <w:t>), and any Program-Benefited Antibody generated from such Program Antibody.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clarity, Optioned Antibodies may include Multispecific Antibodies, including CD3 Products.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Optioned Program Antibody Patents</w:t>
      </w:r>
      <w:r>
        <w:rPr>
          <w:rFonts w:ascii="Times New Roman" w:cs="Times New Roman" w:eastAsia="Times New Roman" w:hAnsi="Times New Roman"/>
          <w:sz w:val="18"/>
          <w:szCs w:val="18"/>
          <w:color w:val="auto"/>
        </w:rPr>
        <w:t>” means those Program Antibody Patents that Cover Optioned Antibodies and do not disclose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Non-Optioned Antibodies.</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Product</w:t>
      </w:r>
      <w:r>
        <w:rPr>
          <w:rFonts w:ascii="Times New Roman" w:cs="Times New Roman" w:eastAsia="Times New Roman" w:hAnsi="Times New Roman"/>
          <w:sz w:val="17"/>
          <w:szCs w:val="17"/>
          <w:color w:val="auto"/>
        </w:rPr>
        <w:t>” has the meaning set forth in Section 4.4(f) (</w:t>
      </w:r>
      <w:r>
        <w:rPr>
          <w:rFonts w:ascii="Times New Roman" w:cs="Times New Roman" w:eastAsia="Times New Roman" w:hAnsi="Times New Roman"/>
          <w:sz w:val="17"/>
          <w:szCs w:val="17"/>
          <w:i w:val="1"/>
          <w:iCs w:val="1"/>
          <w:color w:val="auto"/>
        </w:rPr>
        <w:t>Milestone Payments for Subsequent Products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means Adimab or Cullinan.</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440" w:top="269" w:right="699" w:bottom="1440" w:gutter="0" w:footer="0" w:header="0"/>
        </w:sectPr>
      </w:pPr>
    </w:p>
    <w:bookmarkStart w:id="487" w:name="page488"/>
    <w:bookmarkEnd w:id="487"/>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any patent application or patent anywhere in the world, including all of the following categories of patents and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and their foreign equivalents: provisional, utility, divisional, continuation, continuation-in-part, and substitution applications; and re-issue, re-examination, renewal and extended patents; and any rights associated with extended patent terms, including Patent Term Adjustment (PTA), Patent Term Extension (PTE), Supplementary Protection Certificates (SPC); and other similar rights.</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Phase I Trial</w:t>
      </w:r>
      <w:r>
        <w:rPr>
          <w:rFonts w:ascii="Times New Roman" w:cs="Times New Roman" w:eastAsia="Times New Roman" w:hAnsi="Times New Roman"/>
          <w:sz w:val="17"/>
          <w:szCs w:val="17"/>
          <w:color w:val="auto"/>
        </w:rPr>
        <w:t>” means a human clinical trial (whether a Phase Ia or a Phase Ib trial) in any country of the type described in 21 C.F.R.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§312.21(a), or an equivalent clinical study required by a regulatory authority outside of the United States.</w:t>
      </w:r>
    </w:p>
    <w:p>
      <w:pPr>
        <w:spacing w:after="0" w:line="203"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 Trial</w:t>
      </w:r>
      <w:r>
        <w:rPr>
          <w:rFonts w:ascii="Times New Roman" w:cs="Times New Roman" w:eastAsia="Times New Roman" w:hAnsi="Times New Roman"/>
          <w:sz w:val="18"/>
          <w:szCs w:val="18"/>
          <w:color w:val="auto"/>
        </w:rPr>
        <w:t>” means a human clinical trial conducted in any country of the type described in 21 C.F.R. §312.21(b), or an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study required by a regulatory authority outside of the United States.</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Trial</w:t>
      </w:r>
      <w:r>
        <w:rPr>
          <w:rFonts w:ascii="Times New Roman" w:cs="Times New Roman" w:eastAsia="Times New Roman" w:hAnsi="Times New Roman"/>
          <w:sz w:val="18"/>
          <w:szCs w:val="18"/>
          <w:color w:val="auto"/>
        </w:rPr>
        <w:t>” means a human clinical trial in any country of the type described in 21 C.F.R. § 312.21(c), or an equivalent clinical study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 regulatory authority outside the United States. For purposes of this Agreement, a human clinical trial that combines elements of two different phases of clinical trial will be deemed to be the more advanced type of clinical trial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Phase II /III clinical trial will be deemed a Phase III Trial).</w:t>
      </w:r>
    </w:p>
    <w:p>
      <w:pPr>
        <w:spacing w:after="0" w:line="176"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actual or potential product that comprises or contains one or more Program-Benefited Antibodies (whether or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product is, is intended to be, or was under evaluation for safety, efficacy, or other factors, and whether or not such Product has been formulated for delivery).</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Program Antibody</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Program Antibody Option</w:t>
      </w:r>
      <w:r>
        <w:rPr>
          <w:rFonts w:ascii="Times New Roman" w:cs="Times New Roman" w:eastAsia="Times New Roman" w:hAnsi="Times New Roman"/>
          <w:sz w:val="17"/>
          <w:szCs w:val="17"/>
          <w:color w:val="auto"/>
        </w:rPr>
        <w:t>” has the meaning set forth in Section 3.2(a)(i) (</w:t>
      </w:r>
      <w:r>
        <w:rPr>
          <w:rFonts w:ascii="Times New Roman" w:cs="Times New Roman" w:eastAsia="Times New Roman" w:hAnsi="Times New Roman"/>
          <w:sz w:val="17"/>
          <w:szCs w:val="17"/>
          <w:i w:val="1"/>
          <w:iCs w:val="1"/>
          <w:color w:val="auto"/>
        </w:rPr>
        <w:t>Option Exercise For Research Programs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Antibody Patents</w:t>
      </w:r>
      <w:r>
        <w:rPr>
          <w:rFonts w:ascii="Times New Roman" w:cs="Times New Roman" w:eastAsia="Times New Roman" w:hAnsi="Times New Roman"/>
          <w:sz w:val="18"/>
          <w:szCs w:val="18"/>
          <w:color w:val="auto"/>
        </w:rPr>
        <w:t>” means, for a Target other than CD3, Patents that (a) Cover a Program-Benefited Antibody or any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do not Cover Adimab Platform Technology or Adimab Platform Technology Improvements.</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Program-Benefited Antibody</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Inventions</w:t>
      </w:r>
      <w:r>
        <w:rPr>
          <w:rFonts w:ascii="Times New Roman" w:cs="Times New Roman" w:eastAsia="Times New Roman" w:hAnsi="Times New Roman"/>
          <w:sz w:val="18"/>
          <w:szCs w:val="18"/>
          <w:color w:val="auto"/>
        </w:rPr>
        <w:t>” means any invention that is conceived and/or first reduced to practice in the course of or as a result of the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under this Agreement (including in exercise of a license under this Agreement). For clarity, Program Inventions include all Know-How made, developed, invented or discovered by employees, contractors or agents of either Party or of both Parties pursuant to this Agreement.</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1.90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Program Patent</w:t>
      </w:r>
      <w:r>
        <w:rPr>
          <w:rFonts w:ascii="Times New Roman" w:cs="Times New Roman" w:eastAsia="Times New Roman" w:hAnsi="Times New Roman"/>
          <w:sz w:val="17"/>
          <w:szCs w:val="17"/>
          <w:color w:val="auto"/>
        </w:rPr>
        <w:t>” means any Patent Covering a Program Invention.</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Research Committee</w:t>
      </w:r>
      <w:r>
        <w:rPr>
          <w:rFonts w:ascii="Times New Roman" w:cs="Times New Roman" w:eastAsia="Times New Roman" w:hAnsi="Times New Roman"/>
          <w:sz w:val="17"/>
          <w:szCs w:val="17"/>
          <w:color w:val="auto"/>
        </w:rPr>
        <w:t>” has the meaning set forth in Section 2.2(a) (</w:t>
      </w:r>
      <w:r>
        <w:rPr>
          <w:rFonts w:ascii="Times New Roman" w:cs="Times New Roman" w:eastAsia="Times New Roman" w:hAnsi="Times New Roman"/>
          <w:sz w:val="17"/>
          <w:szCs w:val="17"/>
          <w:i w:val="1"/>
          <w:iCs w:val="1"/>
          <w:color w:val="auto"/>
        </w:rPr>
        <w:t>Scientific Research Committee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488" w:name="page489"/>
    <w:bookmarkEnd w:id="488"/>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means, on a Target-by-Target basis, the research plan agreed upon by the Parties with respect to a Target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2.1(a) (</w:t>
      </w:r>
      <w:r>
        <w:rPr>
          <w:rFonts w:ascii="Times New Roman" w:cs="Times New Roman" w:eastAsia="Times New Roman" w:hAnsi="Times New Roman"/>
          <w:sz w:val="18"/>
          <w:szCs w:val="18"/>
          <w:i w:val="1"/>
          <w:iCs w:val="1"/>
          <w:color w:val="auto"/>
        </w:rPr>
        <w:t>Research Plans</w:t>
      </w:r>
      <w:r>
        <w:rPr>
          <w:rFonts w:ascii="Times New Roman" w:cs="Times New Roman" w:eastAsia="Times New Roman" w:hAnsi="Times New Roman"/>
          <w:sz w:val="18"/>
          <w:szCs w:val="18"/>
          <w:color w:val="auto"/>
        </w:rPr>
        <w:t>) hereof, which shall include the number of expected FTEs to be expended on the project by Adimab and the relevant deliverables and timelines.</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means, on a Target-by-Target basis, a program of research conducted under this Agreement in accordance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Plan for such Target. For clarity, in the event that [***].</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Term</w:t>
      </w:r>
      <w:r>
        <w:rPr>
          <w:rFonts w:ascii="Times New Roman" w:cs="Times New Roman" w:eastAsia="Times New Roman" w:hAnsi="Times New Roman"/>
          <w:sz w:val="18"/>
          <w:szCs w:val="18"/>
          <w:color w:val="auto"/>
        </w:rPr>
        <w:t>” means the period beginning on the date on which Adimab commences work on a Research Program, as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Research Program, and ending, on a Research Program-by-Research Program basis, upon Adimab’s Final Delivery under a Research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Adimab is unable to deliver antibodies pursuant to a Research Plan within [***] of commencing work on such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then either Party may terminate the Research Term at such point.</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Payment</w:t>
      </w:r>
      <w:r>
        <w:rPr>
          <w:rFonts w:ascii="Times New Roman" w:cs="Times New Roman" w:eastAsia="Times New Roman" w:hAnsi="Times New Roman"/>
          <w:sz w:val="17"/>
          <w:szCs w:val="17"/>
          <w:color w:val="auto"/>
        </w:rPr>
        <w:t>” has the meaning set forth in Section 4.5 (</w:t>
      </w:r>
      <w:r>
        <w:rPr>
          <w:rFonts w:ascii="Times New Roman" w:cs="Times New Roman" w:eastAsia="Times New Roman" w:hAnsi="Times New Roman"/>
          <w:sz w:val="17"/>
          <w:szCs w:val="17"/>
          <w:i w:val="1"/>
          <w:iCs w:val="1"/>
          <w:color w:val="auto"/>
        </w:rPr>
        <w:t>Royalty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 Product-by-Product and country-by-country basis, the term ending at the later of (a) [***] after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Sale of such Product in such country and (b) the expiration of the last issued and not expired, permanently revoked, or invalid claim within a Program Patent Covering such Product.</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Senior Executive Discussions</w:t>
      </w:r>
      <w:r>
        <w:rPr>
          <w:rFonts w:ascii="Times New Roman" w:cs="Times New Roman" w:eastAsia="Times New Roman" w:hAnsi="Times New Roman"/>
          <w:sz w:val="17"/>
          <w:szCs w:val="17"/>
          <w:color w:val="auto"/>
        </w:rPr>
        <w:t>” has the meaning set forth in Section 10.2(a) (</w:t>
      </w:r>
      <w:r>
        <w:rPr>
          <w:rFonts w:ascii="Times New Roman" w:cs="Times New Roman" w:eastAsia="Times New Roman" w:hAnsi="Times New Roman"/>
          <w:sz w:val="17"/>
          <w:szCs w:val="17"/>
          <w:i w:val="1"/>
          <w:iCs w:val="1"/>
          <w:color w:val="auto"/>
        </w:rPr>
        <w:t>Initial Dispute Resolution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Sequence IP</w:t>
      </w:r>
      <w:r>
        <w:rPr>
          <w:rFonts w:ascii="Times New Roman" w:cs="Times New Roman" w:eastAsia="Times New Roman" w:hAnsi="Times New Roman"/>
          <w:sz w:val="18"/>
          <w:szCs w:val="18"/>
          <w:color w:val="auto"/>
        </w:rPr>
        <w:t>” means Patents that Cover, and Know-How related to, the amino acid sequence of an antibody (including any Program-Benefited Antibody), including the CDRs.</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Subsequent Product</w:t>
      </w:r>
      <w:r>
        <w:rPr>
          <w:rFonts w:ascii="Times New Roman" w:cs="Times New Roman" w:eastAsia="Times New Roman" w:hAnsi="Times New Roman"/>
          <w:sz w:val="17"/>
          <w:szCs w:val="17"/>
          <w:color w:val="auto"/>
        </w:rPr>
        <w:t>” has the meaning set forth in Section 4.4(f) (</w:t>
      </w:r>
      <w:r>
        <w:rPr>
          <w:rFonts w:ascii="Times New Roman" w:cs="Times New Roman" w:eastAsia="Times New Roman" w:hAnsi="Times New Roman"/>
          <w:sz w:val="17"/>
          <w:szCs w:val="17"/>
          <w:i w:val="1"/>
          <w:iCs w:val="1"/>
          <w:color w:val="auto"/>
        </w:rPr>
        <w:t>Milestone Payments for Subsequent Products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1.100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TAA Target</w:t>
      </w:r>
      <w:r>
        <w:rPr>
          <w:rFonts w:ascii="Times New Roman" w:cs="Times New Roman" w:eastAsia="Times New Roman" w:hAnsi="Times New Roman"/>
          <w:sz w:val="17"/>
          <w:szCs w:val="17"/>
          <w:color w:val="auto"/>
        </w:rPr>
        <w:t>” means the Target(s) of antibodies in a CD3 Product other than CD3.</w:t>
      </w:r>
    </w:p>
    <w:p>
      <w:pPr>
        <w:spacing w:after="0" w:line="2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means a target selected by Cullinan pursuant to Section 2.1 (</w:t>
      </w:r>
      <w:r>
        <w:rPr>
          <w:rFonts w:ascii="Times New Roman" w:cs="Times New Roman" w:eastAsia="Times New Roman" w:hAnsi="Times New Roman"/>
          <w:sz w:val="17"/>
          <w:szCs w:val="17"/>
          <w:i w:val="1"/>
          <w:iCs w:val="1"/>
          <w:color w:val="auto"/>
        </w:rPr>
        <w:t>Research Programs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 Nomination Period</w:t>
      </w:r>
      <w:r>
        <w:rPr>
          <w:rFonts w:ascii="Times New Roman" w:cs="Times New Roman" w:eastAsia="Times New Roman" w:hAnsi="Times New Roman"/>
          <w:sz w:val="17"/>
          <w:szCs w:val="17"/>
          <w:color w:val="auto"/>
        </w:rPr>
        <w:t>” means the term beginning on the Effective Date and ending [***] after the Effective Date.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1.103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 Questionnaire</w:t>
      </w:r>
      <w:r>
        <w:rPr>
          <w:rFonts w:ascii="Times New Roman" w:cs="Times New Roman" w:eastAsia="Times New Roman" w:hAnsi="Times New Roman"/>
          <w:sz w:val="17"/>
          <w:szCs w:val="17"/>
          <w:color w:val="auto"/>
        </w:rPr>
        <w:t>” means the form of target questionnaire attached hereto as Exhibit A.</w:t>
      </w:r>
    </w:p>
    <w:p>
      <w:pPr>
        <w:spacing w:after="0" w:line="2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1.104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will have the meaning set forth in Section 9.1 (</w:t>
      </w: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1.105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 entity other than a Party.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65" w:right="539" w:bottom="1440" w:gutter="0" w:footer="0" w:header="0"/>
        </w:sectPr>
      </w:pPr>
    </w:p>
    <w:bookmarkStart w:id="489" w:name="page490"/>
    <w:bookmarkEnd w:id="489"/>
    <w:p>
      <w:pPr>
        <w:ind w:left="444"/>
        <w:spacing w:after="0"/>
        <w:tabs>
          <w:tab w:leader="none" w:pos="10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has the meaning set forth in Section 8.1 (</w:t>
      </w:r>
      <w:r>
        <w:rPr>
          <w:rFonts w:ascii="Times New Roman" w:cs="Times New Roman" w:eastAsia="Times New Roman" w:hAnsi="Times New Roman"/>
          <w:sz w:val="18"/>
          <w:szCs w:val="18"/>
          <w:i w:val="1"/>
          <w:iCs w:val="1"/>
          <w:color w:val="auto"/>
        </w:rPr>
        <w:t>Indemnification by Adimab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1.107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 Contractors</w:t>
      </w:r>
      <w:r>
        <w:rPr>
          <w:rFonts w:ascii="Times New Roman" w:cs="Times New Roman" w:eastAsia="Times New Roman" w:hAnsi="Times New Roman"/>
          <w:sz w:val="17"/>
          <w:szCs w:val="17"/>
          <w:color w:val="auto"/>
        </w:rPr>
        <w:t>” means (a) Third Parties that provide services on a fee-for-service basis, such as contract research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organizations, contract manufacturers, and the like, and (b) Third Party academic collaborators, in each case, so long as (x) any agreement between Cullinan and such Third Party service provider or Third Party academic collaborator is terminable at will upon reasonable notice by Cullinan and</w:t>
      </w:r>
    </w:p>
    <w:p>
      <w:pPr>
        <w:spacing w:after="0" w:line="1" w:lineRule="exact"/>
        <w:rPr>
          <w:sz w:val="20"/>
          <w:szCs w:val="20"/>
          <w:color w:val="auto"/>
        </w:rPr>
      </w:pPr>
    </w:p>
    <w:p>
      <w:pPr>
        <w:ind w:left="4" w:right="20" w:hanging="4"/>
        <w:spacing w:after="0" w:line="253" w:lineRule="auto"/>
        <w:tabs>
          <w:tab w:leader="none" w:pos="25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Party service provider or Third Party academic collaborator does not obtain any rights (or with respect to a Third Party academic collaborator, grants Cullinan an option to obtain rights, which option shall be described to Adimab in reasonable detail and which option Cullinan hereby agrees to exercise upon request by Adimab) to research, develop, manufacture, commercialize, or patent any Program-Benefited Antibodies, and provided, for clarity, such Third Party may be granted rights to perform the contracted services, and (z) such Third Party service provider or Third Party academic collaborator is bound to substantially similar confidentiality and non-use obligations as Cullinan is bound to under this Agreement.</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Intellectual Property Licenses</w:t>
      </w:r>
      <w:r>
        <w:rPr>
          <w:rFonts w:ascii="Times New Roman" w:cs="Times New Roman" w:eastAsia="Times New Roman" w:hAnsi="Times New Roman"/>
          <w:sz w:val="18"/>
          <w:szCs w:val="18"/>
          <w:color w:val="auto"/>
        </w:rPr>
        <w:t>” means Patent licenses obtained by Cullinan (or its Affiliate or Licensee) after Cullinan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Affiliate or Licensee) determines in good faith that one or more such Patent licenses from Third Parties are reasonably required by Cullinan (or such Affiliate or Licensee) because such Patents Cover the way in which Program Antibodies were discovered or optimized using Adimab Platform Technology or Adimab Platform Technology Improvements under a Third Party Patent Covering the Adimab Platform Technology and/or Adimab Platform Technology Improvements, in order to avoid Third Party claims of patent infringement relating to the discovery or optimization of an Optioned Antibody, which claims are reasonably believed by Cullinan (or its Affiliate or Licensee) to be reasonably likely not to be dismissed or invalidated in any derivation or post-grant proceeding or at summary judgment, and are reasonably likely to succeed overall. For clarity, Third Party Patent Licenses explicitly exclude licenses to any Excluded Technology or Sequence IP.</w:t>
      </w:r>
    </w:p>
    <w:p>
      <w:pPr>
        <w:spacing w:after="0" w:line="18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1.109 </w:t>
      </w:r>
      <w:r>
        <w:rPr>
          <w:rFonts w:ascii="Times New Roman" w:cs="Times New Roman" w:eastAsia="Times New Roman" w:hAnsi="Times New Roman"/>
          <w:sz w:val="18"/>
          <w:szCs w:val="18"/>
          <w:color w:val="auto"/>
        </w:rPr>
        <w:t>References in the body of this Agreement to “Sections” or “Articles” refer to the sections or articles of this Agreement.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“includes,” “including” and derivative forms of them will be deemed followed by the phrase “without limitation” regardless of whether such phrase appears there (and with no implication being drawn from its inconsistent inclusion or non-inclusion) and the term “or” has the inclusive meaning represented by the phrase “and/or” (regardless of whether it is actually written and drawing no implication from the actual use of the phrase “and/or” in some instances but not in others).</w:t>
      </w:r>
    </w:p>
    <w:p>
      <w:pPr>
        <w:spacing w:after="0" w:line="17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To avoid doubt, the term “antibody” as used everywhere else in this Agreement includes full-length antibodies and other proteins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peptides that constitute antibodies, fragments thereof, and chemically modified versions thereof (including pegylated versions and multispecific antibodies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bispecifics and trispecifics) and regardless of whether containing amino acid substitutions), all of the foregoing whether naturally occurring, artificially produced, raised in an artificial system, or created through modification of an antibody produced in any of the foregoing ways or otherwise, and whether represented by physical material or sequences. Throughout this Agreement, the term “sequence” means both the amino acid sequence and nucleic acid sequence and a sequence may be identified either explicitly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identifying the specific sequences) or implicitly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referencing specific substitutions to the sequence of an antibody).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5" w:right="479" w:bottom="1440" w:gutter="0" w:footer="0" w:header="0"/>
        </w:sectPr>
      </w:pPr>
    </w:p>
    <w:bookmarkStart w:id="490" w:name="page491"/>
    <w:bookmarkEnd w:id="49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52"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Research Programs.</w:t>
      </w:r>
    </w:p>
    <w:p>
      <w:pPr>
        <w:spacing w:after="0" w:line="117" w:lineRule="exact"/>
        <w:rPr>
          <w:sz w:val="20"/>
          <w:szCs w:val="20"/>
          <w:color w:val="auto"/>
        </w:rPr>
      </w:pPr>
    </w:p>
    <w:p>
      <w:pPr>
        <w:ind w:left="1384" w:hanging="393"/>
        <w:spacing w:after="0"/>
        <w:tabs>
          <w:tab w:leader="none" w:pos="1384"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Plans</w:t>
      </w:r>
      <w:r>
        <w:rPr>
          <w:rFonts w:ascii="Times New Roman" w:cs="Times New Roman" w:eastAsia="Times New Roman" w:hAnsi="Times New Roman"/>
          <w:sz w:val="18"/>
          <w:szCs w:val="18"/>
          <w:color w:val="auto"/>
        </w:rPr>
        <w:t>. The Parties intend to collaborate on different types of Research Programs pursuant to this Agreement, including:</w:t>
      </w:r>
    </w:p>
    <w:p>
      <w:pPr>
        <w:spacing w:after="0" w:line="31" w:lineRule="exact"/>
        <w:rPr>
          <w:rFonts w:ascii="Times New Roman" w:cs="Times New Roman" w:eastAsia="Times New Roman" w:hAnsi="Times New Roman"/>
          <w:sz w:val="18"/>
          <w:szCs w:val="18"/>
          <w:b w:val="1"/>
          <w:bCs w:val="1"/>
          <w:color w:val="auto"/>
        </w:rPr>
      </w:pPr>
    </w:p>
    <w:p>
      <w:pPr>
        <w:ind w:left="4" w:right="420" w:hanging="4"/>
        <w:spacing w:after="0" w:line="253" w:lineRule="auto"/>
        <w:tabs>
          <w:tab w:leader="none" w:pos="25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pursuant to which Adimab will discover [***], (2) Research Programs pursuant to which Adimab will generate Optimized Cullinan Antibodies, and (3) Research Programs pursuant to which Adimab will generate Multispecific Products based on the Target combinations identified by Cullinan, which may include CD3 Products and other Multispecific Antibodies. As set forth below, Adimab shall use Commercially Reasonable Efforts to commence Research Programs and each Research Plan hereunder promptly.</w:t>
      </w:r>
    </w:p>
    <w:p>
      <w:pPr>
        <w:spacing w:after="0" w:line="184"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2"/>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Plans for Targets Other Than CD3</w:t>
      </w: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b w:val="1"/>
          <w:bCs w:val="1"/>
          <w:color w:val="auto"/>
        </w:rPr>
      </w:pPr>
    </w:p>
    <w:p>
      <w:pPr>
        <w:ind w:left="1824" w:hanging="392"/>
        <w:spacing w:after="0"/>
        <w:tabs>
          <w:tab w:leader="none" w:pos="1824" w:val="left"/>
        </w:tabs>
        <w:numPr>
          <w:ilvl w:val="2"/>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CD3 Research Plans</w:t>
      </w: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52" w:lineRule="auto"/>
        <w:tabs>
          <w:tab w:leader="none" w:pos="1395" w:val="left"/>
        </w:tabs>
        <w:numPr>
          <w:ilvl w:val="1"/>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Research</w:t>
      </w:r>
      <w:r>
        <w:rPr>
          <w:rFonts w:ascii="Times New Roman" w:cs="Times New Roman" w:eastAsia="Times New Roman" w:hAnsi="Times New Roman"/>
          <w:sz w:val="18"/>
          <w:szCs w:val="18"/>
          <w:color w:val="auto"/>
        </w:rPr>
        <w:t>. Each Research Program shall be conducted in accordance with the applicable Research Plan. Each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use its Commercially Reasonable Efforts to perform the activities assigned to such Party in a Research Plan and to achieve the timeline(s) set forth in such Research Plan. Adimab’s obligation to start performance of a particular Research Program hereunder will be reasonably subject to (i) the availability of reagents of sufficient quality and quantity, and (ii) the availability of Adimab researchers to perform such Research Program, but in no event will any delay be more than two (2) months from the date of quality control of the reagents described in clause (i). Adimab will provide Cullinan with reasonable notice as to the availability of its researchers to start performance of its obligations under a Research Plan at the time of negotiation of such Research Plan. Cullinan’s performance obligations under each Research Program shall be contingent upon Adimab providing the Adimab Materials set forth in the applicable Research Plan. Cullinan Materials are expected to include Target antigen of suitable quality for performance of the Research Program and such Cullinan Materials must pass Adimab’s reasonably implemented and tested quality control standards prior to commencing the Research Program. Adimab’s performance obligations under a Research Program shall expire at the end of the Research Term for such Research Program. Adimab will have the right to use Third Parties in the performance of its obligations under a Research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7" w:lineRule="exact"/>
        <w:rPr>
          <w:rFonts w:ascii="Times New Roman" w:cs="Times New Roman" w:eastAsia="Times New Roman" w:hAnsi="Times New Roman"/>
          <w:sz w:val="18"/>
          <w:szCs w:val="18"/>
          <w:b w:val="1"/>
          <w:bCs w:val="1"/>
          <w:color w:val="auto"/>
        </w:rPr>
      </w:pPr>
    </w:p>
    <w:p>
      <w:pPr>
        <w:ind w:left="4"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Adimab first obtain Cullinan’s prior written consent (ii) Adimab shall be responsible for all such Third Parties and the engagement by Adimab of any Third Party shall not relieve Adimab of its obligations under this Agreement or any applicable Research Plan; (iii) any such Third Party will have entered into a written agreement with Adimab that includes terms and conditions protecting and limiting use and disclosure of Confidential Information at least to the same extent as under this Agreement; (iv) such Third Party and its personnel have or will have executed prior to performing any such activities binding agreements to assign to Adimab all right, title and interest in and to any Patents and Know-How created, conceived or developed in connection with the performance of subcontracted activities; and (v) the written agreement between Adimab and any such Third Party pertaining to a Research Plan shall be consistent with the provisions of this Agreement.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5" w:right="479" w:bottom="1440" w:gutter="0" w:footer="0" w:header="0"/>
        </w:sectPr>
      </w:pPr>
    </w:p>
    <w:bookmarkStart w:id="491" w:name="page492"/>
    <w:bookmarkEnd w:id="491"/>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b w:val="1"/>
          <w:bCs w:val="1"/>
          <w:color w:val="auto"/>
        </w:rPr>
        <w:t>Project Management.</w:t>
      </w:r>
    </w:p>
    <w:p>
      <w:pPr>
        <w:spacing w:after="0" w:line="117" w:lineRule="exact"/>
        <w:rPr>
          <w:sz w:val="20"/>
          <w:szCs w:val="20"/>
          <w:color w:val="auto"/>
        </w:rPr>
      </w:pPr>
    </w:p>
    <w:p>
      <w:pPr>
        <w:ind w:right="20" w:firstLine="987"/>
        <w:spacing w:after="0" w:line="255" w:lineRule="auto"/>
        <w:tabs>
          <w:tab w:leader="none" w:pos="1381"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Scientific Research Committee</w:t>
      </w:r>
      <w:r>
        <w:rPr>
          <w:rFonts w:ascii="Times New Roman" w:cs="Times New Roman" w:eastAsia="Times New Roman" w:hAnsi="Times New Roman"/>
          <w:sz w:val="18"/>
          <w:szCs w:val="18"/>
          <w:color w:val="auto"/>
        </w:rPr>
        <w:t>. Promptly after agreement of the first Research Plan, the Parties will form a steering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 (the “</w:t>
      </w:r>
      <w:r>
        <w:rPr>
          <w:rFonts w:ascii="Times New Roman" w:cs="Times New Roman" w:eastAsia="Times New Roman" w:hAnsi="Times New Roman"/>
          <w:sz w:val="18"/>
          <w:szCs w:val="18"/>
          <w:b w:val="1"/>
          <w:bCs w:val="1"/>
          <w:color w:val="auto"/>
        </w:rPr>
        <w:t>Research Committee</w:t>
      </w:r>
      <w:r>
        <w:rPr>
          <w:rFonts w:ascii="Times New Roman" w:cs="Times New Roman" w:eastAsia="Times New Roman" w:hAnsi="Times New Roman"/>
          <w:sz w:val="18"/>
          <w:szCs w:val="18"/>
          <w:color w:val="auto"/>
        </w:rPr>
        <w:t>”) to oversee all Research Plans. The Research Committee’s role is to facilitate communication regarding progress in relation to a Research Program and the collaboration generally. Either Party may change its Research Committee members upon written notice to the other Party. The Research Committee may meet in person or by teleconference or videoconference. Each Party will designate one of its Research Committee members as co-chair. The Research Committee will meet from time to time promptly after the date of a written request by either Party. Additional members representing either Party may attend any Research Committee meeting. The co-chairs will be responsible for circulating, finalizing and agreeing upon minutes of each meeting within [***] after the meeting date. Upon expiration of the final Research Term, the Research Committee will be disbanded.</w:t>
      </w:r>
    </w:p>
    <w:p>
      <w:pPr>
        <w:spacing w:after="0" w:line="184"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Decision Making</w:t>
      </w:r>
      <w:r>
        <w:rPr>
          <w:rFonts w:ascii="Times New Roman" w:cs="Times New Roman" w:eastAsia="Times New Roman" w:hAnsi="Times New Roman"/>
          <w:sz w:val="18"/>
          <w:szCs w:val="18"/>
          <w:color w:val="auto"/>
        </w:rPr>
        <w:t>. The Research Committee will operate by consensus but solely within the limits specified in this Section 2.2</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Management</w:t>
      </w:r>
      <w:r>
        <w:rPr>
          <w:rFonts w:ascii="Times New Roman" w:cs="Times New Roman" w:eastAsia="Times New Roman" w:hAnsi="Times New Roman"/>
          <w:sz w:val="18"/>
          <w:szCs w:val="18"/>
          <w:color w:val="auto"/>
        </w:rPr>
        <w:t>), it being understood that if the co-chairs cannot agree with regard to a specific matter within their decision-making authority, no decision of the Research Committee will be deemed taken by the Research Committee. The Research Committee will have the limited authority to amend the Research Plans in a manner not substantially affecting resources required to perform a Party’s obligations hereunder. Except for the limited authority set forth in this Section 2.2 (</w:t>
      </w:r>
      <w:r>
        <w:rPr>
          <w:rFonts w:ascii="Times New Roman" w:cs="Times New Roman" w:eastAsia="Times New Roman" w:hAnsi="Times New Roman"/>
          <w:sz w:val="18"/>
          <w:szCs w:val="18"/>
          <w:i w:val="1"/>
          <w:iCs w:val="1"/>
          <w:color w:val="auto"/>
        </w:rPr>
        <w:t>Project Management</w:t>
      </w:r>
      <w:r>
        <w:rPr>
          <w:rFonts w:ascii="Times New Roman" w:cs="Times New Roman" w:eastAsia="Times New Roman" w:hAnsi="Times New Roman"/>
          <w:sz w:val="18"/>
          <w:szCs w:val="18"/>
          <w:color w:val="auto"/>
        </w:rPr>
        <w:t>), the Research Committee will not have any decision-making authority and in no event will the Research Committee have the power to amend or waive compliance with this Agreement.</w:t>
      </w:r>
    </w:p>
    <w:p>
      <w:pPr>
        <w:spacing w:after="0" w:line="183" w:lineRule="exact"/>
        <w:rPr>
          <w:sz w:val="20"/>
          <w:szCs w:val="20"/>
          <w:color w:val="auto"/>
        </w:rPr>
      </w:pPr>
    </w:p>
    <w:p>
      <w:pPr>
        <w:ind w:firstLine="987"/>
        <w:spacing w:after="0" w:line="282" w:lineRule="auto"/>
        <w:tabs>
          <w:tab w:leader="none" w:pos="1371" w:val="left"/>
        </w:tabs>
        <w:numPr>
          <w:ilvl w:val="0"/>
          <w:numId w:val="3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Alliance Managers</w:t>
      </w:r>
      <w:r>
        <w:rPr>
          <w:rFonts w:ascii="Times New Roman" w:cs="Times New Roman" w:eastAsia="Times New Roman" w:hAnsi="Times New Roman"/>
          <w:sz w:val="17"/>
          <w:szCs w:val="17"/>
          <w:color w:val="auto"/>
        </w:rPr>
        <w:t>. Each Party will designate in writing within thirty [***] after the Effective Date an “Alliance Manager” to be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primary contact for such Party. The Alliance Manager will be responsible for managing communications between the Parties with respect to each Research Program, including responsibility for scheduling teleconferences and coordinating Research Committee meetings. Alliance Managers may also be members of the Research Committee. In no event will the Alliance Managers have the power to amend or waive compliance with this Agreement.</w:t>
      </w:r>
    </w:p>
    <w:p>
      <w:pPr>
        <w:spacing w:after="0" w:line="31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Reports; Records.</w:t>
      </w:r>
    </w:p>
    <w:p>
      <w:pPr>
        <w:spacing w:after="0" w:line="117" w:lineRule="exact"/>
        <w:rPr>
          <w:sz w:val="20"/>
          <w:szCs w:val="20"/>
          <w:color w:val="auto"/>
        </w:rPr>
      </w:pPr>
    </w:p>
    <w:p>
      <w:pPr>
        <w:ind w:firstLine="987"/>
        <w:spacing w:after="0" w:line="256" w:lineRule="auto"/>
        <w:tabs>
          <w:tab w:leader="none" w:pos="1381"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Reports By Adimab</w:t>
      </w:r>
      <w:r>
        <w:rPr>
          <w:rFonts w:ascii="Times New Roman" w:cs="Times New Roman" w:eastAsia="Times New Roman" w:hAnsi="Times New Roman"/>
          <w:sz w:val="18"/>
          <w:szCs w:val="18"/>
          <w:color w:val="auto"/>
        </w:rPr>
        <w:t>. At the junctures specified in a Research Plan (but no less than a quarterly basis), Adimab will provide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to Cullinan regarding such Research Plan and such written reports shall be treated as Confidential Information of Cullinan. Adimab will maintain records, in reasonable scientific and technical detail and in a manner appropriate for patent purposes, which will be complete and accurate and will fully and properly reflect all work done and results achieved in the performance of a Research Program. All such records shall be kept in sufficient detail to identify and report those research activities conducted by Adimab, for a period of at least [***] following completion or termination of the Research Plan. Adimab shall provide Cullinan with at least [***] written notice prior to destroying such records. Cullinan shall have the right to audit any such record upon reasonable written notice to Adimab, and to request and receive copies of such record.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5" w:right="459" w:bottom="1440" w:gutter="0" w:footer="0" w:header="0"/>
        </w:sectPr>
      </w:pPr>
    </w:p>
    <w:bookmarkStart w:id="492" w:name="page493"/>
    <w:bookmarkEnd w:id="492"/>
    <w:p>
      <w:pPr>
        <w:ind w:left="-60" w:right="40" w:firstLine="987"/>
        <w:spacing w:after="0" w:line="255" w:lineRule="auto"/>
        <w:tabs>
          <w:tab w:leader="none" w:pos="1331"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Reports By Cullinan</w:t>
      </w:r>
      <w:r>
        <w:rPr>
          <w:rFonts w:ascii="Times New Roman" w:cs="Times New Roman" w:eastAsia="Times New Roman" w:hAnsi="Times New Roman"/>
          <w:sz w:val="18"/>
          <w:szCs w:val="18"/>
          <w:color w:val="auto"/>
        </w:rPr>
        <w:t>. For so long as Cullinan or any of its Affiliates, Licensees or sublicensees continue to generate, test,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or commercialize any Program-Benefited Antibodies, Cullinan will provide semi-annual written reports to Adimab which provide any data Cullinan is required to provide under a Research Plan and which will disclose updated information regarding the existence and stage of development of all Program-Benefited Antibodies since the date of the last report, and any advancements in the stage of development expected in the next year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from pre-clinical to Phase I Trial or from Phase III Trial to Marketing Approval) in the form attached hereto as Exhibit C. Such written report shall be Confidential Information of Cullinan. For clarity, the information reported by Cullinan after the Evaluation Term will be solely for the purpose of allowing Adimab to monitor the progress of development of Program-Benefited Antibodies and Products, and to monitor Cullinan’s obligations under this Agreement and for no other purpose.</w:t>
      </w:r>
    </w:p>
    <w:p>
      <w:pPr>
        <w:spacing w:after="0" w:line="333"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Adimab Materials.</w:t>
      </w:r>
    </w:p>
    <w:p>
      <w:pPr>
        <w:spacing w:after="0" w:line="117" w:lineRule="exact"/>
        <w:rPr>
          <w:sz w:val="20"/>
          <w:szCs w:val="20"/>
          <w:color w:val="auto"/>
        </w:rPr>
      </w:pPr>
    </w:p>
    <w:p>
      <w:pPr>
        <w:ind w:left="-60" w:firstLine="987"/>
        <w:spacing w:after="0" w:line="257" w:lineRule="auto"/>
        <w:tabs>
          <w:tab w:leader="none" w:pos="1321"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Adimab Materials</w:t>
      </w:r>
      <w:r>
        <w:rPr>
          <w:rFonts w:ascii="Times New Roman" w:cs="Times New Roman" w:eastAsia="Times New Roman" w:hAnsi="Times New Roman"/>
          <w:sz w:val="18"/>
          <w:szCs w:val="18"/>
          <w:color w:val="auto"/>
        </w:rPr>
        <w:t>. Prior to exercise of the applicable Option, Cullinan and its Affiliates, subject to Section 3.3 (</w:t>
      </w:r>
      <w:r>
        <w:rPr>
          <w:rFonts w:ascii="Times New Roman" w:cs="Times New Roman" w:eastAsia="Times New Roman" w:hAnsi="Times New Roman"/>
          <w:sz w:val="18"/>
          <w:szCs w:val="18"/>
          <w:i w:val="1"/>
          <w:iCs w:val="1"/>
          <w:color w:val="auto"/>
        </w:rPr>
        <w:t>Comparison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of Program-Benefited Antibodies to Other Antibodies</w:t>
      </w:r>
      <w:r>
        <w:rPr>
          <w:rFonts w:ascii="Times New Roman" w:cs="Times New Roman" w:eastAsia="Times New Roman" w:hAnsi="Times New Roman"/>
          <w:sz w:val="18"/>
          <w:szCs w:val="18"/>
          <w:color w:val="auto"/>
        </w:rPr>
        <w:t>), will only use Adimab Materials as is necessary to conduct research pursuant to Section 3.1(a)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Research Licenses to Cullinan</w:t>
      </w:r>
      <w:r>
        <w:rPr>
          <w:rFonts w:ascii="Times New Roman" w:cs="Times New Roman" w:eastAsia="Times New Roman" w:hAnsi="Times New Roman"/>
          <w:sz w:val="18"/>
          <w:szCs w:val="18"/>
          <w:color w:val="auto"/>
        </w:rPr>
        <w:t>) and to assess Program-Benefited Antibodies to determine whether to exercise the applicable Option. After exercise of the applicable Option, Cullinan, its Affiliates and Licensees will only use Adimab Materials to generate, research, develop, manufacture, and commercialize Optioned Antibodies and Products. Cullinan will not use Adimab Materials for any other purposes. Cullinan will not use physical embodiments of Adimab Materials delivered by Adimab to Cullinan in humans.</w:t>
      </w:r>
    </w:p>
    <w:p>
      <w:pPr>
        <w:spacing w:after="0" w:line="182" w:lineRule="exact"/>
        <w:rPr>
          <w:rFonts w:ascii="Times New Roman" w:cs="Times New Roman" w:eastAsia="Times New Roman" w:hAnsi="Times New Roman"/>
          <w:sz w:val="18"/>
          <w:szCs w:val="18"/>
          <w:b w:val="1"/>
          <w:bCs w:val="1"/>
          <w:color w:val="auto"/>
        </w:rPr>
      </w:pPr>
    </w:p>
    <w:p>
      <w:pPr>
        <w:ind w:left="-60" w:right="60" w:firstLine="987"/>
        <w:spacing w:after="0" w:line="254" w:lineRule="auto"/>
        <w:tabs>
          <w:tab w:leader="none" w:pos="1331"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Third Party Contractors and Collaborators</w:t>
      </w:r>
      <w:r>
        <w:rPr>
          <w:rFonts w:ascii="Times New Roman" w:cs="Times New Roman" w:eastAsia="Times New Roman" w:hAnsi="Times New Roman"/>
          <w:sz w:val="18"/>
          <w:szCs w:val="18"/>
          <w:color w:val="auto"/>
        </w:rPr>
        <w:t>. During the Research Term and the Evaluation Term, Cullinan may use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Contractors and provide Adimab Materials to Third Party Contractors and Third Party collaborators subject to a written agreement (a “</w:t>
      </w:r>
      <w:r>
        <w:rPr>
          <w:rFonts w:ascii="Times New Roman" w:cs="Times New Roman" w:eastAsia="Times New Roman" w:hAnsi="Times New Roman"/>
          <w:sz w:val="18"/>
          <w:szCs w:val="18"/>
          <w:b w:val="1"/>
          <w:bCs w:val="1"/>
          <w:color w:val="auto"/>
        </w:rPr>
        <w:t>Cullinan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Collaborator Agreement</w:t>
      </w:r>
      <w:r>
        <w:rPr>
          <w:rFonts w:ascii="Times New Roman" w:cs="Times New Roman" w:eastAsia="Times New Roman" w:hAnsi="Times New Roman"/>
          <w:sz w:val="18"/>
          <w:szCs w:val="18"/>
          <w:color w:val="auto"/>
        </w:rPr>
        <w:t>”) with Cullinan that includes rights or licenses with respect to a class of antibodies and excludes rights to specifically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identifiable Program-Benefited Antibodies (collectively, “</w:t>
      </w:r>
      <w:r>
        <w:rPr>
          <w:rFonts w:ascii="Times New Roman" w:cs="Times New Roman" w:eastAsia="Times New Roman" w:hAnsi="Times New Roman"/>
          <w:sz w:val="18"/>
          <w:szCs w:val="18"/>
          <w:b w:val="1"/>
          <w:bCs w:val="1"/>
          <w:color w:val="auto"/>
        </w:rPr>
        <w:t>Cullinan Collaborators</w:t>
      </w:r>
      <w:r>
        <w:rPr>
          <w:rFonts w:ascii="Times New Roman" w:cs="Times New Roman" w:eastAsia="Times New Roman" w:hAnsi="Times New Roman"/>
          <w:sz w:val="18"/>
          <w:szCs w:val="18"/>
          <w:color w:val="auto"/>
        </w:rPr>
        <w:t xml:space="preserve">”), in each case, to assist in assessing Program-Benefited Antibodies to determine whether to exercise an Option with respect to such Research Program;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such Evaluation Term expires and Cullinan has not exercised the applicable Option, then Cullinan will terminate any rights provided to such Third Party Contractors and Cullinan Collaborators to the extent that such rights pertain to Program-Benefited Antibodies in a manner such that such Third Party Contractors and Cullinan Collaborators do not obtain any rights to research, develop, manufacture, commercialize, or patent (or an option to obtain such rights) with respect to any applicable Non-Optioned Antibodies and each such Third Party Contractor and Cullinan Collaborator is bound to substantially similar confidentiality and non-use obligations as Cullinan is bound to under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5" w:right="519" w:bottom="1440" w:gutter="0" w:footer="0" w:header="0"/>
        </w:sectPr>
      </w:pPr>
    </w:p>
    <w:bookmarkStart w:id="493" w:name="page494"/>
    <w:bookmarkEnd w:id="493"/>
    <w:p>
      <w:pPr>
        <w:ind w:right="180" w:firstLine="987"/>
        <w:spacing w:after="0" w:line="262" w:lineRule="auto"/>
        <w:tabs>
          <w:tab w:leader="none" w:pos="1371"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Transfer to Third Parties Other than Third Party Contractors</w:t>
      </w:r>
      <w:r>
        <w:rPr>
          <w:rFonts w:ascii="Times New Roman" w:cs="Times New Roman" w:eastAsia="Times New Roman" w:hAnsi="Times New Roman"/>
          <w:sz w:val="18"/>
          <w:szCs w:val="18"/>
          <w:color w:val="auto"/>
        </w:rPr>
        <w:t>. During the Research Term or the Evaluation Term, Cullinan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provide Adimab Materials or Program-Benefited Antibodies to any Third Party except as permitted pursuant to Section 2.4(b) (</w:t>
      </w:r>
      <w:r>
        <w:rPr>
          <w:rFonts w:ascii="Times New Roman" w:cs="Times New Roman" w:eastAsia="Times New Roman" w:hAnsi="Times New Roman"/>
          <w:sz w:val="18"/>
          <w:szCs w:val="18"/>
          <w:i w:val="1"/>
          <w:iCs w:val="1"/>
          <w:color w:val="auto"/>
        </w:rPr>
        <w:t>Use of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Contractors and Collaborators</w:t>
      </w:r>
      <w:r>
        <w:rPr>
          <w:rFonts w:ascii="Times New Roman" w:cs="Times New Roman" w:eastAsia="Times New Roman" w:hAnsi="Times New Roman"/>
          <w:sz w:val="18"/>
          <w:szCs w:val="18"/>
          <w:color w:val="auto"/>
        </w:rPr>
        <w:t>). After expiration of the Evaluation Term, Cullinan will not provide any Non-Optioned Antibodies to any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57" w:lineRule="auto"/>
        <w:tabs>
          <w:tab w:leader="none" w:pos="1391"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Adimab Materials</w:t>
      </w:r>
      <w:r>
        <w:rPr>
          <w:rFonts w:ascii="Times New Roman" w:cs="Times New Roman" w:eastAsia="Times New Roman" w:hAnsi="Times New Roman"/>
          <w:sz w:val="18"/>
          <w:szCs w:val="18"/>
          <w:color w:val="auto"/>
        </w:rPr>
        <w:t>. Adimab retains title to the Adimab Materials, including all quantities of Program Antibodies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under a Research Program, including during the Evaluation Term. At the expiration of the Evaluation Term for a Research Program, Cullinan will return to Adimab or destroy any Program-Benefited Antibodies in its possession on expiration of the Evaluation Term for such Research Program (at Adimab’s direction). Notwithstanding the foregoing, should Cullinan exercise the Option for a given Research Program, all right, title and interest in and to those Program-Benefitted Antibodies (which upon exercise of the Option for such Target shall become Optioned Antibodies to that Target) shall belong to and vest in Cullinan.</w:t>
      </w:r>
    </w:p>
    <w:p>
      <w:pPr>
        <w:spacing w:after="0" w:line="18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2.5 Cullinan Materials</w:t>
      </w:r>
      <w:r>
        <w:rPr>
          <w:rFonts w:ascii="Times New Roman" w:cs="Times New Roman" w:eastAsia="Times New Roman" w:hAnsi="Times New Roman"/>
          <w:sz w:val="18"/>
          <w:szCs w:val="18"/>
          <w:color w:val="auto"/>
        </w:rPr>
        <w:t>. Adimab will use the Cullinan Materials, including Cullinan Proprietary Antibodies (but, for clarity, excluding Cullinan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Antibodies), solely to perform a Research Program for the applicable Target and for no other purpose. Cullinan retains title to the Cullinan Materials, including all quantities that it provides Adimab under a Research Program. Adimab will not transfer the Cullinan Materials to any Third Party accept in accordance with an agreed-upon Research Plan. Within thirty (30) days after the Research Term for such Target ends, Adimab will return to Cullinan or destroy any remaining Cullinan Materials (at Cullinan’s direction).</w:t>
      </w:r>
    </w:p>
    <w:p>
      <w:pPr>
        <w:spacing w:after="0" w:line="28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Certain Restrictions on the Use of Naïve Libraries and Antibodies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380" w:hanging="393"/>
        <w:spacing w:after="0"/>
        <w:tabs>
          <w:tab w:leader="none" w:pos="13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Funded Discovery</w:t>
      </w:r>
      <w:r>
        <w:rPr>
          <w:rFonts w:ascii="Times New Roman" w:cs="Times New Roman" w:eastAsia="Times New Roman" w:hAnsi="Times New Roman"/>
          <w:sz w:val="18"/>
          <w:szCs w:val="18"/>
          <w:color w:val="auto"/>
        </w:rPr>
        <w:t>. Whether for a Third Party or Adimab’s own account, Adimab will not: [***].</w:t>
      </w:r>
    </w:p>
    <w:p>
      <w:pPr>
        <w:spacing w:after="0" w:line="225"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Adimab Libraries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firstLine="1428"/>
        <w:spacing w:after="0" w:line="255" w:lineRule="auto"/>
        <w:tabs>
          <w:tab w:leader="none" w:pos="1782" w:val="left"/>
        </w:tabs>
        <w:numPr>
          <w:ilvl w:val="1"/>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Antibodies within Libraries. </w:t>
      </w:r>
      <w:r>
        <w:rPr>
          <w:rFonts w:ascii="Times New Roman" w:cs="Times New Roman" w:eastAsia="Times New Roman" w:hAnsi="Times New Roman"/>
          <w:sz w:val="18"/>
          <w:szCs w:val="18"/>
          <w:color w:val="auto"/>
        </w:rPr>
        <w:t>Adimab will not be required to physically remove from its libraries, or to prevent from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included in future libraries, any Program-Benefited Antibodies. Adimab hereby reserves the right for Adimab, and those deriving rights from Adimab, to include Program-Benefited Antibodies in antibody library(ies) transferred or licensed by Adimab to Third Parties (including the transfer of physical possession of samples of Program-Benefited Antibodies to a Third Party as part of the transfer of libraries in such transactions). For clarity, Third Party recipients of Adimab’s Platform Technology and/or Naïve Libraries are entitled to conduct any activity with respect to Program-Benefited Antibodies without contractual restriction from Adimab (although such activities may infringe Patents held by third parties, such as Patents covering a composition of matter held by Cullinan by virtue of the work performed by Adimab pursuant to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Adimab and each of its Affiliates shall maintain a complete and accurate list of all Naïve Libraries used as part of the Research Programs.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5" w:right="459" w:bottom="1440" w:gutter="0" w:footer="0" w:header="0"/>
        </w:sectPr>
      </w:pPr>
    </w:p>
    <w:bookmarkStart w:id="494" w:name="page495"/>
    <w:bookmarkEnd w:id="494"/>
    <w:p>
      <w:pPr>
        <w:ind w:left="4" w:right="120" w:firstLine="1428"/>
        <w:spacing w:after="0" w:line="257" w:lineRule="auto"/>
        <w:tabs>
          <w:tab w:leader="none" w:pos="1836"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Use of Adimab Platform Technology by Platform Transferees. </w:t>
      </w:r>
      <w:r>
        <w:rPr>
          <w:rFonts w:ascii="Times New Roman" w:cs="Times New Roman" w:eastAsia="Times New Roman" w:hAnsi="Times New Roman"/>
          <w:sz w:val="18"/>
          <w:szCs w:val="18"/>
          <w:color w:val="auto"/>
        </w:rPr>
        <w:t>Nothing herein will prevent Adimab from licensing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transferring some or all of the Adimab Platform Technology to a Third Party (including technical support in connection therewith) nor will anything herein require Adimab to in any way limit the use of the Adimab Platform Technology by Adimab or a Third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Adimab shall not provide any Third Party with any antibody library used in conducting any Research Program hereunder, and so long as Adimab complies with clauses (iii) and (iv) of Section 2.6(a) (</w:t>
      </w:r>
      <w:r>
        <w:rPr>
          <w:rFonts w:ascii="Times New Roman" w:cs="Times New Roman" w:eastAsia="Times New Roman" w:hAnsi="Times New Roman"/>
          <w:sz w:val="18"/>
          <w:szCs w:val="18"/>
          <w:i w:val="1"/>
          <w:iCs w:val="1"/>
          <w:color w:val="auto"/>
        </w:rPr>
        <w:t>Funded Discovery</w:t>
      </w:r>
      <w:r>
        <w:rPr>
          <w:rFonts w:ascii="Times New Roman" w:cs="Times New Roman" w:eastAsia="Times New Roman" w:hAnsi="Times New Roman"/>
          <w:sz w:val="18"/>
          <w:szCs w:val="18"/>
          <w:color w:val="auto"/>
        </w:rPr>
        <w:t>), and no such license or transfer shall in any way limit the licenses granted in Sections 3.1(a) (</w:t>
      </w:r>
      <w:r>
        <w:rPr>
          <w:rFonts w:ascii="Times New Roman" w:cs="Times New Roman" w:eastAsia="Times New Roman" w:hAnsi="Times New Roman"/>
          <w:sz w:val="18"/>
          <w:szCs w:val="18"/>
          <w:i w:val="1"/>
          <w:iCs w:val="1"/>
          <w:color w:val="auto"/>
        </w:rPr>
        <w:t>Research Liense to Cullinan</w:t>
      </w:r>
      <w:r>
        <w:rPr>
          <w:rFonts w:ascii="Times New Roman" w:cs="Times New Roman" w:eastAsia="Times New Roman" w:hAnsi="Times New Roman"/>
          <w:sz w:val="18"/>
          <w:szCs w:val="18"/>
          <w:color w:val="auto"/>
        </w:rPr>
        <w:t>) and 3.2(b)(ii)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LICENSES; OPTION; DEVELOPMENT &amp; COMMERCIALIZATION</w:t>
      </w:r>
    </w:p>
    <w:p>
      <w:pPr>
        <w:spacing w:after="0" w:line="252"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Mutual Research Licenses.</w:t>
      </w:r>
    </w:p>
    <w:p>
      <w:pPr>
        <w:spacing w:after="0" w:line="117" w:lineRule="exact"/>
        <w:rPr>
          <w:sz w:val="20"/>
          <w:szCs w:val="20"/>
          <w:color w:val="auto"/>
        </w:rPr>
      </w:pPr>
    </w:p>
    <w:p>
      <w:pPr>
        <w:ind w:left="1384" w:hanging="393"/>
        <w:spacing w:after="0"/>
        <w:tabs>
          <w:tab w:leader="none" w:pos="1384" w:val="left"/>
        </w:tabs>
        <w:numPr>
          <w:ilvl w:val="1"/>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Licenses to Cullinan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60" w:firstLine="1428"/>
        <w:spacing w:after="0" w:line="269" w:lineRule="auto"/>
        <w:tabs>
          <w:tab w:leader="none" w:pos="1786" w:val="left"/>
        </w:tabs>
        <w:numPr>
          <w:ilvl w:val="2"/>
          <w:numId w:val="3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Antibodies Generated in a Research Program</w:t>
      </w:r>
      <w:r>
        <w:rPr>
          <w:rFonts w:ascii="Times New Roman" w:cs="Times New Roman" w:eastAsia="Times New Roman" w:hAnsi="Times New Roman"/>
          <w:sz w:val="17"/>
          <w:szCs w:val="17"/>
          <w:color w:val="auto"/>
        </w:rPr>
        <w:t>. Subject to Section 3.3 (</w:t>
      </w:r>
      <w:r>
        <w:rPr>
          <w:rFonts w:ascii="Times New Roman" w:cs="Times New Roman" w:eastAsia="Times New Roman" w:hAnsi="Times New Roman"/>
          <w:sz w:val="17"/>
          <w:szCs w:val="17"/>
          <w:i w:val="1"/>
          <w:iCs w:val="1"/>
          <w:color w:val="auto"/>
        </w:rPr>
        <w:t>Comparison of Program-Benefited Antibodies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Other Antibodies</w:t>
      </w:r>
      <w:r>
        <w:rPr>
          <w:rFonts w:ascii="Times New Roman" w:cs="Times New Roman" w:eastAsia="Times New Roman" w:hAnsi="Times New Roman"/>
          <w:sz w:val="17"/>
          <w:szCs w:val="17"/>
          <w:color w:val="auto"/>
        </w:rPr>
        <w:t>), during the Research Term and Evaluation Term for a Research Program, Adimab, on behalf of itself and its Affiliates, hereby grants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Cullinan and its Affiliates a worldwide, non-exclusive, license under the Adimab CD3 IP, Adimab Platform Patents, Adimab Platform Technology, Adimab Platform Technology Improvements, Adimab’s and its Affiliates’ interest in Program Inventions and Program Patents, and Program Antibody Patents to perform research in the Field for the purposes of performing Cullinan’s responsibilities and exercising Cullinan’s rights under this Agreement and a Research Plan hereunder and to evaluate Program Antibodies for purposes of determining whether to exercise an 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w:t>
      </w:r>
    </w:p>
    <w:p>
      <w:pPr>
        <w:spacing w:after="0" w:line="3" w:lineRule="exact"/>
        <w:rPr>
          <w:rFonts w:ascii="Times New Roman" w:cs="Times New Roman" w:eastAsia="Times New Roman" w:hAnsi="Times New Roman"/>
          <w:sz w:val="17"/>
          <w:szCs w:val="17"/>
          <w:b w:val="1"/>
          <w:bCs w:val="1"/>
          <w:color w:val="auto"/>
        </w:rPr>
      </w:pPr>
    </w:p>
    <w:p>
      <w:pPr>
        <w:ind w:left="224" w:hanging="224"/>
        <w:spacing w:after="0"/>
        <w:tabs>
          <w:tab w:leader="none" w:pos="22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license is sublicensable solely to Third Party Contractors and Cullinan Collaborators and (ii) such license excludes Excluded Technology.</w:t>
      </w:r>
    </w:p>
    <w:p>
      <w:pPr>
        <w:spacing w:after="0" w:line="202" w:lineRule="exact"/>
        <w:rPr>
          <w:rFonts w:ascii="Times New Roman" w:cs="Times New Roman" w:eastAsia="Times New Roman" w:hAnsi="Times New Roman"/>
          <w:sz w:val="18"/>
          <w:szCs w:val="18"/>
          <w:color w:val="auto"/>
        </w:rPr>
      </w:pPr>
    </w:p>
    <w:p>
      <w:pPr>
        <w:ind w:left="4" w:right="220" w:firstLine="1428"/>
        <w:spacing w:after="0" w:line="259" w:lineRule="auto"/>
        <w:tabs>
          <w:tab w:leader="none" w:pos="1836" w:val="left"/>
        </w:tabs>
        <w:numPr>
          <w:ilvl w:val="2"/>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Antibodies Generated by Cullinan During the CD3 License Term</w:t>
      </w:r>
      <w:r>
        <w:rPr>
          <w:rFonts w:ascii="Times New Roman" w:cs="Times New Roman" w:eastAsia="Times New Roman" w:hAnsi="Times New Roman"/>
          <w:sz w:val="18"/>
          <w:szCs w:val="18"/>
          <w:color w:val="auto"/>
        </w:rPr>
        <w:t>. During the CD3 License Term, Adimab hereby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Cullinan a worldwide, non-exclusive, license under the Adimab CD3 IP to perform research in the Field for the purposes of performing Cullinan’s responsibilities and exercising Cullinan’s rights under this Agreement and a Research Plan hereunder and evaluating Adimab CD3 Antibodies for purposes of creating CD3 Products and determining whether to exercise an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such license is sublicensable solely to Third Party Contractors and Cullinan Collaborators and (ii) such license excludes Excluded Technology.</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78" w:lineRule="auto"/>
        <w:tabs>
          <w:tab w:leader="none" w:pos="1395" w:val="left"/>
        </w:tabs>
        <w:numPr>
          <w:ilvl w:val="1"/>
          <w:numId w:val="3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Research License to Adimab</w:t>
      </w:r>
      <w:r>
        <w:rPr>
          <w:rFonts w:ascii="Times New Roman" w:cs="Times New Roman" w:eastAsia="Times New Roman" w:hAnsi="Times New Roman"/>
          <w:sz w:val="17"/>
          <w:szCs w:val="17"/>
          <w:color w:val="auto"/>
        </w:rPr>
        <w:t>. During the Research Term and Evaluation Term for a Research Program, Cullinan hereby grants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Adimab a non-exclusive, non-sublicensable (except to permitted contractors of Adimab in accordance with Section 2.1(b) (</w:t>
      </w:r>
      <w:r>
        <w:rPr>
          <w:rFonts w:ascii="Times New Roman" w:cs="Times New Roman" w:eastAsia="Times New Roman" w:hAnsi="Times New Roman"/>
          <w:sz w:val="17"/>
          <w:szCs w:val="17"/>
          <w:i w:val="1"/>
          <w:iCs w:val="1"/>
          <w:color w:val="auto"/>
        </w:rPr>
        <w:t>Conduct of Research</w:t>
      </w:r>
      <w:r>
        <w:rPr>
          <w:rFonts w:ascii="Times New Roman" w:cs="Times New Roman" w:eastAsia="Times New Roman" w:hAnsi="Times New Roman"/>
          <w:sz w:val="17"/>
          <w:szCs w:val="17"/>
          <w:color w:val="auto"/>
        </w:rPr>
        <w:t>)), non-transferable license with respect to such Research Program under all Patents and Know-How Controlled by Cullinan which Cover or relate to the applicable Target subject to such Research Program (including any that so relate by claiming antibodies directed to such Target or a mechanism of action via the Target) or any Cullinan Materials, solely to perform Adimab’s responsibilities under the applicable Research Plan and for no other purpose.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5" w:right="459" w:bottom="1440" w:gutter="0" w:footer="0" w:header="0"/>
        </w:sectPr>
      </w:pPr>
    </w:p>
    <w:bookmarkStart w:id="495" w:name="page496"/>
    <w:bookmarkEnd w:id="495"/>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7"/>
          <w:szCs w:val="17"/>
          <w:b w:val="1"/>
          <w:bCs w:val="1"/>
          <w:color w:val="auto"/>
        </w:rPr>
        <w:t>Commercial Rights.</w:t>
      </w:r>
    </w:p>
    <w:p>
      <w:pPr>
        <w:spacing w:after="0" w:line="117" w:lineRule="exact"/>
        <w:rPr>
          <w:sz w:val="20"/>
          <w:szCs w:val="20"/>
          <w:color w:val="auto"/>
        </w:rPr>
      </w:pPr>
    </w:p>
    <w:p>
      <w:pPr>
        <w:ind w:left="1384" w:hanging="393"/>
        <w:spacing w:after="0"/>
        <w:tabs>
          <w:tab w:leader="none" w:pos="1384" w:val="left"/>
        </w:tabs>
        <w:numPr>
          <w:ilvl w:val="1"/>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20" w:firstLine="1428"/>
        <w:spacing w:after="0" w:line="257" w:lineRule="auto"/>
        <w:tabs>
          <w:tab w:leader="none" w:pos="1786" w:val="left"/>
        </w:tabs>
        <w:numPr>
          <w:ilvl w:val="2"/>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Exercise for Research Programs</w:t>
      </w:r>
      <w:r>
        <w:rPr>
          <w:rFonts w:ascii="Times New Roman" w:cs="Times New Roman" w:eastAsia="Times New Roman" w:hAnsi="Times New Roman"/>
          <w:sz w:val="18"/>
          <w:szCs w:val="18"/>
          <w:color w:val="auto"/>
        </w:rPr>
        <w:t>. On a Research Program-by-Research Program basis, Adimab hereby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Cullinan the exclusive option (a “</w:t>
      </w:r>
      <w:r>
        <w:rPr>
          <w:rFonts w:ascii="Times New Roman" w:cs="Times New Roman" w:eastAsia="Times New Roman" w:hAnsi="Times New Roman"/>
          <w:sz w:val="18"/>
          <w:szCs w:val="18"/>
          <w:b w:val="1"/>
          <w:bCs w:val="1"/>
          <w:color w:val="auto"/>
        </w:rPr>
        <w:t>Program Antibody Option</w:t>
      </w:r>
      <w:r>
        <w:rPr>
          <w:rFonts w:ascii="Times New Roman" w:cs="Times New Roman" w:eastAsia="Times New Roman" w:hAnsi="Times New Roman"/>
          <w:sz w:val="18"/>
          <w:szCs w:val="18"/>
          <w:color w:val="auto"/>
        </w:rPr>
        <w:t>”) to obtain the licenses and assignments described in Section 3.2(b) (</w:t>
      </w:r>
      <w:r>
        <w:rPr>
          <w:rFonts w:ascii="Times New Roman" w:cs="Times New Roman" w:eastAsia="Times New Roman" w:hAnsi="Times New Roman"/>
          <w:sz w:val="18"/>
          <w:szCs w:val="18"/>
          <w:i w:val="1"/>
          <w:iCs w:val="1"/>
          <w:color w:val="auto"/>
        </w:rPr>
        <w:t>Development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License and Assignment</w:t>
      </w:r>
      <w:r>
        <w:rPr>
          <w:rFonts w:ascii="Times New Roman" w:cs="Times New Roman" w:eastAsia="Times New Roman" w:hAnsi="Times New Roman"/>
          <w:sz w:val="18"/>
          <w:szCs w:val="18"/>
          <w:color w:val="auto"/>
        </w:rPr>
        <w:t>) for Optioned Antibodies (including CD3 Products) discovered during a Research Program, exercisable,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Cullinan’s sole discretion, on or before the expiry of the applicable Evaluation Term by written notice to Adimab accompanied by payment of the Option Fee for such Research Program. On a Research Program-by-Research Program basis, Cullinan will, in its written notice to exercise the Option, specify up to twenty (20) Program Antibodies as Optioned Antibodies.</w:t>
      </w:r>
    </w:p>
    <w:p>
      <w:pPr>
        <w:spacing w:after="0" w:line="182" w:lineRule="exact"/>
        <w:rPr>
          <w:rFonts w:ascii="Times New Roman" w:cs="Times New Roman" w:eastAsia="Times New Roman" w:hAnsi="Times New Roman"/>
          <w:sz w:val="18"/>
          <w:szCs w:val="18"/>
          <w:b w:val="1"/>
          <w:bCs w:val="1"/>
          <w:color w:val="auto"/>
        </w:rPr>
      </w:pPr>
    </w:p>
    <w:p>
      <w:pPr>
        <w:ind w:left="4" w:right="260" w:firstLine="1428"/>
        <w:spacing w:after="0" w:line="275" w:lineRule="auto"/>
        <w:tabs>
          <w:tab w:leader="none" w:pos="1836" w:val="left"/>
        </w:tabs>
        <w:numPr>
          <w:ilvl w:val="2"/>
          <w:numId w:val="3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 Exercise Under the CD3 License</w:t>
      </w:r>
      <w:r>
        <w:rPr>
          <w:rFonts w:ascii="Times New Roman" w:cs="Times New Roman" w:eastAsia="Times New Roman" w:hAnsi="Times New Roman"/>
          <w:sz w:val="17"/>
          <w:szCs w:val="17"/>
          <w:color w:val="auto"/>
        </w:rPr>
        <w:t>. On a CD3 Product-by-CD3 Product basis, Adimab hereby grants Cullinan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exclusive option (a “</w:t>
      </w:r>
      <w:r>
        <w:rPr>
          <w:rFonts w:ascii="Times New Roman" w:cs="Times New Roman" w:eastAsia="Times New Roman" w:hAnsi="Times New Roman"/>
          <w:sz w:val="17"/>
          <w:szCs w:val="17"/>
          <w:b w:val="1"/>
          <w:bCs w:val="1"/>
          <w:color w:val="auto"/>
        </w:rPr>
        <w:t>CD3 License Option</w:t>
      </w:r>
      <w:r>
        <w:rPr>
          <w:rFonts w:ascii="Times New Roman" w:cs="Times New Roman" w:eastAsia="Times New Roman" w:hAnsi="Times New Roman"/>
          <w:sz w:val="17"/>
          <w:szCs w:val="17"/>
          <w:color w:val="auto"/>
        </w:rPr>
        <w:t>”) to obtain the licenses and assignments described in Section 3.2(b) (</w:t>
      </w:r>
      <w:r>
        <w:rPr>
          <w:rFonts w:ascii="Times New Roman" w:cs="Times New Roman" w:eastAsia="Times New Roman" w:hAnsi="Times New Roman"/>
          <w:sz w:val="17"/>
          <w:szCs w:val="17"/>
          <w:i w:val="1"/>
          <w:iCs w:val="1"/>
          <w:color w:val="auto"/>
        </w:rPr>
        <w:t>Development and Commercialization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License and Assignment</w:t>
      </w:r>
      <w:r>
        <w:rPr>
          <w:rFonts w:ascii="Times New Roman" w:cs="Times New Roman" w:eastAsia="Times New Roman" w:hAnsi="Times New Roman"/>
          <w:sz w:val="17"/>
          <w:szCs w:val="17"/>
          <w:color w:val="auto"/>
        </w:rPr>
        <w:t>) for CD3 Products discovered by Cullinan pursuant to the CD3 License during the CD3 License Term. Such CD3 License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is exercisable, in Cullinan’s sole discretion, by written notice to Adimab at any time prior to the commencement of IND-enabling toxicology studies with respect to such CD3 Product, and such exercise notice will be accompanied by payment of the Option Fee. Cullinan may, in its written notice to exercise the CD3 License Option, specify up to [***] CD3 Products against the same Target combination as Optioned Antibodies.</w:t>
      </w:r>
    </w:p>
    <w:p>
      <w:pPr>
        <w:spacing w:after="0" w:line="168" w:lineRule="exact"/>
        <w:rPr>
          <w:rFonts w:ascii="Times New Roman" w:cs="Times New Roman" w:eastAsia="Times New Roman" w:hAnsi="Times New Roman"/>
          <w:sz w:val="17"/>
          <w:szCs w:val="17"/>
          <w:b w:val="1"/>
          <w:bCs w:val="1"/>
          <w:color w:val="auto"/>
        </w:rPr>
      </w:pPr>
    </w:p>
    <w:p>
      <w:pPr>
        <w:ind w:left="4" w:right="80" w:firstLine="1428"/>
        <w:spacing w:after="0" w:line="257" w:lineRule="auto"/>
        <w:tabs>
          <w:tab w:leader="none" w:pos="1886" w:val="left"/>
        </w:tabs>
        <w:numPr>
          <w:ilvl w:val="2"/>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Optioned Antibodies</w:t>
      </w:r>
      <w:r>
        <w:rPr>
          <w:rFonts w:ascii="Times New Roman" w:cs="Times New Roman" w:eastAsia="Times New Roman" w:hAnsi="Times New Roman"/>
          <w:sz w:val="18"/>
          <w:szCs w:val="18"/>
          <w:color w:val="auto"/>
        </w:rPr>
        <w:t>. Notwithstanding the limitation to [***] Program Antibodies set forth in Section 3.2(a)(i)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Exercise for Research Programs</w:t>
      </w:r>
      <w:r>
        <w:rPr>
          <w:rFonts w:ascii="Times New Roman" w:cs="Times New Roman" w:eastAsia="Times New Roman" w:hAnsi="Times New Roman"/>
          <w:sz w:val="18"/>
          <w:szCs w:val="18"/>
          <w:color w:val="auto"/>
        </w:rPr>
        <w:t>) with respect to each Research Program and/or [***] CD3 Products under Section 3.2(a)(ii) (</w:t>
      </w:r>
      <w:r>
        <w:rPr>
          <w:rFonts w:ascii="Times New Roman" w:cs="Times New Roman" w:eastAsia="Times New Roman" w:hAnsi="Times New Roman"/>
          <w:sz w:val="18"/>
          <w:szCs w:val="18"/>
          <w:i w:val="1"/>
          <w:iCs w:val="1"/>
          <w:color w:val="auto"/>
        </w:rPr>
        <w:t>Option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 the CD3 License</w:t>
      </w:r>
      <w:r>
        <w:rPr>
          <w:rFonts w:ascii="Times New Roman" w:cs="Times New Roman" w:eastAsia="Times New Roman" w:hAnsi="Times New Roman"/>
          <w:sz w:val="18"/>
          <w:szCs w:val="18"/>
          <w:color w:val="auto"/>
        </w:rPr>
        <w:t>) with respect to the same Target, Cullinan, in its sole discretion, may elect to specify more than [***] Program Antibodies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corresponding Research Program or CD3 Products with respect to the corresponding Target as Optioned Antibodies, and if Cullinan so elects, the Option Fee with respect to such Research Program will be increased by [***] for each additional Program Antibody or CD3 Product selected by Cullinan.</w:t>
      </w:r>
    </w:p>
    <w:p>
      <w:pPr>
        <w:spacing w:after="0" w:line="182" w:lineRule="exact"/>
        <w:rPr>
          <w:rFonts w:ascii="Times New Roman" w:cs="Times New Roman" w:eastAsia="Times New Roman" w:hAnsi="Times New Roman"/>
          <w:sz w:val="18"/>
          <w:szCs w:val="18"/>
          <w:b w:val="1"/>
          <w:bCs w:val="1"/>
          <w:color w:val="auto"/>
        </w:rPr>
      </w:pPr>
    </w:p>
    <w:p>
      <w:pPr>
        <w:ind w:left="4" w:firstLine="1428"/>
        <w:spacing w:after="0" w:line="269" w:lineRule="auto"/>
        <w:tabs>
          <w:tab w:leader="none" w:pos="1876" w:val="left"/>
        </w:tabs>
        <w:numPr>
          <w:ilvl w:val="2"/>
          <w:numId w:val="3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 Exercise for Multispecifics other than CD3 Products</w:t>
      </w:r>
      <w:r>
        <w:rPr>
          <w:rFonts w:ascii="Times New Roman" w:cs="Times New Roman" w:eastAsia="Times New Roman" w:hAnsi="Times New Roman"/>
          <w:sz w:val="17"/>
          <w:szCs w:val="17"/>
          <w:color w:val="auto"/>
        </w:rPr>
        <w:t>. If one or more Research Programs involve Program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Antibodies against more than one Target or combination of Targets, then an Option must be exercised for each Target or combination of Targets;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aggregate Option Fee will not exceed the aggregate Option Fee that would have been paid if the Option had been exercised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Research Programs for each individual Target. By way of example, in the event that Adimab delivers Program Antibodies against Target A, Program Antibodies against Target B, and bispecific Program Antibodies against both Targets A and B, then Cullinan would have the opportunity (but not the obligation), in its sole discretion, to exercise Options with respect to (i) up to [***] (or more) Program Antibodies against Target A, (ii) up to</w:t>
      </w:r>
    </w:p>
    <w:p>
      <w:pPr>
        <w:spacing w:after="0" w:line="3" w:lineRule="exact"/>
        <w:rPr>
          <w:rFonts w:ascii="Times New Roman" w:cs="Times New Roman" w:eastAsia="Times New Roman" w:hAnsi="Times New Roman"/>
          <w:sz w:val="17"/>
          <w:szCs w:val="17"/>
          <w:b w:val="1"/>
          <w:bCs w:val="1"/>
          <w:color w:val="auto"/>
        </w:rPr>
      </w:pPr>
    </w:p>
    <w:p>
      <w:pPr>
        <w:ind w:left="444" w:hanging="444"/>
        <w:spacing w:after="0"/>
        <w:tabs>
          <w:tab w:leader="none" w:pos="44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more) Program Antibodies against Target B, or (iii) up to [***] (or more) bispecific Program Antibodies against Targets A and B; </w:t>
      </w:r>
      <w:r>
        <w:rPr>
          <w:rFonts w:ascii="Times New Roman" w:cs="Times New Roman" w:eastAsia="Times New Roman" w:hAnsi="Times New Roman"/>
          <w:sz w:val="18"/>
          <w:szCs w:val="18"/>
          <w:i w:val="1"/>
          <w:iCs w:val="1"/>
          <w:color w:val="auto"/>
        </w:rPr>
        <w:t>provided,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5" w:right="459" w:bottom="1440" w:gutter="0" w:footer="0" w:header="0"/>
        </w:sectPr>
      </w:pPr>
    </w:p>
    <w:bookmarkStart w:id="496" w:name="page497"/>
    <w:bookmarkEnd w:id="496"/>
    <w:p>
      <w:pPr>
        <w:ind w:left="4" w:right="140"/>
        <w:spacing w:after="0" w:line="26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however</w:t>
      </w:r>
      <w:r>
        <w:rPr>
          <w:rFonts w:ascii="Times New Roman" w:cs="Times New Roman" w:eastAsia="Times New Roman" w:hAnsi="Times New Roman"/>
          <w:sz w:val="18"/>
          <w:szCs w:val="18"/>
          <w:color w:val="auto"/>
        </w:rPr>
        <w:t>, that in the event that Cullinan exercised the Options for up to [***] (or more) Program Antibodies against Target A pursuant to clause (i)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 (or more) Program Antibodies against Target B pursuant to clause (ii), then no additional Option Fee would be due pursuant to clause</w:t>
      </w:r>
    </w:p>
    <w:p>
      <w:pPr>
        <w:ind w:left="4" w:right="300" w:hanging="4"/>
        <w:spacing w:after="0" w:line="260" w:lineRule="auto"/>
        <w:tabs>
          <w:tab w:leader="none" w:pos="31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exercise of the Option for bispecific antibodies combining Program Antibodies for which the Options were exercised pursuant to clauses (i) and (ii).</w:t>
      </w:r>
    </w:p>
    <w:p>
      <w:pPr>
        <w:spacing w:after="0" w:line="177" w:lineRule="exact"/>
        <w:rPr>
          <w:rFonts w:ascii="Times New Roman" w:cs="Times New Roman" w:eastAsia="Times New Roman" w:hAnsi="Times New Roman"/>
          <w:sz w:val="18"/>
          <w:szCs w:val="18"/>
          <w:color w:val="auto"/>
        </w:rPr>
      </w:pPr>
    </w:p>
    <w:p>
      <w:pPr>
        <w:jc w:val="both"/>
        <w:ind w:left="4" w:right="20" w:firstLine="1428"/>
        <w:spacing w:after="0" w:line="262" w:lineRule="auto"/>
        <w:tabs>
          <w:tab w:leader="none" w:pos="1826" w:val="left"/>
        </w:tabs>
        <w:numPr>
          <w:ilvl w:val="2"/>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Disclosed Antibody Sequences</w:t>
      </w:r>
      <w:r>
        <w:rPr>
          <w:rFonts w:ascii="Times New Roman" w:cs="Times New Roman" w:eastAsia="Times New Roman" w:hAnsi="Times New Roman"/>
          <w:sz w:val="18"/>
          <w:szCs w:val="18"/>
          <w:color w:val="auto"/>
        </w:rPr>
        <w:t>. Notwithstanding the provisions of Section 5.4(c) (</w:t>
      </w:r>
      <w:r>
        <w:rPr>
          <w:rFonts w:ascii="Times New Roman" w:cs="Times New Roman" w:eastAsia="Times New Roman" w:hAnsi="Times New Roman"/>
          <w:sz w:val="18"/>
          <w:szCs w:val="18"/>
          <w:i w:val="1"/>
          <w:iCs w:val="1"/>
          <w:color w:val="auto"/>
        </w:rPr>
        <w:t>Program Antibody Patents</w:t>
      </w:r>
      <w:r>
        <w:rPr>
          <w:rFonts w:ascii="Times New Roman" w:cs="Times New Roman" w:eastAsia="Times New Roman" w:hAnsi="Times New Roman"/>
          <w:sz w:val="18"/>
          <w:szCs w:val="18"/>
          <w:color w:val="auto"/>
        </w:rPr>
        <w:t>),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Cullinan claims the sequences of one or more Program Antibodies discovered in a Research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the publication of a Program Patent), then the Option will be deemed to have been exercised with respect to such Research Program, the Program Antibodies for which the sequences were disclosed will be Optioned Antibodies, and Cullinan will promptly pay the applicable Option Fee.</w:t>
      </w:r>
    </w:p>
    <w:p>
      <w:pPr>
        <w:spacing w:after="0" w:line="284" w:lineRule="exact"/>
        <w:rPr>
          <w:rFonts w:ascii="Times New Roman" w:cs="Times New Roman" w:eastAsia="Times New Roman" w:hAnsi="Times New Roman"/>
          <w:sz w:val="18"/>
          <w:szCs w:val="18"/>
          <w:b w:val="1"/>
          <w:bCs w:val="1"/>
          <w:color w:val="auto"/>
        </w:rPr>
      </w:pPr>
    </w:p>
    <w:p>
      <w:pPr>
        <w:ind w:left="1384" w:hanging="393"/>
        <w:spacing w:after="0"/>
        <w:tabs>
          <w:tab w:leader="none" w:pos="1384" w:val="left"/>
        </w:tabs>
        <w:numPr>
          <w:ilvl w:val="1"/>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and Commercialization License and Assignment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1428"/>
        <w:spacing w:after="0" w:line="262" w:lineRule="auto"/>
        <w:tabs>
          <w:tab w:leader="none" w:pos="1786" w:val="left"/>
        </w:tabs>
        <w:numPr>
          <w:ilvl w:val="2"/>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Effective on Cullinan’s exercise of the Option, Adimab and its Affiliates hereby assign to Cullinan,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this Agreement, all right, title and interest in and to all applicable Optioned Program Antibody Patents, the transfer of which shall occur automatically without any further action required by either Party or any of their respective Affiliates. Notwithstanding the foregoing, Adimab agrees, on behalf of itself and its Affiliates, to cooperate in executing related confirmatory assignments upon the reasonable request of Cullinan.</w:t>
      </w:r>
    </w:p>
    <w:p>
      <w:pPr>
        <w:spacing w:after="0" w:line="176" w:lineRule="exact"/>
        <w:rPr>
          <w:sz w:val="20"/>
          <w:szCs w:val="20"/>
          <w:color w:val="auto"/>
        </w:rPr>
      </w:pPr>
    </w:p>
    <w:p>
      <w:pPr>
        <w:ind w:left="4" w:right="60" w:firstLine="1428"/>
        <w:spacing w:after="0" w:line="257" w:lineRule="auto"/>
        <w:tabs>
          <w:tab w:leader="none" w:pos="1836"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Subject to Section 3.3 (</w:t>
      </w:r>
      <w:r>
        <w:rPr>
          <w:rFonts w:ascii="Times New Roman" w:cs="Times New Roman" w:eastAsia="Times New Roman" w:hAnsi="Times New Roman"/>
          <w:sz w:val="18"/>
          <w:szCs w:val="18"/>
          <w:i w:val="1"/>
          <w:iCs w:val="1"/>
          <w:color w:val="auto"/>
        </w:rPr>
        <w:t>Comparison of Program-Benefited Antibodies to Other Antibodies</w:t>
      </w:r>
      <w:r>
        <w:rPr>
          <w:rFonts w:ascii="Times New Roman" w:cs="Times New Roman" w:eastAsia="Times New Roman" w:hAnsi="Times New Roman"/>
          <w:sz w:val="18"/>
          <w:szCs w:val="18"/>
          <w:color w:val="auto"/>
        </w:rPr>
        <w:t>), effective on Cullinan’s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the Option, Adimab and its Affiliates hereby grant to Cullinan and its Affiliates, for each Research Program, a worldwide, royalty-free, fully paid-up, non-exclusive, sublicensable through multiple tiers (solely as provided in Section 3.2(b)(iii) (</w:t>
      </w:r>
      <w:r>
        <w:rPr>
          <w:rFonts w:ascii="Times New Roman" w:cs="Times New Roman" w:eastAsia="Times New Roman" w:hAnsi="Times New Roman"/>
          <w:sz w:val="18"/>
          <w:szCs w:val="18"/>
          <w:i w:val="1"/>
          <w:iCs w:val="1"/>
          <w:color w:val="auto"/>
        </w:rPr>
        <w:t>Licensees</w:t>
      </w:r>
      <w:r>
        <w:rPr>
          <w:rFonts w:ascii="Times New Roman" w:cs="Times New Roman" w:eastAsia="Times New Roman" w:hAnsi="Times New Roman"/>
          <w:sz w:val="18"/>
          <w:szCs w:val="18"/>
          <w:color w:val="auto"/>
        </w:rPr>
        <w:t xml:space="preserve">)) license under the Adimab CD3 IP, Adimab Platform Patents, Adimab Platform Technology, Adimab Platform Technology Improvements, and Adimab’s and its Affiliates’ interest in Program Inventions and Program Patents, in the Field, to research, develop, have developed, make, have made, use, sell, offer to sell, import and export Optioned Antibodies and Products during the Term;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license excludes Excluded Technology.</w:t>
      </w:r>
    </w:p>
    <w:p>
      <w:pPr>
        <w:spacing w:after="0" w:line="182" w:lineRule="exact"/>
        <w:rPr>
          <w:rFonts w:ascii="Times New Roman" w:cs="Times New Roman" w:eastAsia="Times New Roman" w:hAnsi="Times New Roman"/>
          <w:sz w:val="18"/>
          <w:szCs w:val="18"/>
          <w:b w:val="1"/>
          <w:bCs w:val="1"/>
          <w:color w:val="auto"/>
        </w:rPr>
      </w:pPr>
    </w:p>
    <w:p>
      <w:pPr>
        <w:ind w:left="4" w:firstLine="1428"/>
        <w:spacing w:after="0" w:line="255" w:lineRule="auto"/>
        <w:tabs>
          <w:tab w:leader="none" w:pos="1886"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Cullinan will not license or sublicense (or grant an option to a license or sublicense to) any Non-Optioned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and any license of any Optioned Antibody and, other than with respect to any Third Party Contractor, any direct or indirect license or sublicense of the rights granted under this Section 3.2(b) (</w:t>
      </w:r>
      <w:r>
        <w:rPr>
          <w:rFonts w:ascii="Times New Roman" w:cs="Times New Roman" w:eastAsia="Times New Roman" w:hAnsi="Times New Roman"/>
          <w:sz w:val="18"/>
          <w:szCs w:val="18"/>
          <w:i w:val="1"/>
          <w:iCs w:val="1"/>
          <w:color w:val="auto"/>
        </w:rPr>
        <w:t>Development and Commercialization License and Assignment</w:t>
      </w:r>
      <w:r>
        <w:rPr>
          <w:rFonts w:ascii="Times New Roman" w:cs="Times New Roman" w:eastAsia="Times New Roman" w:hAnsi="Times New Roman"/>
          <w:sz w:val="18"/>
          <w:szCs w:val="18"/>
          <w:color w:val="auto"/>
        </w:rPr>
        <w:t>) (and any option to acquire such a license or sublicense) shall be made solely pursuant to a written agreement (a “</w:t>
      </w:r>
      <w:r>
        <w:rPr>
          <w:rFonts w:ascii="Times New Roman" w:cs="Times New Roman" w:eastAsia="Times New Roman" w:hAnsi="Times New Roman"/>
          <w:sz w:val="18"/>
          <w:szCs w:val="18"/>
          <w:b w:val="1"/>
          <w:bCs w:val="1"/>
          <w:color w:val="auto"/>
        </w:rPr>
        <w:t>Licensee Agreement</w:t>
      </w:r>
      <w:r>
        <w:rPr>
          <w:rFonts w:ascii="Times New Roman" w:cs="Times New Roman" w:eastAsia="Times New Roman" w:hAnsi="Times New Roman"/>
          <w:sz w:val="18"/>
          <w:szCs w:val="18"/>
          <w:color w:val="auto"/>
        </w:rPr>
        <w:t>”) that is consistent with all relevant terms and conditions of this Agreement and to Licensees who explicitly agree in writing to comply with all applicable terms of this Agreement, including Section 9.4 (</w:t>
      </w:r>
      <w:r>
        <w:rPr>
          <w:rFonts w:ascii="Times New Roman" w:cs="Times New Roman" w:eastAsia="Times New Roman" w:hAnsi="Times New Roman"/>
          <w:sz w:val="18"/>
          <w:szCs w:val="18"/>
          <w:i w:val="1"/>
          <w:iCs w:val="1"/>
          <w:color w:val="auto"/>
        </w:rPr>
        <w:t>Commitments Regarding Program-Benefited Antibodies</w:t>
      </w:r>
      <w:r>
        <w:rPr>
          <w:rFonts w:ascii="Times New Roman" w:cs="Times New Roman" w:eastAsia="Times New Roman" w:hAnsi="Times New Roman"/>
          <w:sz w:val="18"/>
          <w:szCs w:val="18"/>
          <w:color w:val="auto"/>
        </w:rPr>
        <w:t>) hereof, and which require such Licensees to indemnify Adimab Indemnitees to the same extent that such Adimab Indemnitees are indemnified pursuant to Section 8.2 (</w:t>
      </w:r>
      <w:r>
        <w:rPr>
          <w:rFonts w:ascii="Times New Roman" w:cs="Times New Roman" w:eastAsia="Times New Roman" w:hAnsi="Times New Roman"/>
          <w:sz w:val="18"/>
          <w:szCs w:val="18"/>
          <w:i w:val="1"/>
          <w:iCs w:val="1"/>
          <w:color w:val="auto"/>
        </w:rPr>
        <w:t>Indemnification by Cullinan</w:t>
      </w:r>
      <w:r>
        <w:rPr>
          <w:rFonts w:ascii="Times New Roman" w:cs="Times New Roman" w:eastAsia="Times New Roman" w:hAnsi="Times New Roman"/>
          <w:sz w:val="18"/>
          <w:szCs w:val="18"/>
          <w:color w:val="auto"/>
        </w:rPr>
        <w:t>) hereof. Cullinan shall remain responsible for all payments and other performance obligations due under this Agreement, notwithstanding any license or sublicense that it may grant.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7" w:right="459" w:bottom="1440" w:gutter="0" w:footer="0" w:header="0"/>
        </w:sectPr>
      </w:pPr>
    </w:p>
    <w:bookmarkStart w:id="497" w:name="page498"/>
    <w:bookmarkEnd w:id="497"/>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7"/>
          <w:szCs w:val="17"/>
          <w:b w:val="1"/>
          <w:bCs w:val="1"/>
          <w:color w:val="auto"/>
        </w:rPr>
        <w:t>Comparison of Program-Benefited Antibodies to Other Antibodies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40" w:firstLine="987"/>
        <w:spacing w:after="0" w:line="259" w:lineRule="auto"/>
        <w:tabs>
          <w:tab w:leader="none" w:pos="1385"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Comparisons to Existing Cullinan Antibodies Are Permitted</w:t>
      </w:r>
      <w:r>
        <w:rPr>
          <w:rFonts w:ascii="Times New Roman" w:cs="Times New Roman" w:eastAsia="Times New Roman" w:hAnsi="Times New Roman"/>
          <w:sz w:val="18"/>
          <w:szCs w:val="18"/>
          <w:color w:val="auto"/>
        </w:rPr>
        <w:t>. Under the licenses and assignments granted to Cullinan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3.1(a) (</w:t>
      </w:r>
      <w:r>
        <w:rPr>
          <w:rFonts w:ascii="Times New Roman" w:cs="Times New Roman" w:eastAsia="Times New Roman" w:hAnsi="Times New Roman"/>
          <w:sz w:val="18"/>
          <w:szCs w:val="18"/>
          <w:i w:val="1"/>
          <w:iCs w:val="1"/>
          <w:color w:val="auto"/>
        </w:rPr>
        <w:t>Research License to Cullinan</w:t>
      </w:r>
      <w:r>
        <w:rPr>
          <w:rFonts w:ascii="Times New Roman" w:cs="Times New Roman" w:eastAsia="Times New Roman" w:hAnsi="Times New Roman"/>
          <w:sz w:val="18"/>
          <w:szCs w:val="18"/>
          <w:color w:val="auto"/>
        </w:rPr>
        <w:t>) and Section 3.2(b) (</w:t>
      </w:r>
      <w:r>
        <w:rPr>
          <w:rFonts w:ascii="Times New Roman" w:cs="Times New Roman" w:eastAsia="Times New Roman" w:hAnsi="Times New Roman"/>
          <w:sz w:val="18"/>
          <w:szCs w:val="18"/>
          <w:i w:val="1"/>
          <w:iCs w:val="1"/>
          <w:color w:val="auto"/>
        </w:rPr>
        <w:t>Development and Commercialization License and Assignment</w:t>
      </w:r>
      <w:r>
        <w:rPr>
          <w:rFonts w:ascii="Times New Roman" w:cs="Times New Roman" w:eastAsia="Times New Roman" w:hAnsi="Times New Roman"/>
          <w:sz w:val="18"/>
          <w:szCs w:val="18"/>
          <w:color w:val="auto"/>
        </w:rPr>
        <w:t>), comparison of Program-Benefited Antibodies to other Program-Benefited Antibodies, and Cullinan Antibodies and other antibodies (including commercial and research antibodies) against a Target, or any other agent is permitted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comparing affinities, specificities, function, etc.) and such Cullinan Antibodies will not be deemed to be Program-Benefited Antibodies by virtue of having conducted such comparisons.</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72" w:lineRule="auto"/>
        <w:tabs>
          <w:tab w:leader="none" w:pos="1395" w:val="left"/>
        </w:tabs>
        <w:numPr>
          <w:ilvl w:val="1"/>
          <w:numId w:val="4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in Screening and Design of New Antibodies is Not Permitted</w:t>
      </w:r>
      <w:r>
        <w:rPr>
          <w:rFonts w:ascii="Times New Roman" w:cs="Times New Roman" w:eastAsia="Times New Roman" w:hAnsi="Times New Roman"/>
          <w:sz w:val="17"/>
          <w:szCs w:val="17"/>
          <w:color w:val="auto"/>
        </w:rPr>
        <w:t>. This Agreement and the licenses and assignments granted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Cullinan pursuant to Section 3.1(a) (</w:t>
      </w:r>
      <w:r>
        <w:rPr>
          <w:rFonts w:ascii="Times New Roman" w:cs="Times New Roman" w:eastAsia="Times New Roman" w:hAnsi="Times New Roman"/>
          <w:sz w:val="17"/>
          <w:szCs w:val="17"/>
          <w:i w:val="1"/>
          <w:iCs w:val="1"/>
          <w:color w:val="auto"/>
        </w:rPr>
        <w:t>Research License to Cullinan</w:t>
      </w:r>
      <w:r>
        <w:rPr>
          <w:rFonts w:ascii="Times New Roman" w:cs="Times New Roman" w:eastAsia="Times New Roman" w:hAnsi="Times New Roman"/>
          <w:sz w:val="17"/>
          <w:szCs w:val="17"/>
          <w:color w:val="auto"/>
        </w:rPr>
        <w:t>) and Section 3.2(b) (</w:t>
      </w:r>
      <w:r>
        <w:rPr>
          <w:rFonts w:ascii="Times New Roman" w:cs="Times New Roman" w:eastAsia="Times New Roman" w:hAnsi="Times New Roman"/>
          <w:sz w:val="17"/>
          <w:szCs w:val="17"/>
          <w:i w:val="1"/>
          <w:iCs w:val="1"/>
          <w:color w:val="auto"/>
        </w:rPr>
        <w:t>Development and Commercialization License and Assignment</w:t>
      </w:r>
      <w:r>
        <w:rPr>
          <w:rFonts w:ascii="Times New Roman" w:cs="Times New Roman" w:eastAsia="Times New Roman" w:hAnsi="Times New Roman"/>
          <w:sz w:val="17"/>
          <w:szCs w:val="17"/>
          <w:color w:val="auto"/>
        </w:rPr>
        <w:t>), specifically exclude the right to (a) discover or optimize antibodies using the Adimab Platform Technology or Adimab Platform Technology Improvements (b) use Program-Benefited Antibodies or Adimab Materials to (i) generate or discover new antibodies, via screening or otherwise or</w:t>
      </w:r>
    </w:p>
    <w:p>
      <w:pPr>
        <w:ind w:left="4" w:right="460" w:hanging="4"/>
        <w:spacing w:after="0" w:line="260" w:lineRule="auto"/>
        <w:tabs>
          <w:tab w:leader="none" w:pos="269"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 new antibodies, via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methods or otherwise, except, in the case of either (i) or (ii), for Program-Benefited Antibodies that will be milestone- and royalty-bearing to Adimab under this Agreement.</w:t>
      </w:r>
    </w:p>
    <w:p>
      <w:pPr>
        <w:spacing w:after="0" w:line="177"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3.4 License to Adimab</w:t>
      </w:r>
      <w:r>
        <w:rPr>
          <w:rFonts w:ascii="Times New Roman" w:cs="Times New Roman" w:eastAsia="Times New Roman" w:hAnsi="Times New Roman"/>
          <w:sz w:val="17"/>
          <w:szCs w:val="17"/>
          <w:color w:val="auto"/>
        </w:rPr>
        <w:t>. Cullinan hereby grants a worldwide, perpetual, sublicensable, fully paid up, royalty-free, non-exclusive license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Cullinan’s interest in all Cullinan Product Patents that disclose one or more Adimab CD3 Antibodies by sequence to the extent necessary to research, develop, have developed, make, have made, use, sell, offer to sell, import and export such Adimab CD3 Antibodies and products containing such Adimab CD3 Antibodies;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 such license does not include such Cullinan Product Patents to the extent that they Cover the Grant Back Exclusion and (ii) such license to Cullinan Product Patents is not sublicensable to any Third Party unless such Third Party has granted a license to Adimab to Patents, if any, Controlled by such Third Party (x) which license includes Patents that disclose Adimab CD3 Antibodies, (y) which license is substantially similar in scope to the foregoing license to Cullinan Product Patents, and (z) which license is sublicensable by Adimab to Cullinan.</w:t>
      </w:r>
    </w:p>
    <w:p>
      <w:pPr>
        <w:spacing w:after="0" w:line="171"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3.5 Diligent Development and Commercialization</w:t>
      </w:r>
      <w:r>
        <w:rPr>
          <w:rFonts w:ascii="Times New Roman" w:cs="Times New Roman" w:eastAsia="Times New Roman" w:hAnsi="Times New Roman"/>
          <w:sz w:val="18"/>
          <w:szCs w:val="18"/>
          <w:color w:val="auto"/>
        </w:rPr>
        <w:t>. Cullinan shall, itself or through an Affiliate or Licensee, devote Commercially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to preclinically develop and, if Cullinan exercises the Option, clinically develop, seek Marketing Approval for, and launch and actively commercialize at least [***] Product that contains a Program-Benefited Antibody discovered in each Research Program.</w:t>
      </w:r>
    </w:p>
    <w:p>
      <w:pPr>
        <w:spacing w:after="0" w:line="171"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No Implied Licenses</w:t>
      </w:r>
      <w:r>
        <w:rPr>
          <w:rFonts w:ascii="Times New Roman" w:cs="Times New Roman" w:eastAsia="Times New Roman" w:hAnsi="Times New Roman"/>
          <w:sz w:val="17"/>
          <w:szCs w:val="17"/>
          <w:color w:val="auto"/>
        </w:rPr>
        <w:t>. Other than the licenses, options and assignments explicitly set forth in this Article 3 (</w:t>
      </w:r>
      <w:r>
        <w:rPr>
          <w:rFonts w:ascii="Times New Roman" w:cs="Times New Roman" w:eastAsia="Times New Roman" w:hAnsi="Times New Roman"/>
          <w:sz w:val="17"/>
          <w:szCs w:val="17"/>
          <w:i w:val="1"/>
          <w:iCs w:val="1"/>
          <w:color w:val="auto"/>
        </w:rPr>
        <w:t>Licenses; Option;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i w:val="1"/>
          <w:iCs w:val="1"/>
          <w:color w:val="auto"/>
        </w:rPr>
        <w:t>Development &amp; Commercialization</w:t>
      </w:r>
      <w:r>
        <w:rPr>
          <w:rFonts w:ascii="Times New Roman" w:cs="Times New Roman" w:eastAsia="Times New Roman" w:hAnsi="Times New Roman"/>
          <w:sz w:val="17"/>
          <w:szCs w:val="17"/>
          <w:color w:val="auto"/>
        </w:rPr>
        <w:t>) or in Article 5 (</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neither Party grants any intellectual property licenses, options or assignments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other Party under this Agreement. This Agreement does not create any implied licenses.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5" w:right="479" w:bottom="1440" w:gutter="0" w:footer="0" w:header="0"/>
        </w:sectPr>
      </w:pPr>
    </w:p>
    <w:bookmarkStart w:id="498" w:name="page499"/>
    <w:bookmarkEnd w:id="498"/>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 Covenant Not to Exceed License</w:t>
      </w:r>
      <w:r>
        <w:rPr>
          <w:rFonts w:ascii="Times New Roman" w:cs="Times New Roman" w:eastAsia="Times New Roman" w:hAnsi="Times New Roman"/>
          <w:sz w:val="18"/>
          <w:szCs w:val="18"/>
          <w:color w:val="auto"/>
        </w:rPr>
        <w:t>. Each Party hereby covenants that it will not practice any Patent or item of Know-How licensed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it under this Agreement outside the scope of the license to such Party set forth in this Agreement (or any subsequent agreement between the Parties providing for an additional license under such Patent or item of Know-How).</w:t>
      </w:r>
    </w:p>
    <w:p>
      <w:pPr>
        <w:spacing w:after="0" w:line="17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3.8</w:t>
        <w:tab/>
        <w:t>Bankruptcy Code</w:t>
      </w:r>
      <w:r>
        <w:rPr>
          <w:rFonts w:ascii="Times New Roman" w:cs="Times New Roman" w:eastAsia="Times New Roman" w:hAnsi="Times New Roman"/>
          <w:sz w:val="18"/>
          <w:szCs w:val="18"/>
          <w:color w:val="auto"/>
        </w:rPr>
        <w:t>. If this Agreement is rejected by a Party as a debtor under Section 365 of the United States Bankruptcy Code (or similar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in the bankruptcy laws of another jurisdiction), then, notwithstanding anything else in this Agreement to the contrary, all licenses and rights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licenses granted under or pursuant to this Agreement (including those set forth in this Article 3 (</w:t>
      </w:r>
      <w:r>
        <w:rPr>
          <w:rFonts w:ascii="Times New Roman" w:cs="Times New Roman" w:eastAsia="Times New Roman" w:hAnsi="Times New Roman"/>
          <w:sz w:val="18"/>
          <w:szCs w:val="18"/>
          <w:i w:val="1"/>
          <w:iCs w:val="1"/>
          <w:color w:val="auto"/>
        </w:rPr>
        <w:t>Licenses; Option; Development &amp; Commercialization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those described in Article 9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by the Party in bankruptcy to the other Party are, and will otherwise be deemed to be,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365(n) of the United States Bankruptcy Code (or similar provision in the bankruptcy laws of the jurisdiction), licenses of rights to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as defined under Section 101(35A) of the United States Bankruptcy Code (or similar provision in the bankruptcy laws of the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herein, nothing in this Section 3.7 (</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will be read to entitle Cullinan to obtain disclosure of Adimab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whether or not as an “embodiment,” “duplicate,” “update,” or otherwise, at any time, and Cullinan will not under any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express or implied in this Agreement be entitled to disclosure of Adimab Platform Technology and Adimab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Improvements.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5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Access Fees.</w:t>
      </w:r>
    </w:p>
    <w:p>
      <w:pPr>
        <w:spacing w:after="0" w:line="117" w:lineRule="exact"/>
        <w:rPr>
          <w:sz w:val="20"/>
          <w:szCs w:val="20"/>
          <w:color w:val="auto"/>
        </w:rPr>
      </w:pPr>
    </w:p>
    <w:p>
      <w:pPr>
        <w:ind w:right="360" w:firstLine="987"/>
        <w:spacing w:after="0" w:line="286" w:lineRule="auto"/>
        <w:tabs>
          <w:tab w:leader="none" w:pos="1381"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Access Fee</w:t>
      </w:r>
      <w:r>
        <w:rPr>
          <w:rFonts w:ascii="Times New Roman" w:cs="Times New Roman" w:eastAsia="Times New Roman" w:hAnsi="Times New Roman"/>
          <w:sz w:val="18"/>
          <w:szCs w:val="18"/>
          <w:color w:val="auto"/>
        </w:rPr>
        <w:t>. Cullinan will pay to Adimab a one-time, non-creditable, non-refundable technology access fee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 of the Effective Date.</w:t>
      </w:r>
    </w:p>
    <w:p>
      <w:pPr>
        <w:spacing w:after="0" w:line="154" w:lineRule="exact"/>
        <w:rPr>
          <w:rFonts w:ascii="Times New Roman" w:cs="Times New Roman" w:eastAsia="Times New Roman" w:hAnsi="Times New Roman"/>
          <w:sz w:val="18"/>
          <w:szCs w:val="18"/>
          <w:b w:val="1"/>
          <w:bCs w:val="1"/>
          <w:color w:val="auto"/>
        </w:rPr>
      </w:pPr>
    </w:p>
    <w:p>
      <w:pPr>
        <w:jc w:val="both"/>
        <w:ind w:firstLine="987"/>
        <w:spacing w:after="0" w:line="262" w:lineRule="auto"/>
        <w:tabs>
          <w:tab w:leader="none" w:pos="1391"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Access Fee</w:t>
      </w:r>
      <w:r>
        <w:rPr>
          <w:rFonts w:ascii="Times New Roman" w:cs="Times New Roman" w:eastAsia="Times New Roman" w:hAnsi="Times New Roman"/>
          <w:sz w:val="18"/>
          <w:szCs w:val="18"/>
          <w:color w:val="auto"/>
        </w:rPr>
        <w:t>. At the commencement of the CD3 License Term and on each anniversary thereof during the CD3 License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Cullinan will pay to Adimab a non-creditable (except pursuant to the proviso in this sentence), non-refundable technology access fee of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Cullinan may deduct up to [***] of the fees paid pursuant to this Section 4.1(b) (</w:t>
      </w:r>
      <w:r>
        <w:rPr>
          <w:rFonts w:ascii="Times New Roman" w:cs="Times New Roman" w:eastAsia="Times New Roman" w:hAnsi="Times New Roman"/>
          <w:sz w:val="18"/>
          <w:szCs w:val="18"/>
          <w:i w:val="1"/>
          <w:iCs w:val="1"/>
          <w:color w:val="auto"/>
        </w:rPr>
        <w:t>Annual Access Fee</w:t>
      </w:r>
      <w:r>
        <w:rPr>
          <w:rFonts w:ascii="Times New Roman" w:cs="Times New Roman" w:eastAsia="Times New Roman" w:hAnsi="Times New Roman"/>
          <w:sz w:val="18"/>
          <w:szCs w:val="18"/>
          <w:color w:val="auto"/>
        </w:rPr>
        <w:t>) from fees due to Adimab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4.2(a) (</w:t>
      </w:r>
      <w:r>
        <w:rPr>
          <w:rFonts w:ascii="Times New Roman" w:cs="Times New Roman" w:eastAsia="Times New Roman" w:hAnsi="Times New Roman"/>
          <w:sz w:val="18"/>
          <w:szCs w:val="18"/>
          <w:i w:val="1"/>
          <w:iCs w:val="1"/>
          <w:color w:val="auto"/>
        </w:rPr>
        <w:t>Research Funding</w:t>
      </w:r>
      <w:r>
        <w:rPr>
          <w:rFonts w:ascii="Times New Roman" w:cs="Times New Roman" w:eastAsia="Times New Roman" w:hAnsi="Times New Roman"/>
          <w:sz w:val="18"/>
          <w:szCs w:val="18"/>
          <w:color w:val="auto"/>
        </w:rPr>
        <w:t>) during the twelve (12) months following payment.</w:t>
      </w:r>
    </w:p>
    <w:p>
      <w:pPr>
        <w:spacing w:after="0" w:line="32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Research Stage Fees.</w:t>
      </w:r>
    </w:p>
    <w:p>
      <w:pPr>
        <w:spacing w:after="0" w:line="117" w:lineRule="exact"/>
        <w:rPr>
          <w:sz w:val="20"/>
          <w:szCs w:val="20"/>
          <w:color w:val="auto"/>
        </w:rPr>
      </w:pPr>
    </w:p>
    <w:p>
      <w:pPr>
        <w:ind w:right="40" w:firstLine="987"/>
        <w:spacing w:after="0" w:line="278" w:lineRule="auto"/>
        <w:tabs>
          <w:tab w:leader="none" w:pos="1381" w:val="left"/>
        </w:tabs>
        <w:numPr>
          <w:ilvl w:val="0"/>
          <w:numId w:val="4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Research Funding. </w:t>
      </w:r>
      <w:r>
        <w:rPr>
          <w:rFonts w:ascii="Times New Roman" w:cs="Times New Roman" w:eastAsia="Times New Roman" w:hAnsi="Times New Roman"/>
          <w:sz w:val="17"/>
          <w:szCs w:val="17"/>
          <w:color w:val="auto"/>
        </w:rPr>
        <w:t>Cullinan will pay Adimab an amount equal to [***] of the actual FTEs expended by Adimab in the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obligations hereunder with respect to the generation, production, and analysis of antibodies (including CD3 Products) during such calendar quarter (at the FTE Rate). At the end of each calendar quarter, Adimab shall deliver to Cullinan a detailed invoice stating the number of FTEs that performed activities under the Research Programs during the prior calendar quarter. Cullinan shall pay all invoices within [***] days of receipt of such invoice. Adimab shall keep adequate books and records of account for the purpose of calculating FTEs and amounts payable to Adimab with respect thereto, and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5" w:right="459" w:bottom="1440" w:gutter="0" w:footer="0" w:header="0"/>
        </w:sectPr>
      </w:pPr>
    </w:p>
    <w:bookmarkStart w:id="499" w:name="page500"/>
    <w:bookmarkEnd w:id="49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Cullinan shall have the right to audit such records pursuant to Section 4.10 (</w:t>
      </w:r>
      <w:r>
        <w:rPr>
          <w:rFonts w:ascii="Times New Roman" w:cs="Times New Roman" w:eastAsia="Times New Roman" w:hAnsi="Times New Roman"/>
          <w:sz w:val="18"/>
          <w:szCs w:val="18"/>
          <w:i w:val="1"/>
          <w:iCs w:val="1"/>
          <w:color w:val="auto"/>
        </w:rPr>
        <w:t>Records; Inspection</w:t>
      </w:r>
      <w:r>
        <w:rPr>
          <w:rFonts w:ascii="Times New Roman" w:cs="Times New Roman" w:eastAsia="Times New Roman" w:hAnsi="Times New Roman"/>
          <w:sz w:val="18"/>
          <w:szCs w:val="18"/>
          <w:color w:val="auto"/>
        </w:rPr>
        <w:t xml:space="preserve">), but reversing the roles of the Parties thereunder,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Each Research Plan shall include a forecast setting for the estimated FTEs for such Research Program. If Adimab, in good faith,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anticipates that its FTE expenditures will be more than [***] of the forecasted amount in any such Research Plan, Adimab shall cease work on such Research Program until receiving instruction from Cullinan to either (i) permanently cease work on such Research Program, (ii) decrease the amount of work based on a mutually agreed revised Research Plan, and (iii) proceed as planned notwithstanding the overage.</w:t>
      </w:r>
    </w:p>
    <w:p>
      <w:pPr>
        <w:spacing w:after="0" w:line="289" w:lineRule="exact"/>
        <w:rPr>
          <w:sz w:val="20"/>
          <w:szCs w:val="20"/>
          <w:color w:val="auto"/>
        </w:rPr>
      </w:pPr>
    </w:p>
    <w:p>
      <w:pPr>
        <w:ind w:left="1380" w:hanging="393"/>
        <w:spacing w:after="0"/>
        <w:tabs>
          <w:tab w:leader="none" w:pos="138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20" w:firstLine="1428"/>
        <w:spacing w:after="0" w:line="256" w:lineRule="auto"/>
        <w:tabs>
          <w:tab w:leader="none" w:pos="1782" w:val="left"/>
        </w:tabs>
        <w:numPr>
          <w:ilvl w:val="1"/>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Naïve Discovery Delivery Fee</w:t>
      </w:r>
      <w:r>
        <w:rPr>
          <w:rFonts w:ascii="Times New Roman" w:cs="Times New Roman" w:eastAsia="Times New Roman" w:hAnsi="Times New Roman"/>
          <w:sz w:val="18"/>
          <w:szCs w:val="18"/>
          <w:color w:val="auto"/>
        </w:rPr>
        <w:t>. On a Research Program-by-Research Program basis, Adimab will invoice Cullinan for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Naïve Discovery Delivery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transmembrane protein projects (or other projects which vary substantially in scope and difficulty), the Parties will negotiate in good faith the amount of such delivery milestone payment based on the project. Adimab will send Cullinan an invoice for the Naïve Discovery Delivery Fee at the time of Adimab’s delivery to Cullinan of sequences of an initial panel of Program Antibodies against the Target and Cullinan will pay such amount within [***] of receipt of such invoice. The Naïve Discovery Delivery Fee will only be payable once per Research Program. For clarity, in the case of a Research Program that involves the optimization of a Cullinan Antibody, such Naïve Discovery Delivery Fee under this Section 4.2(b)(i) (</w:t>
      </w:r>
      <w:r>
        <w:rPr>
          <w:rFonts w:ascii="Times New Roman" w:cs="Times New Roman" w:eastAsia="Times New Roman" w:hAnsi="Times New Roman"/>
          <w:sz w:val="18"/>
          <w:szCs w:val="18"/>
          <w:i w:val="1"/>
          <w:iCs w:val="1"/>
          <w:color w:val="auto"/>
        </w:rPr>
        <w:t>Naïve Discovery Delivery Fee</w:t>
      </w:r>
      <w:r>
        <w:rPr>
          <w:rFonts w:ascii="Times New Roman" w:cs="Times New Roman" w:eastAsia="Times New Roman" w:hAnsi="Times New Roman"/>
          <w:sz w:val="18"/>
          <w:szCs w:val="18"/>
          <w:color w:val="auto"/>
        </w:rPr>
        <w:t>) shall not apply.</w:t>
      </w:r>
    </w:p>
    <w:p>
      <w:pPr>
        <w:spacing w:after="0" w:line="182" w:lineRule="exact"/>
        <w:rPr>
          <w:rFonts w:ascii="Times New Roman" w:cs="Times New Roman" w:eastAsia="Times New Roman" w:hAnsi="Times New Roman"/>
          <w:sz w:val="18"/>
          <w:szCs w:val="18"/>
          <w:b w:val="1"/>
          <w:bCs w:val="1"/>
          <w:color w:val="auto"/>
        </w:rPr>
      </w:pPr>
    </w:p>
    <w:p>
      <w:pPr>
        <w:ind w:right="120" w:firstLine="1428"/>
        <w:spacing w:after="0" w:line="255" w:lineRule="auto"/>
        <w:tabs>
          <w:tab w:leader="none" w:pos="1832" w:val="left"/>
        </w:tabs>
        <w:numPr>
          <w:ilvl w:val="1"/>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Optimization Completion Fee</w:t>
      </w:r>
      <w:r>
        <w:rPr>
          <w:rFonts w:ascii="Times New Roman" w:cs="Times New Roman" w:eastAsia="Times New Roman" w:hAnsi="Times New Roman"/>
          <w:sz w:val="18"/>
          <w:szCs w:val="18"/>
          <w:color w:val="auto"/>
        </w:rPr>
        <w:t>. On a Research Program-by-Research Program basis, Adimab will invoice Cullinan for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Optimization Completion Fee</w:t>
      </w:r>
      <w:r>
        <w:rPr>
          <w:rFonts w:ascii="Times New Roman" w:cs="Times New Roman" w:eastAsia="Times New Roman" w:hAnsi="Times New Roman"/>
          <w:sz w:val="18"/>
          <w:szCs w:val="18"/>
          <w:color w:val="auto"/>
        </w:rPr>
        <w:t xml:space="preserve">”) (plus an amount equal to any applicable Naïve Discovery Delivery Fee which was not previously paid with respect to such Research Program);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transmembrane protein projects (or other projects which vary substantially in scope and difficulty), the Parties will negotiate in good faith the amount of such Optimization Completion Fee based on the project. Adimab will send Cullinan an invoice for the Optimization Completion Fee at the time of Adimab’s Final Delivery to Cullinan of Program Antibodies against the Target, which shall meet pre-agreed goals as set forth in the Research Plan with respect to affinity, specificity and epitopic coverage. Cullinan will pay such amount within [***] of receipt of such invoice with Adimab’s Final Delivery to Cullinan of Program Antibodies against the Target. The Optimization Completion Fee will only be payable once per Research Program.</w:t>
      </w:r>
    </w:p>
    <w:p>
      <w:pPr>
        <w:spacing w:after="0" w:line="184" w:lineRule="exact"/>
        <w:rPr>
          <w:rFonts w:ascii="Times New Roman" w:cs="Times New Roman" w:eastAsia="Times New Roman" w:hAnsi="Times New Roman"/>
          <w:sz w:val="18"/>
          <w:szCs w:val="18"/>
          <w:b w:val="1"/>
          <w:bCs w:val="1"/>
          <w:color w:val="auto"/>
        </w:rPr>
      </w:pPr>
    </w:p>
    <w:p>
      <w:pPr>
        <w:ind w:firstLine="1428"/>
        <w:spacing w:after="0" w:line="255" w:lineRule="auto"/>
        <w:tabs>
          <w:tab w:leader="none" w:pos="1882" w:val="left"/>
        </w:tabs>
        <w:numPr>
          <w:ilvl w:val="1"/>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Multispecific Delivery Fee</w:t>
      </w:r>
      <w:r>
        <w:rPr>
          <w:rFonts w:ascii="Times New Roman" w:cs="Times New Roman" w:eastAsia="Times New Roman" w:hAnsi="Times New Roman"/>
          <w:sz w:val="18"/>
          <w:szCs w:val="18"/>
          <w:color w:val="auto"/>
        </w:rPr>
        <w:t>. On a Research Program-by-Research Program basis, Adimab will invoice Cullinan for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the fees due to Adimab pursuant to Section 4.2(a)(ii) (</w:t>
      </w:r>
      <w:r>
        <w:rPr>
          <w:rFonts w:ascii="Times New Roman" w:cs="Times New Roman" w:eastAsia="Times New Roman" w:hAnsi="Times New Roman"/>
          <w:sz w:val="18"/>
          <w:szCs w:val="18"/>
          <w:i w:val="1"/>
          <w:iCs w:val="1"/>
          <w:color w:val="auto"/>
        </w:rPr>
        <w:t>Research Funding for Multispecific Research Programs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Multispecific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(plus an amount equal to any applicable Naïve Discovery Delivery Fee and any applicable Optimization Completion Fee, in each case, which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previously paid with respect to the antibodies contained in the multispecific projects which is the subject of such Research Program). Adimab will send Cullinan an invoice for the Multispecific Delivery Fee at the time of Adimab’s delivery to Cullinan of sequences of a panel of multispecific Program Antibodies against the Targets, and Cullinan will pay Adimab such amount within [***] of receipt of such invoice with Adimab’s Final Delivery to Cullinan of sequences of a panel of multispecific Program Antibodies against the Target. The Multispecific Delivery Fee will only be payable once per Research Program.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7" w:right="459" w:bottom="1440" w:gutter="0" w:footer="0" w:header="0"/>
        </w:sectPr>
      </w:pPr>
    </w:p>
    <w:bookmarkStart w:id="500" w:name="page501"/>
    <w:bookmarkEnd w:id="500"/>
    <w:p>
      <w:pPr>
        <w:ind w:left="4" w:right="60" w:firstLine="987"/>
        <w:spacing w:after="0" w:line="274" w:lineRule="auto"/>
        <w:tabs>
          <w:tab w:leader="none" w:pos="1375" w:val="left"/>
        </w:tabs>
        <w:numPr>
          <w:ilvl w:val="1"/>
          <w:numId w:val="4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Services</w:t>
      </w:r>
      <w:r>
        <w:rPr>
          <w:rFonts w:ascii="Times New Roman" w:cs="Times New Roman" w:eastAsia="Times New Roman" w:hAnsi="Times New Roman"/>
          <w:sz w:val="17"/>
          <w:szCs w:val="17"/>
          <w:color w:val="auto"/>
        </w:rPr>
        <w:t>. From time to time, Cullinan and Adimab may agree that Adimab will perform additional services which fall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outside the scope of a Research Program. Such work may include (to the extent not set forth in an applicable Research Plan under a Research Program), for example, (i) preparation of antigen or other reagents for use in a Research Program in the event that Cullinan does not have such materials itself,</w:t>
      </w:r>
    </w:p>
    <w:p>
      <w:pPr>
        <w:ind w:left="4" w:hanging="4"/>
        <w:spacing w:after="0" w:line="271" w:lineRule="auto"/>
        <w:tabs>
          <w:tab w:leader="none" w:pos="269" w:val="left"/>
        </w:tabs>
        <w:numPr>
          <w:ilvl w:val="0"/>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molecular biology work such as the generation of certain constructs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bispecifics or CAR-Ts) using Cullinan Materials, or (iii) non-cGMP production of antibodies in mammalian cells for use in Cullinan’s research and evaluation of Program Antibodies. In the event that Cullinan and Adimab agree that Adimab will perform such additional work, then Adimab will bill Cullinan an agreed-upon amount for such work, which agreed-upon amount may be comprised of one or more of the following: (x) reimbursement for FTEs expended by Adimab at the FTE Rate, (y) a fixed payment for provision of the services, and (z) a delivery fee for completion of such work. This Agreement will govern the performance of such additional services.</w:t>
      </w:r>
    </w:p>
    <w:p>
      <w:pPr>
        <w:spacing w:after="0" w:line="169" w:lineRule="exact"/>
        <w:rPr>
          <w:rFonts w:ascii="Times New Roman" w:cs="Times New Roman" w:eastAsia="Times New Roman" w:hAnsi="Times New Roman"/>
          <w:sz w:val="17"/>
          <w:szCs w:val="17"/>
          <w:color w:val="auto"/>
        </w:rPr>
      </w:pPr>
    </w:p>
    <w:p>
      <w:pPr>
        <w:ind w:left="4" w:firstLine="987"/>
        <w:spacing w:after="0" w:line="254" w:lineRule="auto"/>
        <w:tabs>
          <w:tab w:leader="none" w:pos="1395" w:val="left"/>
        </w:tabs>
        <w:numPr>
          <w:ilvl w:val="1"/>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Antibody Delivery Failure</w:t>
      </w:r>
      <w:r>
        <w:rPr>
          <w:rFonts w:ascii="Times New Roman" w:cs="Times New Roman" w:eastAsia="Times New Roman" w:hAnsi="Times New Roman"/>
          <w:sz w:val="18"/>
          <w:szCs w:val="18"/>
          <w:color w:val="auto"/>
        </w:rPr>
        <w:t>. With respect to Research Programs that involve the initial discovery of Program Antibodies (as opposed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optimization of a Cullinan Antibody), Adimab shall refund to Cullinan [***] of the fee paid under Section 4.2(a)(i)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Funding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Discovery and Optimization of Antibodies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Research Program, other than a Multispecific Research Program, if Adimab is unable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antibodies binding to the Target for such Research Program in accordance with success criteria set forth in the applicable Research Plan within [***] after the commencement of selection of antibodies under such Research Program. Notwithstanding the foregoing, Adimab shall not be required to refund such amounts with respect to a Research Program to the extent that Adimab’s failure to deliver antibodies binding to the Target for such Research Program within such five (5) month period is a result of (A) a significant delay or failure of Cullinan to perform its activities required under the applicable Research Plan or (B) any modification of the Research Plan requested by Cullinan that increases the activities Adimab is required to perform under the applicable Research Plan or substantially increases the amount of time it takes Adimab to perform its activities under a Research Plan. Has to deliver at least certain # of antibodies.</w:t>
      </w:r>
    </w:p>
    <w:p>
      <w:pPr>
        <w:spacing w:after="0" w:line="18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Option Fee</w:t>
      </w:r>
      <w:r>
        <w:rPr>
          <w:rFonts w:ascii="Times New Roman" w:cs="Times New Roman" w:eastAsia="Times New Roman" w:hAnsi="Times New Roman"/>
          <w:sz w:val="17"/>
          <w:szCs w:val="17"/>
          <w:color w:val="auto"/>
        </w:rPr>
        <w:t>. In order to exercise the Option under Section 3.2(a)(i) (</w:t>
      </w:r>
      <w:r>
        <w:rPr>
          <w:rFonts w:ascii="Times New Roman" w:cs="Times New Roman" w:eastAsia="Times New Roman" w:hAnsi="Times New Roman"/>
          <w:sz w:val="17"/>
          <w:szCs w:val="17"/>
          <w:i w:val="1"/>
          <w:iCs w:val="1"/>
          <w:color w:val="auto"/>
        </w:rPr>
        <w:t>Option Exercise for Research Programs</w:t>
      </w:r>
      <w:r>
        <w:rPr>
          <w:rFonts w:ascii="Times New Roman" w:cs="Times New Roman" w:eastAsia="Times New Roman" w:hAnsi="Times New Roman"/>
          <w:sz w:val="17"/>
          <w:szCs w:val="17"/>
          <w:color w:val="auto"/>
        </w:rPr>
        <w:t>) or 3.2(a)(ii) (</w:t>
      </w:r>
      <w:r>
        <w:rPr>
          <w:rFonts w:ascii="Times New Roman" w:cs="Times New Roman" w:eastAsia="Times New Roman" w:hAnsi="Times New Roman"/>
          <w:sz w:val="17"/>
          <w:szCs w:val="17"/>
          <w:i w:val="1"/>
          <w:iCs w:val="1"/>
          <w:color w:val="auto"/>
        </w:rPr>
        <w:t>Option Exercise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Under the CD3 License</w:t>
      </w:r>
      <w:r>
        <w:rPr>
          <w:rFonts w:ascii="Times New Roman" w:cs="Times New Roman" w:eastAsia="Times New Roman" w:hAnsi="Times New Roman"/>
          <w:sz w:val="18"/>
          <w:szCs w:val="18"/>
          <w:color w:val="auto"/>
        </w:rPr>
        <w:t>), in addition to sending the notice required under Section 3.2(a)(i) (</w:t>
      </w:r>
      <w:r>
        <w:rPr>
          <w:rFonts w:ascii="Times New Roman" w:cs="Times New Roman" w:eastAsia="Times New Roman" w:hAnsi="Times New Roman"/>
          <w:sz w:val="18"/>
          <w:szCs w:val="18"/>
          <w:i w:val="1"/>
          <w:iCs w:val="1"/>
          <w:color w:val="auto"/>
        </w:rPr>
        <w:t>Option Exercise for Research Programs</w:t>
      </w:r>
      <w:r>
        <w:rPr>
          <w:rFonts w:ascii="Times New Roman" w:cs="Times New Roman" w:eastAsia="Times New Roman" w:hAnsi="Times New Roman"/>
          <w:sz w:val="18"/>
          <w:szCs w:val="18"/>
          <w:color w:val="auto"/>
        </w:rPr>
        <w:t>) or 3.2(a)(ii)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Exercise Under the CD3 License</w:t>
      </w:r>
      <w:r>
        <w:rPr>
          <w:rFonts w:ascii="Times New Roman" w:cs="Times New Roman" w:eastAsia="Times New Roman" w:hAnsi="Times New Roman"/>
          <w:sz w:val="18"/>
          <w:szCs w:val="18"/>
          <w:color w:val="auto"/>
        </w:rPr>
        <w:t>), Cullinan will pay to Adimab a non-creditable, non-refundable option exercise fee of [***] for such Research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Program (an “</w:t>
      </w:r>
      <w:r>
        <w:rPr>
          <w:rFonts w:ascii="Times New Roman" w:cs="Times New Roman" w:eastAsia="Times New Roman" w:hAnsi="Times New Roman"/>
          <w:sz w:val="18"/>
          <w:szCs w:val="18"/>
          <w:b w:val="1"/>
          <w:bCs w:val="1"/>
          <w:color w:val="auto"/>
        </w:rPr>
        <w:t>Option Fee</w:t>
      </w:r>
      <w:r>
        <w:rPr>
          <w:rFonts w:ascii="Times New Roman" w:cs="Times New Roman" w:eastAsia="Times New Roman" w:hAnsi="Times New Roman"/>
          <w:sz w:val="18"/>
          <w:szCs w:val="18"/>
          <w:color w:val="auto"/>
        </w:rPr>
        <w:t>”), as adjusted in accordance with Section 3.2(a) (</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in the event that Cullinan elects to exercise the Option with respect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more than [***] Program Antibodies, plus an amount equal to any applicable Delivery Fee which was not previously paid with respect to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Research Program.</w:t>
      </w:r>
    </w:p>
    <w:p>
      <w:pPr>
        <w:spacing w:after="0" w:line="311"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4.4</w:t>
        <w:tab/>
        <w:t>Milestone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62" w:lineRule="auto"/>
        <w:tabs>
          <w:tab w:leader="none" w:pos="1385"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Milestone Events</w:t>
      </w:r>
      <w:r>
        <w:rPr>
          <w:rFonts w:ascii="Times New Roman" w:cs="Times New Roman" w:eastAsia="Times New Roman" w:hAnsi="Times New Roman"/>
          <w:sz w:val="18"/>
          <w:szCs w:val="18"/>
          <w:color w:val="auto"/>
        </w:rPr>
        <w:t>. On a Product-by-Product basis, Cullinan will report in writing to Adimab the achievement of each event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and pay the corresponding milestone payment (each, a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to Adimab, each within [***] (or within [***] in the event that the relevant Milestone Event is achieved by a licensee or sublicensee of Cullinan) after the achievement of the corresponding Milestone Event in the following table:</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5" w:right="459" w:bottom="1440" w:gutter="0" w:footer="0" w:header="0"/>
        </w:sectPr>
      </w:pPr>
    </w:p>
    <w:bookmarkStart w:id="501" w:name="page502"/>
    <w:bookmarkEnd w:id="501"/>
    <w:tbl>
      <w:tblPr>
        <w:tblLayout w:type="fixed"/>
        <w:tblInd w:w="1720" w:type="dxa"/>
        <w:tblCellMar>
          <w:top w:w="0" w:type="dxa"/>
          <w:left w:w="0" w:type="dxa"/>
          <w:bottom w:w="0" w:type="dxa"/>
          <w:right w:w="0" w:type="dxa"/>
        </w:tblCellMar>
      </w:tblPr>
      <w:tr>
        <w:trPr>
          <w:trHeight w:val="190"/>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6480" w:type="dxa"/>
            <w:vAlign w:val="bottom"/>
            <w:gridSpan w:val="2"/>
          </w:tcPr>
          <w:p>
            <w:pPr>
              <w:ind w:left="4800"/>
              <w:spacing w:after="0"/>
              <w:rPr>
                <w:sz w:val="20"/>
                <w:szCs w:val="20"/>
                <w:color w:val="auto"/>
              </w:rPr>
            </w:pPr>
            <w:r>
              <w:rPr>
                <w:rFonts w:ascii="Times New Roman" w:cs="Times New Roman" w:eastAsia="Times New Roman" w:hAnsi="Times New Roman"/>
                <w:sz w:val="14"/>
                <w:szCs w:val="14"/>
                <w:b w:val="1"/>
                <w:bCs w:val="1"/>
                <w:color w:val="auto"/>
              </w:rPr>
              <w:t>Milestone Payments</w:t>
            </w:r>
          </w:p>
        </w:tc>
        <w:tc>
          <w:tcPr>
            <w:tcW w:w="0" w:type="dxa"/>
            <w:vAlign w:val="bottom"/>
          </w:tcPr>
          <w:p>
            <w:pPr>
              <w:spacing w:after="0"/>
              <w:rPr>
                <w:sz w:val="1"/>
                <w:szCs w:val="1"/>
                <w:color w:val="auto"/>
              </w:rPr>
            </w:pPr>
          </w:p>
        </w:tc>
      </w:tr>
      <w:tr>
        <w:trPr>
          <w:trHeight w:val="131"/>
        </w:trPr>
        <w:tc>
          <w:tcPr>
            <w:tcW w:w="1000" w:type="dxa"/>
            <w:vAlign w:val="bottom"/>
            <w:gridSpan w:val="2"/>
            <w:vMerge w:val="continue"/>
          </w:tcPr>
          <w:p>
            <w:pPr>
              <w:spacing w:after="0"/>
              <w:rPr>
                <w:sz w:val="11"/>
                <w:szCs w:val="11"/>
                <w:color w:val="auto"/>
              </w:rPr>
            </w:pPr>
          </w:p>
        </w:tc>
        <w:tc>
          <w:tcPr>
            <w:tcW w:w="48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4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shd w:val="clear" w:color="auto" w:fill="CCEEFF"/>
          </w:tcPr>
          <w:p>
            <w:pPr>
              <w:ind w:left="4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8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340" w:hanging="393"/>
        <w:spacing w:after="0"/>
        <w:tabs>
          <w:tab w:leader="none" w:pos="134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Phase I Clinical Trial Milestone discount</w:t>
      </w: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b w:val="1"/>
          <w:bCs w:val="1"/>
          <w:color w:val="auto"/>
        </w:rPr>
      </w:pPr>
    </w:p>
    <w:p>
      <w:pPr>
        <w:ind w:left="-40" w:firstLine="987"/>
        <w:spacing w:after="0" w:line="256" w:lineRule="auto"/>
        <w:tabs>
          <w:tab w:leader="none" w:pos="1331"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Catch-Up Payments</w:t>
      </w:r>
      <w:r>
        <w:rPr>
          <w:rFonts w:ascii="Times New Roman" w:cs="Times New Roman" w:eastAsia="Times New Roman" w:hAnsi="Times New Roman"/>
          <w:sz w:val="18"/>
          <w:szCs w:val="18"/>
          <w:color w:val="auto"/>
        </w:rPr>
        <w:t>. Milestone Payments are payable one time per Product, the first time each Milestone Event is achieved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regardless of whether a Product covers more than one Target or is comprised of one or more Program-Benefited Antibodies. If a later-stage clinical Milestone Event is achieved for any Product without one or more earlier-stage clinical Milestone Events having been achieved for that Product, then Cullinan will pay the Milestone Payment(s) for such previous clinical Milestone Event(s) along with the payment for the most recently achieved clinical-stage Milestone Event. If a Milestone Event related to filing for Marketing Approval is achieved without one or more of the clinical Milestone Events being achieved, then Cullinan will pay the Milestone Payment(s) for such previous clinical Milestone Event(s) along with the payment for the first Milestone Event related to filing for Marketing Approval.</w:t>
      </w:r>
    </w:p>
    <w:p>
      <w:pPr>
        <w:spacing w:after="0" w:line="182" w:lineRule="exact"/>
        <w:rPr>
          <w:rFonts w:ascii="Times New Roman" w:cs="Times New Roman" w:eastAsia="Times New Roman" w:hAnsi="Times New Roman"/>
          <w:sz w:val="18"/>
          <w:szCs w:val="18"/>
          <w:b w:val="1"/>
          <w:bCs w:val="1"/>
          <w:color w:val="auto"/>
        </w:rPr>
      </w:pPr>
    </w:p>
    <w:p>
      <w:pPr>
        <w:ind w:left="-40" w:right="20" w:firstLine="987"/>
        <w:spacing w:after="0" w:line="252" w:lineRule="auto"/>
        <w:tabs>
          <w:tab w:leader="none" w:pos="1351"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Back-Up Candidates</w:t>
      </w:r>
      <w:r>
        <w:rPr>
          <w:rFonts w:ascii="Times New Roman" w:cs="Times New Roman" w:eastAsia="Times New Roman" w:hAnsi="Times New Roman"/>
          <w:sz w:val="18"/>
          <w:szCs w:val="18"/>
          <w:color w:val="auto"/>
        </w:rPr>
        <w:t>. Cullinan may designate a Product as a Back-Up Candidate to another Product designated by Cullinan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Product, which Lead Product is further in development than the Back-Up Candidate and is directed to the same Target (or, with respect to a Multispecific Product, the same set of Targets) as the Back-Up Candidate. In the event that a Milestone Event that was already achieved with respect to a Lead Product is also achieved with respect to a Back-Up Candidate to such Lead Product prior to receipt of Marketing Approval for the Lead Product, then Cullinan’s obligation to pay the corresponding Milestone Payment with respect to the achievement of the applicable Milestone Event with respect to such Back-Up Candidate will be deferred until receipt of Marketing Approval of the Lead Product. If Cullinan continues to develop such Back-Up Candidate after receipt of Marketing Approval for the Lead Product, all deferred Milestone Payments for such Back-Up Candidate will become payable within [***] after receipt of such Marketing Approval and all subsequent Milestone Payments for such Back-Up Candidate will be payable within [***] (or within [***] in the event that the relevant Milestone Event is achieved by a licensee or sublicensee of Cullinan) after achievement of the corresponding Milestone Event with respect to such Back-Up Candidate. If Cullinan discontinues all development activities with respect to a Back-Up Candidate upon Marketing Approval of the Lead Product and provides Adimab with written notice thereof within [***] after receipt of such Marketing Approval, Cullinan will not be obligated to pay the deferred Milestone Payments for such Back-Up Candidate. If Cullinan continues to develop such Back-Up Candidate after discontinuation of development of the Lead Product (but prior to Marketing Approval of such Lead Product), Cullinan will not be obligated to pay any Milestone Payments already paid with respect to such Lead Product, but all Milestone Payments for subsequent, previously unachieved Milestone Events achieved with respect to such Back-Up Candidate that were not paid to Adimab with respect to such Lead Product will be payable within [***] after achievement of any subsequent, previously unachieved (with respect to the Lead Product) Milestone Event by the Back-Up Candidate.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80" w:top="263" w:right="479" w:bottom="1440" w:gutter="0" w:footer="0" w:header="0"/>
        </w:sectPr>
      </w:pPr>
    </w:p>
    <w:bookmarkStart w:id="502" w:name="page503"/>
    <w:bookmarkEnd w:id="502"/>
    <w:p>
      <w:pPr>
        <w:ind w:left="4" w:right="20" w:firstLine="987"/>
        <w:spacing w:after="0" w:line="286" w:lineRule="auto"/>
        <w:tabs>
          <w:tab w:leader="none" w:pos="1375"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Milestone Payments for Optimized Cullinan Products and Blended Multispecific Products</w:t>
      </w:r>
      <w:r>
        <w:rPr>
          <w:rFonts w:ascii="Times New Roman" w:cs="Times New Roman" w:eastAsia="Times New Roman" w:hAnsi="Times New Roman"/>
          <w:sz w:val="18"/>
          <w:szCs w:val="18"/>
          <w:color w:val="auto"/>
        </w:rPr>
        <w:t>. Notwithstanding the foregoing,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4.4(f) (</w:t>
      </w:r>
      <w:r>
        <w:rPr>
          <w:rFonts w:ascii="Times New Roman" w:cs="Times New Roman" w:eastAsia="Times New Roman" w:hAnsi="Times New Roman"/>
          <w:sz w:val="18"/>
          <w:szCs w:val="18"/>
          <w:i w:val="1"/>
          <w:iCs w:val="1"/>
          <w:color w:val="auto"/>
        </w:rPr>
        <w:t>Milestone Payments for Products Containing Identical Program-Benefited Antibodies</w:t>
      </w:r>
      <w:r>
        <w:rPr>
          <w:rFonts w:ascii="Times New Roman" w:cs="Times New Roman" w:eastAsia="Times New Roman" w:hAnsi="Times New Roman"/>
          <w:sz w:val="18"/>
          <w:szCs w:val="18"/>
          <w:color w:val="auto"/>
        </w:rPr>
        <w:t>), [***].</w:t>
      </w:r>
    </w:p>
    <w:p>
      <w:pPr>
        <w:spacing w:after="0" w:line="154" w:lineRule="exact"/>
        <w:rPr>
          <w:rFonts w:ascii="Times New Roman" w:cs="Times New Roman" w:eastAsia="Times New Roman" w:hAnsi="Times New Roman"/>
          <w:sz w:val="18"/>
          <w:szCs w:val="18"/>
          <w:b w:val="1"/>
          <w:bCs w:val="1"/>
          <w:color w:val="auto"/>
        </w:rPr>
      </w:pPr>
    </w:p>
    <w:p>
      <w:pPr>
        <w:ind w:left="4" w:right="140" w:firstLine="987"/>
        <w:spacing w:after="0" w:line="262" w:lineRule="auto"/>
        <w:tabs>
          <w:tab w:leader="none" w:pos="1400"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Milestone Payments for Subsequent Products</w:t>
      </w:r>
      <w:r>
        <w:rPr>
          <w:rFonts w:ascii="Times New Roman" w:cs="Times New Roman" w:eastAsia="Times New Roman" w:hAnsi="Times New Roman"/>
          <w:sz w:val="18"/>
          <w:szCs w:val="18"/>
          <w:color w:val="auto"/>
        </w:rPr>
        <w:t>. Notwithstanding the foregoing, for any given Product (each, a “</w:t>
      </w:r>
      <w:r>
        <w:rPr>
          <w:rFonts w:ascii="Times New Roman" w:cs="Times New Roman" w:eastAsia="Times New Roman" w:hAnsi="Times New Roman"/>
          <w:sz w:val="18"/>
          <w:szCs w:val="18"/>
          <w:b w:val="1"/>
          <w:bCs w:val="1"/>
          <w:color w:val="auto"/>
        </w:rPr>
        <w:t>Subsequent Product</w:t>
      </w:r>
      <w:r>
        <w:rPr>
          <w:rFonts w:ascii="Times New Roman" w:cs="Times New Roman" w:eastAsia="Times New Roman" w:hAnsi="Times New Roman"/>
          <w:sz w:val="18"/>
          <w:szCs w:val="18"/>
          <w:color w:val="auto"/>
        </w:rPr>
        <w:t>”) [***] (an “</w:t>
      </w:r>
      <w:r>
        <w:rPr>
          <w:rFonts w:ascii="Times New Roman" w:cs="Times New Roman" w:eastAsia="Times New Roman" w:hAnsi="Times New Roman"/>
          <w:sz w:val="18"/>
          <w:szCs w:val="18"/>
          <w:b w:val="1"/>
          <w:bCs w:val="1"/>
          <w:color w:val="auto"/>
        </w:rPr>
        <w:t>Original Product</w:t>
      </w:r>
      <w:r>
        <w:rPr>
          <w:rFonts w:ascii="Times New Roman" w:cs="Times New Roman" w:eastAsia="Times New Roman" w:hAnsi="Times New Roman"/>
          <w:sz w:val="18"/>
          <w:szCs w:val="18"/>
          <w:color w:val="auto"/>
        </w:rPr>
        <w:t>”) for which a given Milestone Event has been achieved and the corresponding Milestone Payment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for such earlier Product, and (y) does not contain or comprise any Program-Benefited Antibodies which were not in an Original Product, then the following shall apply: [***].</w:t>
      </w:r>
    </w:p>
    <w:p>
      <w:pPr>
        <w:spacing w:after="0" w:line="325"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Royalties.</w:t>
      </w:r>
    </w:p>
    <w:p>
      <w:pPr>
        <w:spacing w:after="0" w:line="117" w:lineRule="exact"/>
        <w:rPr>
          <w:sz w:val="20"/>
          <w:szCs w:val="20"/>
          <w:color w:val="auto"/>
        </w:rPr>
      </w:pPr>
    </w:p>
    <w:p>
      <w:pPr>
        <w:jc w:val="both"/>
        <w:ind w:left="4" w:right="120" w:firstLine="987"/>
        <w:spacing w:after="0" w:line="268" w:lineRule="auto"/>
        <w:tabs>
          <w:tab w:leader="none" w:pos="1385"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As to each Product sold during the applicable Royalty Term, on a Product-by-Product basis, Cullinan will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Adimab the following royalties, based on the royalty rate applicable to the relevant portion of annual worldwide Net Sales for such Product (“</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Portion of Worldwide Calendar Year Net Sales</w:t>
            </w:r>
          </w:p>
        </w:tc>
        <w:tc>
          <w:tcPr>
            <w:tcW w:w="4600" w:type="dxa"/>
            <w:vAlign w:val="bottom"/>
            <w:gridSpan w:val="2"/>
          </w:tcPr>
          <w:p>
            <w:pPr>
              <w:ind w:left="3800"/>
              <w:spacing w:after="0"/>
              <w:rPr>
                <w:sz w:val="20"/>
                <w:szCs w:val="20"/>
                <w:color w:val="auto"/>
              </w:rPr>
            </w:pPr>
            <w:r>
              <w:rPr>
                <w:rFonts w:ascii="Times New Roman" w:cs="Times New Roman" w:eastAsia="Times New Roman" w:hAnsi="Times New Roman"/>
                <w:sz w:val="14"/>
                <w:szCs w:val="14"/>
                <w:b w:val="1"/>
                <w:bCs w:val="1"/>
                <w:color w:val="auto"/>
                <w:w w:val="99"/>
              </w:rPr>
              <w:t>Royalty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Notwithstanding the foregoing, Royalty Payments for [***] of annual worldwide Net Sales of such Products during the applicable Royalty Term for such Products.</w:t>
      </w:r>
    </w:p>
    <w:p>
      <w:pPr>
        <w:spacing w:after="0" w:line="158" w:lineRule="exact"/>
        <w:rPr>
          <w:sz w:val="20"/>
          <w:szCs w:val="20"/>
          <w:color w:val="auto"/>
        </w:rPr>
      </w:pPr>
    </w:p>
    <w:p>
      <w:pPr>
        <w:ind w:left="4" w:firstLine="987"/>
        <w:spacing w:after="0" w:line="267" w:lineRule="auto"/>
        <w:tabs>
          <w:tab w:leader="none" w:pos="1395" w:val="left"/>
        </w:tabs>
        <w:numPr>
          <w:ilvl w:val="1"/>
          <w:numId w:val="4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Adjustment for Third Party IP</w:t>
      </w:r>
      <w:r>
        <w:rPr>
          <w:rFonts w:ascii="Times New Roman" w:cs="Times New Roman" w:eastAsia="Times New Roman" w:hAnsi="Times New Roman"/>
          <w:sz w:val="17"/>
          <w:szCs w:val="17"/>
          <w:color w:val="auto"/>
        </w:rPr>
        <w:t>. If Cullinan (or an Affiliate or Licensee of Cullinan) enters into any Third Party Intellectual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Property Licenses, then [***] of the amounts actually paid to the Third Party under the Third Party Intellectual Property License in any given calendar quarter in any given country may be offset against the Royalty Payment or Milestone Payment, if any, that would otherwise have been payable to Adimab hereunder;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no event will the royalty owed to Adimab be reduced by more than [***] of the payment which would otherwise be due hereunder. It is understood, agreed and acknowledged that Adimab’s allowing Cullinan to claim the credit of this Section 4.5(b) (</w:t>
      </w:r>
      <w:r>
        <w:rPr>
          <w:rFonts w:ascii="Times New Roman" w:cs="Times New Roman" w:eastAsia="Times New Roman" w:hAnsi="Times New Roman"/>
          <w:sz w:val="17"/>
          <w:szCs w:val="17"/>
          <w:i w:val="1"/>
          <w:iCs w:val="1"/>
          <w:color w:val="auto"/>
        </w:rPr>
        <w:t>Adjustment for Third Party IP</w:t>
      </w:r>
      <w:r>
        <w:rPr>
          <w:rFonts w:ascii="Times New Roman" w:cs="Times New Roman" w:eastAsia="Times New Roman" w:hAnsi="Times New Roman"/>
          <w:sz w:val="17"/>
          <w:szCs w:val="17"/>
          <w:color w:val="auto"/>
        </w:rPr>
        <w:t>) as to any particular Third Party Patent License: (i) does not mean Adimab believes that the licensed Patents are valid and were infringed or Cover any aspect of the discovery or optimization work by Adimab; (ii) does not mean Adimab agrees with Cullinan’s opinion as to the likelihood of success of a claim of such infringement or Coverage; (iii) does not mean that Adimab believes Cullinan’s opinion as to any of the foregoing is reasonable; and (iv) is not and will not be under any circumstances construed as an admission of any kind. Adimab may have many reasons not to challenge any given assertion of the credit of this Section 4.5(b) (</w:t>
      </w:r>
      <w:r>
        <w:rPr>
          <w:rFonts w:ascii="Times New Roman" w:cs="Times New Roman" w:eastAsia="Times New Roman" w:hAnsi="Times New Roman"/>
          <w:sz w:val="17"/>
          <w:szCs w:val="17"/>
          <w:i w:val="1"/>
          <w:iCs w:val="1"/>
          <w:color w:val="auto"/>
        </w:rPr>
        <w:t>Adjustment for Third Party IP</w:t>
      </w:r>
      <w:r>
        <w:rPr>
          <w:rFonts w:ascii="Times New Roman" w:cs="Times New Roman" w:eastAsia="Times New Roman" w:hAnsi="Times New Roman"/>
          <w:sz w:val="17"/>
          <w:szCs w:val="17"/>
          <w:color w:val="auto"/>
        </w:rPr>
        <w:t>) by Cullinan, including: (1) maintaining good relations with a counterparty; (2) an assessment that the costs of the credit are outweighed by the benefits of Cullinan having a license in place that makes it feel comfortable to proceed with the Product (resulting in a greater likelihood of milestones and royalties being paid to Adimab); (3) resource limitations that make it impracticable to challenge Cullinan’s assertion of such credit even though Adimab may disagree whether this is proper; and</w:t>
      </w:r>
    </w:p>
    <w:p>
      <w:pPr>
        <w:spacing w:after="0" w:line="3"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reasons other than thinking that the licensed Third Party Patents Cover or were infringed by any aspect of the discovery or optimization work.</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4"/>
          </w:cols>
          <w:pgMar w:left="436" w:top="265" w:right="519" w:bottom="1440" w:gutter="0" w:footer="0" w:header="0"/>
        </w:sectPr>
      </w:pPr>
    </w:p>
    <w:bookmarkStart w:id="503" w:name="page504"/>
    <w:bookmarkEnd w:id="503"/>
    <w:p>
      <w:pPr>
        <w:ind w:right="100" w:firstLine="987"/>
        <w:spacing w:after="0" w:line="262" w:lineRule="auto"/>
        <w:tabs>
          <w:tab w:leader="none" w:pos="1371"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Know-How Royalty</w:t>
      </w:r>
      <w:r>
        <w:rPr>
          <w:rFonts w:ascii="Times New Roman" w:cs="Times New Roman" w:eastAsia="Times New Roman" w:hAnsi="Times New Roman"/>
          <w:sz w:val="18"/>
          <w:szCs w:val="18"/>
          <w:color w:val="auto"/>
        </w:rPr>
        <w:t>. For clarity, the Patent licenses granted to Cullinan under this Agreement are non-royalty-bearing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have negotiated Royalty Payments based on the value of the Know-How (primarily in the form of trade secrets that Adimab represents are valid and proprietary to Adimab as of the Effective Date) used in the generation of Optioned Antibodies that are assigned to Cullinan hereunder with the expectation that Cullinan will obtain its own Patent protection for Products.</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4.6 Quarterly Payment Timings</w:t>
      </w:r>
      <w:r>
        <w:rPr>
          <w:rFonts w:ascii="Times New Roman" w:cs="Times New Roman" w:eastAsia="Times New Roman" w:hAnsi="Times New Roman"/>
          <w:sz w:val="18"/>
          <w:szCs w:val="18"/>
          <w:color w:val="auto"/>
        </w:rPr>
        <w:t>. All Royalty Payments due under Section 4.5 (</w:t>
      </w: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will be paid [***]within [***] (or within [***]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Net Sales are generated by a licensee or sublicensee of Cullinan) after the end of the relevant calendar quarter for which royalties are due.</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4.7 Royalty Payment Reports</w:t>
      </w:r>
      <w:r>
        <w:rPr>
          <w:rFonts w:ascii="Times New Roman" w:cs="Times New Roman" w:eastAsia="Times New Roman" w:hAnsi="Times New Roman"/>
          <w:sz w:val="18"/>
          <w:szCs w:val="18"/>
          <w:color w:val="auto"/>
        </w:rPr>
        <w:t>. With respect to [***], within [***] (or within [***] in the event that Net Sales are generated by a licensee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 of Cullinan) after the end of the calendar quarter, Cullinan will provide to Adimab a written report stating the number and description of all Products sold during the relevant calendar quarter; the gross sales associated with such sales; and the calculation of Net Sales on such sales, including the amount of any deduction provided for in the definition of Net Sales. The report will provide all such information on a country-by-country and Product-by-Product basis; [***].</w:t>
      </w:r>
    </w:p>
    <w:p>
      <w:pPr>
        <w:spacing w:after="0" w:line="179" w:lineRule="exact"/>
        <w:rPr>
          <w:sz w:val="20"/>
          <w:szCs w:val="20"/>
          <w:color w:val="auto"/>
        </w:rPr>
      </w:pPr>
    </w:p>
    <w:p>
      <w:pPr>
        <w:jc w:val="both"/>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4.8 Payment Method</w:t>
      </w:r>
      <w:r>
        <w:rPr>
          <w:rFonts w:ascii="Times New Roman" w:cs="Times New Roman" w:eastAsia="Times New Roman" w:hAnsi="Times New Roman"/>
          <w:sz w:val="18"/>
          <w:szCs w:val="18"/>
          <w:color w:val="auto"/>
        </w:rPr>
        <w:t>. All payments due under this Agreement to Adimab will be made by bank wire transfer in immediately available funds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account designated by Adimab. All payments hereunder will be made in the legal currency of the United States of America, and all references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will refer to United States dollars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legal currency of the United States). Cullinan shall not be responsible for any delayed payment, resulting from Adimab’s failure provide appropriate and accurate account information under this Section 4.8 (</w:t>
      </w:r>
      <w:r>
        <w:rPr>
          <w:rFonts w:ascii="Times New Roman" w:cs="Times New Roman" w:eastAsia="Times New Roman" w:hAnsi="Times New Roman"/>
          <w:sz w:val="18"/>
          <w:szCs w:val="18"/>
          <w:i w:val="1"/>
          <w:iCs w:val="1"/>
          <w:color w:val="auto"/>
        </w:rPr>
        <w:t>Payment Method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4.9 Taxes</w:t>
      </w:r>
      <w:r>
        <w:rPr>
          <w:rFonts w:ascii="Times New Roman" w:cs="Times New Roman" w:eastAsia="Times New Roman" w:hAnsi="Times New Roman"/>
          <w:sz w:val="17"/>
          <w:szCs w:val="17"/>
          <w:color w:val="auto"/>
        </w:rPr>
        <w:t>. All payments under this Agreement are exclusive of all taxes (such as taxes imposed on the production, sale, delivery or use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 including, without limitation, sales, use, excise or value added taxes) other than income taxes owed by Adimab as a result of the payments made hereunder. Cullinan will make all payments to Adimab under this Agreement without deduction or withholding except to the extent that any such deduction or withholding is required on payments made on transactions as a result of the fact that such payments are made from different countries. The Parties agree to cooperate with one another and use reasonable efforts to minimize obligations for any taxes required by applicable law to be withheld or deducted from any royalties, milestone payments or other payments made by Cullinan to Adimab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Cullinan is required to deduct and withhold taxes on any payment to Adimab, Cullinan will deduct and withhold such taxes and pay the amounts of such taxes to the proper government authority in a timely manner and promptly submit to Adimab an official tax certificate or other evidence of such withholding sufficient to enable Adimab to claim such payment of taxes. Cullinan will provide Adimab with reasonable assistance in order to allow Adimab to recover, as permitted by applicable law, withholding taxes, value added taxes or similar obligations resulting from payments made hereunder or to obtain the benefit of any present or future treaty against double taxation which may apply to such payments. Adimab will provide Cullinan with any tax forms that may be reasonably necessary in order for Cullinan not to withhold tax or to withhold tax at a reduced rate under an applicable bilateral tax income treaty. Adimab will use reasonable efforts to provide any such tax forms to Cullinan at least [***] prior to the due date identified by Cullinan for any payment for which Adimab desires that Cullinan apply a reduced withholding rate. Cullinan will make all payments due hereunder from the United States.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5" w:right="459" w:bottom="1440" w:gutter="0" w:footer="0" w:header="0"/>
        </w:sectPr>
      </w:pPr>
    </w:p>
    <w:bookmarkStart w:id="504" w:name="page505"/>
    <w:bookmarkEnd w:id="504"/>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4.10</w:t>
      </w:r>
      <w:r>
        <w:rPr>
          <w:sz w:val="20"/>
          <w:szCs w:val="20"/>
          <w:color w:val="auto"/>
        </w:rPr>
        <w:tab/>
      </w:r>
      <w:r>
        <w:rPr>
          <w:rFonts w:ascii="Times New Roman" w:cs="Times New Roman" w:eastAsia="Times New Roman" w:hAnsi="Times New Roman"/>
          <w:sz w:val="17"/>
          <w:szCs w:val="17"/>
          <w:b w:val="1"/>
          <w:bCs w:val="1"/>
          <w:color w:val="auto"/>
        </w:rPr>
        <w:t>Records; Inspection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987"/>
        <w:spacing w:after="0" w:line="259" w:lineRule="auto"/>
        <w:tabs>
          <w:tab w:leader="none" w:pos="1381"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Records</w:t>
      </w:r>
      <w:r>
        <w:rPr>
          <w:rFonts w:ascii="Times New Roman" w:cs="Times New Roman" w:eastAsia="Times New Roman" w:hAnsi="Times New Roman"/>
          <w:sz w:val="18"/>
          <w:szCs w:val="18"/>
          <w:color w:val="auto"/>
        </w:rPr>
        <w:t>. Cullinan will keep complete and accurate records of its sales and other dispositions (including use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trials, or provision on a compassionate use basis or as marketing samples) of Optioned Antibodies and Products including all records that may be necessary for the purposes of calculating all payments due under this Agreement. Cullinan will make such records available for inspection by an independent certified public accountant from a nationally recognized (in the U.S.) accounting firm selected by Adimab at Cullinan’s premises in the United States on reasonable notice during regular business hours for the sole purpose of verifying the accuracy of Cullinan’s Royalty Payments.</w:t>
      </w:r>
    </w:p>
    <w:p>
      <w:pPr>
        <w:spacing w:after="0" w:line="179"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391"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Rights</w:t>
      </w:r>
      <w:r>
        <w:rPr>
          <w:rFonts w:ascii="Times New Roman" w:cs="Times New Roman" w:eastAsia="Times New Roman" w:hAnsi="Times New Roman"/>
          <w:sz w:val="18"/>
          <w:szCs w:val="18"/>
          <w:color w:val="auto"/>
        </w:rPr>
        <w:t>. At Adimab’s expense no more than once per calendar year, Adimab has the right to retain an independent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accountant from a nationally recognized (in the U.S.) accounting firm to perform on behalf of Adimab an audit, conducted in accordance with U.S. generally accepted accounting principles (GAAP), of such books and records of Cullinan as are deemed necessary by the independent public accountant to report on Net Sales for the period or periods requested by Adimab and the correctness of any report or payments made under this Agreement. Cullinan may require that such independent accounting firm enter into a customary confidentiality agreement reasonably satisfactory to Cullinan as a condition to obtaining access to such records. Such auditor shall not disclose Cullinan’s confidential information to Adimab, except to the extent such disclosure is necessary to verify the accuracy of the financial reports furnished by Cullinan or the amount of payments due by Cullinan under this Agreement. Adimab shall not have the right to audit sublicensee(s) directly, but in connection with an audit of Cullinan under this</w:t>
      </w:r>
    </w:p>
    <w:p>
      <w:pPr>
        <w:spacing w:after="0" w:line="4" w:lineRule="exact"/>
        <w:rPr>
          <w:rFonts w:ascii="Times New Roman" w:cs="Times New Roman" w:eastAsia="Times New Roman" w:hAnsi="Times New Roman"/>
          <w:sz w:val="18"/>
          <w:szCs w:val="18"/>
          <w:b w:val="1"/>
          <w:bCs w:val="1"/>
          <w:color w:val="auto"/>
        </w:rPr>
      </w:pPr>
    </w:p>
    <w:p>
      <w:pPr>
        <w:ind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4.10(b) (</w:t>
      </w:r>
      <w:r>
        <w:rPr>
          <w:rFonts w:ascii="Times New Roman" w:cs="Times New Roman" w:eastAsia="Times New Roman" w:hAnsi="Times New Roman"/>
          <w:sz w:val="18"/>
          <w:szCs w:val="18"/>
          <w:i w:val="1"/>
          <w:iCs w:val="1"/>
          <w:u w:val="single" w:color="auto"/>
          <w:color w:val="auto"/>
        </w:rPr>
        <w:t>Audit Rights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Adimab shall have the right to cause Cullinan to audit the applicable sublicensee(s) using the independent, certified public accountant conducting the audit under this </w:t>
      </w:r>
      <w:r>
        <w:rPr>
          <w:rFonts w:ascii="Times New Roman" w:cs="Times New Roman" w:eastAsia="Times New Roman" w:hAnsi="Times New Roman"/>
          <w:sz w:val="18"/>
          <w:szCs w:val="18"/>
          <w:u w:val="single" w:color="auto"/>
          <w:color w:val="auto"/>
        </w:rPr>
        <w:t>Section 4.10(b) (</w:t>
      </w:r>
      <w:r>
        <w:rPr>
          <w:rFonts w:ascii="Times New Roman" w:cs="Times New Roman" w:eastAsia="Times New Roman" w:hAnsi="Times New Roman"/>
          <w:sz w:val="18"/>
          <w:szCs w:val="18"/>
          <w:i w:val="1"/>
          <w:iCs w:val="1"/>
          <w:u w:val="single" w:color="auto"/>
          <w:color w:val="auto"/>
        </w:rPr>
        <w:t>Audit Rights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Any report provided by Cullinan shall be deemed final and not subject to challenge, except in the event of fraud or other willful misconduct, [***] after the date furnished to Adimab.</w:t>
      </w:r>
    </w:p>
    <w:p>
      <w:pPr>
        <w:spacing w:after="0" w:line="181"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371"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Underpayment</w:t>
      </w:r>
      <w:r>
        <w:rPr>
          <w:rFonts w:ascii="Times New Roman" w:cs="Times New Roman" w:eastAsia="Times New Roman" w:hAnsi="Times New Roman"/>
          <w:sz w:val="18"/>
          <w:szCs w:val="18"/>
          <w:color w:val="auto"/>
        </w:rPr>
        <w:t>. If the audit reveals an underpayment, Cullinan will promptly pay to Adimab the amount of such underpayment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accordance with Section 4.14 (</w:t>
      </w:r>
      <w:r>
        <w:rPr>
          <w:rFonts w:ascii="Times New Roman" w:cs="Times New Roman" w:eastAsia="Times New Roman" w:hAnsi="Times New Roman"/>
          <w:sz w:val="18"/>
          <w:szCs w:val="18"/>
          <w:i w:val="1"/>
          <w:iCs w:val="1"/>
          <w:color w:val="auto"/>
        </w:rPr>
        <w:t>Late Payments</w:t>
      </w:r>
      <w:r>
        <w:rPr>
          <w:rFonts w:ascii="Times New Roman" w:cs="Times New Roman" w:eastAsia="Times New Roman" w:hAnsi="Times New Roman"/>
          <w:sz w:val="18"/>
          <w:szCs w:val="18"/>
          <w:color w:val="auto"/>
        </w:rPr>
        <w:t>). If the audit reveals that the monies owed by Cullinan to Adimab have been understated by more than [***] for the period audited, Cullinan will, in addition, pay the costs of such audit.</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65" w:right="519" w:bottom="1440" w:gutter="0" w:footer="0" w:header="0"/>
        </w:sectPr>
      </w:pPr>
    </w:p>
    <w:bookmarkStart w:id="505" w:name="page506"/>
    <w:bookmarkEnd w:id="505"/>
    <w:p>
      <w:pPr>
        <w:ind w:right="740" w:firstLine="987"/>
        <w:spacing w:after="0" w:line="286" w:lineRule="auto"/>
        <w:tabs>
          <w:tab w:leader="none" w:pos="1391"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 of Records</w:t>
      </w:r>
      <w:r>
        <w:rPr>
          <w:rFonts w:ascii="Times New Roman" w:cs="Times New Roman" w:eastAsia="Times New Roman" w:hAnsi="Times New Roman"/>
          <w:sz w:val="18"/>
          <w:szCs w:val="18"/>
          <w:color w:val="auto"/>
        </w:rPr>
        <w:t>. Adimab shall treat all information reviewed or received from Cullinan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inspection or audit pursuant to Section 4.10 (</w:t>
      </w:r>
      <w:r>
        <w:rPr>
          <w:rFonts w:ascii="Times New Roman" w:cs="Times New Roman" w:eastAsia="Times New Roman" w:hAnsi="Times New Roman"/>
          <w:sz w:val="18"/>
          <w:szCs w:val="18"/>
          <w:i w:val="1"/>
          <w:iCs w:val="1"/>
          <w:color w:val="auto"/>
        </w:rPr>
        <w:t>Records; Inspection</w:t>
      </w:r>
      <w:r>
        <w:rPr>
          <w:rFonts w:ascii="Times New Roman" w:cs="Times New Roman" w:eastAsia="Times New Roman" w:hAnsi="Times New Roman"/>
          <w:sz w:val="18"/>
          <w:szCs w:val="18"/>
          <w:color w:val="auto"/>
        </w:rPr>
        <w:t>) as Confidential Information of Cullinan.</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4.11 Licensee Reports, Records and Audits</w:t>
      </w:r>
      <w:r>
        <w:rPr>
          <w:rFonts w:ascii="Times New Roman" w:cs="Times New Roman" w:eastAsia="Times New Roman" w:hAnsi="Times New Roman"/>
          <w:sz w:val="18"/>
          <w:szCs w:val="18"/>
          <w:color w:val="auto"/>
        </w:rPr>
        <w:t>. Any agreements with Licensees will include an obligation for the Licensee to (a) maintain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to document and verify the proper payments (including milestones and royalties) to be paid to Adimab; (b) provide quarterly reports to Adimab with sufficient information to allow such verification; and (c) allow Adimab (or Cullinan if requested by Adimab) to verify the payments due (such audit right is not required to be any stronger than that of Section 4.10(b) (</w:t>
      </w:r>
      <w:r>
        <w:rPr>
          <w:rFonts w:ascii="Times New Roman" w:cs="Times New Roman" w:eastAsia="Times New Roman" w:hAnsi="Times New Roman"/>
          <w:sz w:val="18"/>
          <w:szCs w:val="18"/>
          <w:i w:val="1"/>
          <w:iCs w:val="1"/>
          <w:color w:val="auto"/>
        </w:rPr>
        <w:t>Audit Rights</w:t>
      </w:r>
      <w:r>
        <w:rPr>
          <w:rFonts w:ascii="Times New Roman" w:cs="Times New Roman" w:eastAsia="Times New Roman" w:hAnsi="Times New Roman"/>
          <w:sz w:val="18"/>
          <w:szCs w:val="18"/>
          <w:color w:val="auto"/>
        </w:rPr>
        <w:t>)). Cullinan may require that any such audit of a Licensee or sublicensee be conducted as part of an audit by Cullinan of such Licensee or sublicensee, if Cullinan is conducting an audit of the same Licensee or sublicensee for the same reporting period(s).</w:t>
      </w:r>
    </w:p>
    <w:p>
      <w:pPr>
        <w:spacing w:after="0" w:line="182"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4.12 Foreign Exchange</w:t>
      </w:r>
      <w:r>
        <w:rPr>
          <w:rFonts w:ascii="Times New Roman" w:cs="Times New Roman" w:eastAsia="Times New Roman" w:hAnsi="Times New Roman"/>
          <w:sz w:val="18"/>
          <w:szCs w:val="18"/>
          <w:color w:val="auto"/>
        </w:rPr>
        <w:t>. If any currency conversion will be required in connection with the calculation of amounts payable hereunder,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will be made using the exchange rates reported on the [***] day prior the payment due date for the purchase and sale of U.S. dollars, as reported by the Wall Street Journal. With any payment in relation to which a currency conversion is performed to calculate the amount of payment due, Cullinan will provide to Adimab a true, accurate and complete copy of the exchange rates used in such calculation.</w:t>
      </w:r>
    </w:p>
    <w:p>
      <w:pPr>
        <w:spacing w:after="0" w:line="176"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4.13 Non-refundable, non-creditable payments</w:t>
      </w:r>
      <w:r>
        <w:rPr>
          <w:rFonts w:ascii="Times New Roman" w:cs="Times New Roman" w:eastAsia="Times New Roman" w:hAnsi="Times New Roman"/>
          <w:sz w:val="18"/>
          <w:szCs w:val="18"/>
          <w:color w:val="auto"/>
        </w:rPr>
        <w:t>. Each payment that is required under this Agreement is non-refundable and non-creditable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to the extent set forth in Section 4.1(b) (</w:t>
      </w:r>
      <w:r>
        <w:rPr>
          <w:rFonts w:ascii="Times New Roman" w:cs="Times New Roman" w:eastAsia="Times New Roman" w:hAnsi="Times New Roman"/>
          <w:sz w:val="18"/>
          <w:szCs w:val="18"/>
          <w:i w:val="1"/>
          <w:iCs w:val="1"/>
          <w:color w:val="auto"/>
        </w:rPr>
        <w:t>Annual Access Fee</w:t>
      </w:r>
      <w:r>
        <w:rPr>
          <w:rFonts w:ascii="Times New Roman" w:cs="Times New Roman" w:eastAsia="Times New Roman" w:hAnsi="Times New Roman"/>
          <w:sz w:val="18"/>
          <w:szCs w:val="18"/>
          <w:color w:val="auto"/>
        </w:rPr>
        <w:t>) or Section 4.5(b) (</w:t>
      </w:r>
      <w:r>
        <w:rPr>
          <w:rFonts w:ascii="Times New Roman" w:cs="Times New Roman" w:eastAsia="Times New Roman" w:hAnsi="Times New Roman"/>
          <w:sz w:val="18"/>
          <w:szCs w:val="18"/>
          <w:i w:val="1"/>
          <w:iCs w:val="1"/>
          <w:color w:val="auto"/>
        </w:rPr>
        <w:t>Adjustment for Third Party IP</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4.14 Late Payments</w:t>
      </w:r>
      <w:r>
        <w:rPr>
          <w:rFonts w:ascii="Times New Roman" w:cs="Times New Roman" w:eastAsia="Times New Roman" w:hAnsi="Times New Roman"/>
          <w:sz w:val="18"/>
          <w:szCs w:val="18"/>
          <w:color w:val="auto"/>
        </w:rPr>
        <w:t>. Any amount owed by Cullinan to Adimab under this Agreement that is not paid within the applicable time period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will accrue interest at the rate of [***] above the then-applicable short-term three-month London Interbank Offered Rate (LIBOR) as quoted in the Wall Street Journal (or if it no longer exists, a similarly authoritative source) calculated on a monthly basis, or, if lower, the highest rate permitted under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Ownership and Inventorship</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380" w:hanging="393"/>
        <w:spacing w:after="0"/>
        <w:tabs>
          <w:tab w:leader="none" w:pos="1380"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Program Inventions and Program Patents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100" w:firstLine="1428"/>
        <w:spacing w:after="0" w:line="286" w:lineRule="auto"/>
        <w:tabs>
          <w:tab w:leader="none" w:pos="1782" w:val="left"/>
        </w:tabs>
        <w:numPr>
          <w:ilvl w:val="1"/>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Cullinan Product Patents and Cullinan Formats</w:t>
      </w:r>
      <w:r>
        <w:rPr>
          <w:rFonts w:ascii="Times New Roman" w:cs="Times New Roman" w:eastAsia="Times New Roman" w:hAnsi="Times New Roman"/>
          <w:sz w:val="18"/>
          <w:szCs w:val="18"/>
          <w:color w:val="auto"/>
        </w:rPr>
        <w:t>. Cullinan shall solely own, regardless of inventorship, all Cullinan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and Cullinan Formats.</w:t>
      </w:r>
    </w:p>
    <w:p>
      <w:pPr>
        <w:spacing w:after="0" w:line="154" w:lineRule="exact"/>
        <w:rPr>
          <w:rFonts w:ascii="Times New Roman" w:cs="Times New Roman" w:eastAsia="Times New Roman" w:hAnsi="Times New Roman"/>
          <w:sz w:val="18"/>
          <w:szCs w:val="18"/>
          <w:b w:val="1"/>
          <w:bCs w:val="1"/>
          <w:color w:val="auto"/>
        </w:rPr>
      </w:pPr>
    </w:p>
    <w:p>
      <w:pPr>
        <w:ind w:right="460" w:firstLine="1428"/>
        <w:spacing w:after="0" w:line="286" w:lineRule="auto"/>
        <w:tabs>
          <w:tab w:leader="none" w:pos="1832" w:val="left"/>
        </w:tabs>
        <w:numPr>
          <w:ilvl w:val="1"/>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Adimab Platform Technology Patents</w:t>
      </w:r>
      <w:r>
        <w:rPr>
          <w:rFonts w:ascii="Times New Roman" w:cs="Times New Roman" w:eastAsia="Times New Roman" w:hAnsi="Times New Roman"/>
          <w:sz w:val="18"/>
          <w:szCs w:val="18"/>
          <w:color w:val="auto"/>
        </w:rPr>
        <w:t>. Adimab will solely own, regardless of inventorship, all Program Inventions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Patents that Cover Adimab Platform Technology Improvements.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5" w:right="459" w:bottom="1440" w:gutter="0" w:footer="0" w:header="0"/>
        </w:sectPr>
      </w:pPr>
    </w:p>
    <w:bookmarkStart w:id="506" w:name="page507"/>
    <w:bookmarkEnd w:id="506"/>
    <w:p>
      <w:pPr>
        <w:ind w:left="-20" w:right="60" w:firstLine="1428"/>
        <w:spacing w:after="0" w:line="268" w:lineRule="auto"/>
        <w:tabs>
          <w:tab w:leader="none" w:pos="1862"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Ownership of Adimab CD3 Antibodies</w:t>
      </w:r>
      <w:r>
        <w:rPr>
          <w:rFonts w:ascii="Times New Roman" w:cs="Times New Roman" w:eastAsia="Times New Roman" w:hAnsi="Times New Roman"/>
          <w:sz w:val="18"/>
          <w:szCs w:val="18"/>
          <w:color w:val="auto"/>
        </w:rPr>
        <w:t>. Adimab shall solely own, regardless of inventorship, any Adimab CD3 Antibodies,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Patents Covering them (other than Cullinan Product Patents) and Know-How related thereto, and such Patents are deemed to be Adimab CD3 Patents and such Know-How is deemed to be Adimab CD3 Antibody Know-How.</w:t>
      </w:r>
    </w:p>
    <w:p>
      <w:pPr>
        <w:spacing w:after="0" w:line="170" w:lineRule="exact"/>
        <w:rPr>
          <w:rFonts w:ascii="Times New Roman" w:cs="Times New Roman" w:eastAsia="Times New Roman" w:hAnsi="Times New Roman"/>
          <w:sz w:val="18"/>
          <w:szCs w:val="18"/>
          <w:b w:val="1"/>
          <w:bCs w:val="1"/>
          <w:color w:val="auto"/>
        </w:rPr>
      </w:pPr>
    </w:p>
    <w:p>
      <w:pPr>
        <w:ind w:left="-20" w:right="220" w:firstLine="1428"/>
        <w:spacing w:after="0" w:line="286" w:lineRule="auto"/>
        <w:tabs>
          <w:tab w:leader="none" w:pos="1852"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Cullinan Program Inventions. </w:t>
      </w:r>
      <w:r>
        <w:rPr>
          <w:rFonts w:ascii="Times New Roman" w:cs="Times New Roman" w:eastAsia="Times New Roman" w:hAnsi="Times New Roman"/>
          <w:sz w:val="18"/>
          <w:szCs w:val="18"/>
          <w:color w:val="auto"/>
        </w:rPr>
        <w:t>Subject to Section 5.1(a)(iii) (</w:t>
      </w:r>
      <w:r>
        <w:rPr>
          <w:rFonts w:ascii="Times New Roman" w:cs="Times New Roman" w:eastAsia="Times New Roman" w:hAnsi="Times New Roman"/>
          <w:sz w:val="18"/>
          <w:szCs w:val="18"/>
          <w:i w:val="1"/>
          <w:iCs w:val="1"/>
          <w:color w:val="auto"/>
        </w:rPr>
        <w:t>Ownership of Adimab CD3 Antibodies</w:t>
      </w:r>
      <w:r>
        <w:rPr>
          <w:rFonts w:ascii="Times New Roman" w:cs="Times New Roman" w:eastAsia="Times New Roman" w:hAnsi="Times New Roman"/>
          <w:sz w:val="18"/>
          <w:szCs w:val="18"/>
          <w:color w:val="auto"/>
        </w:rPr>
        <w:t>), Cullinan shall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all Program Patents and Program Inventions that are [***](collectively, “</w:t>
      </w:r>
      <w:r>
        <w:rPr>
          <w:rFonts w:ascii="Times New Roman" w:cs="Times New Roman" w:eastAsia="Times New Roman" w:hAnsi="Times New Roman"/>
          <w:sz w:val="18"/>
          <w:szCs w:val="18"/>
          <w:b w:val="1"/>
          <w:bCs w:val="1"/>
          <w:color w:val="auto"/>
        </w:rPr>
        <w:t>Cullinan Program Inventions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20" w:firstLine="1428"/>
        <w:spacing w:after="0" w:line="317" w:lineRule="auto"/>
        <w:tabs>
          <w:tab w:leader="none" w:pos="1802" w:val="left"/>
        </w:tabs>
        <w:numPr>
          <w:ilvl w:val="1"/>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Program Antibody Patents Prior to Expiration of Evaluation Term</w:t>
      </w:r>
      <w:r>
        <w:rPr>
          <w:rFonts w:ascii="Times New Roman" w:cs="Times New Roman" w:eastAsia="Times New Roman" w:hAnsi="Times New Roman"/>
          <w:sz w:val="17"/>
          <w:szCs w:val="17"/>
          <w:color w:val="auto"/>
        </w:rPr>
        <w:t>. Prior to the expiration of the Evaluation Term, Adimab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own all Program Antibody Patents although Cullinan will direct prosecution in accordance with Section 5.4(c) (</w:t>
      </w:r>
      <w:r>
        <w:rPr>
          <w:rFonts w:ascii="Times New Roman" w:cs="Times New Roman" w:eastAsia="Times New Roman" w:hAnsi="Times New Roman"/>
          <w:sz w:val="17"/>
          <w:szCs w:val="17"/>
          <w:i w:val="1"/>
          <w:iCs w:val="1"/>
          <w:color w:val="auto"/>
        </w:rPr>
        <w:t>Program Antibody Patents</w:t>
      </w: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b w:val="1"/>
          <w:bCs w:val="1"/>
          <w:color w:val="auto"/>
        </w:rPr>
      </w:pPr>
    </w:p>
    <w:p>
      <w:pPr>
        <w:ind w:left="1840" w:hanging="432"/>
        <w:spacing w:after="0"/>
        <w:tabs>
          <w:tab w:leader="none" w:pos="1840"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Program Antibody Patents After Expiration of Evaluation Term.</w:t>
      </w:r>
    </w:p>
    <w:p>
      <w:pPr>
        <w:spacing w:after="0" w:line="225" w:lineRule="exact"/>
        <w:rPr>
          <w:rFonts w:ascii="Times New Roman" w:cs="Times New Roman" w:eastAsia="Times New Roman" w:hAnsi="Times New Roman"/>
          <w:sz w:val="18"/>
          <w:szCs w:val="18"/>
          <w:b w:val="1"/>
          <w:bCs w:val="1"/>
          <w:color w:val="auto"/>
        </w:rPr>
      </w:pPr>
    </w:p>
    <w:p>
      <w:pPr>
        <w:ind w:left="-20" w:right="40" w:firstLine="1979"/>
        <w:spacing w:after="0" w:line="268" w:lineRule="auto"/>
        <w:tabs>
          <w:tab w:leader="none" w:pos="2352" w:val="left"/>
        </w:tabs>
        <w:numPr>
          <w:ilvl w:val="2"/>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Optioned Program Antibody Patents</w:t>
      </w:r>
      <w:r>
        <w:rPr>
          <w:rFonts w:ascii="Times New Roman" w:cs="Times New Roman" w:eastAsia="Times New Roman" w:hAnsi="Times New Roman"/>
          <w:sz w:val="18"/>
          <w:szCs w:val="18"/>
          <w:color w:val="auto"/>
        </w:rPr>
        <w:t>. On a Research Program-by-Research Program basis, from and after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exercise, Cullinan will own, regardless of inventorship, the Optioned Program Antibody Patents, subject to the terms and conditions of this Agreement.</w:t>
      </w:r>
    </w:p>
    <w:p>
      <w:pPr>
        <w:spacing w:after="0" w:line="170" w:lineRule="exact"/>
        <w:rPr>
          <w:rFonts w:ascii="Times New Roman" w:cs="Times New Roman" w:eastAsia="Times New Roman" w:hAnsi="Times New Roman"/>
          <w:sz w:val="18"/>
          <w:szCs w:val="18"/>
          <w:b w:val="1"/>
          <w:bCs w:val="1"/>
          <w:color w:val="auto"/>
        </w:rPr>
      </w:pPr>
    </w:p>
    <w:p>
      <w:pPr>
        <w:jc w:val="both"/>
        <w:ind w:left="-20" w:right="260" w:firstLine="1979"/>
        <w:spacing w:after="0" w:line="262" w:lineRule="auto"/>
        <w:tabs>
          <w:tab w:leader="none" w:pos="2352" w:val="left"/>
        </w:tabs>
        <w:numPr>
          <w:ilvl w:val="2"/>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Program Antibody Patents Disclosing Non-Optioned Antibodies. </w:t>
      </w:r>
      <w:r>
        <w:rPr>
          <w:rFonts w:ascii="Times New Roman" w:cs="Times New Roman" w:eastAsia="Times New Roman" w:hAnsi="Times New Roman"/>
          <w:sz w:val="18"/>
          <w:szCs w:val="18"/>
          <w:color w:val="auto"/>
        </w:rPr>
        <w:t>On a Research Program-by-Research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from and after the date of expiration of the Evaluation Term, Adimab will continue to own, regardless of inventorship, all Patents that disclose Non-Optioned Program Antibodies. Cullinan will promptly cause such Program Antibody Patents to be abandoned prior to publication in accordance with Section 5.4(c) (</w:t>
      </w:r>
      <w:r>
        <w:rPr>
          <w:rFonts w:ascii="Times New Roman" w:cs="Times New Roman" w:eastAsia="Times New Roman" w:hAnsi="Times New Roman"/>
          <w:sz w:val="18"/>
          <w:szCs w:val="18"/>
          <w:i w:val="1"/>
          <w:iCs w:val="1"/>
          <w:color w:val="auto"/>
        </w:rPr>
        <w:t>Program Antibody Patents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20" w:firstLine="1428"/>
        <w:spacing w:after="0" w:line="255" w:lineRule="auto"/>
        <w:tabs>
          <w:tab w:leader="none" w:pos="1902" w:val="left"/>
        </w:tabs>
        <w:numPr>
          <w:ilvl w:val="1"/>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Program Patents and Program Inventions</w:t>
      </w:r>
      <w:r>
        <w:rPr>
          <w:rFonts w:ascii="Times New Roman" w:cs="Times New Roman" w:eastAsia="Times New Roman" w:hAnsi="Times New Roman"/>
          <w:sz w:val="18"/>
          <w:szCs w:val="18"/>
          <w:color w:val="auto"/>
        </w:rPr>
        <w:t>. All Program Patents and Program Inventions other than those referred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(i) through (iv) of this Section 5.1(a) (</w:t>
      </w:r>
      <w:r>
        <w:rPr>
          <w:rFonts w:ascii="Times New Roman" w:cs="Times New Roman" w:eastAsia="Times New Roman" w:hAnsi="Times New Roman"/>
          <w:sz w:val="18"/>
          <w:szCs w:val="18"/>
          <w:i w:val="1"/>
          <w:iCs w:val="1"/>
          <w:color w:val="auto"/>
        </w:rPr>
        <w:t>Program Inventions and Program Patents</w:t>
      </w:r>
      <w:r>
        <w:rPr>
          <w:rFonts w:ascii="Times New Roman" w:cs="Times New Roman" w:eastAsia="Times New Roman" w:hAnsi="Times New Roman"/>
          <w:sz w:val="18"/>
          <w:szCs w:val="18"/>
          <w:color w:val="auto"/>
        </w:rPr>
        <w:t xml:space="preserve">) will be owned based on inventorship. Program Inventions which are made jointly by employees of, or others obligated to assign Program Inventions to, each of Adimab (or its Affiliates) and Cullinan (or its Affiliates) will be owned by Adimab and Cullinan, and either Party is entitled to freely practice and license them without consent of and without a duty of accounting to the other Party. The Parties will cooperate in any decision to patent such Program Invention and the prosecution of any Program Patents Covering such Program Inventions, including equally sharing the cost of Patent prosecution;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one Party declines to participate in the costs of Patent prosecution in any jurisdiction, then such Party shall assign all right, title, and interest in such Patent prosecution to the other Party in such jurisdiction.</w:t>
      </w:r>
    </w:p>
    <w:p>
      <w:pPr>
        <w:spacing w:after="0" w:line="184" w:lineRule="exact"/>
        <w:rPr>
          <w:rFonts w:ascii="Times New Roman" w:cs="Times New Roman" w:eastAsia="Times New Roman" w:hAnsi="Times New Roman"/>
          <w:sz w:val="18"/>
          <w:szCs w:val="18"/>
          <w:b w:val="1"/>
          <w:bCs w:val="1"/>
          <w:color w:val="auto"/>
        </w:rPr>
      </w:pPr>
    </w:p>
    <w:p>
      <w:pPr>
        <w:ind w:left="1360" w:hanging="393"/>
        <w:spacing w:after="0"/>
        <w:tabs>
          <w:tab w:leader="none" w:pos="136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Pre-Existing Patents</w:t>
      </w:r>
      <w:r>
        <w:rPr>
          <w:rFonts w:ascii="Times New Roman" w:cs="Times New Roman" w:eastAsia="Times New Roman" w:hAnsi="Times New Roman"/>
          <w:sz w:val="18"/>
          <w:szCs w:val="18"/>
          <w:color w:val="auto"/>
        </w:rPr>
        <w:t>. To avoid doubt, nothing in this Agreement will alter the ownership of the Parties’ pre-existing Patents.</w:t>
      </w:r>
    </w:p>
    <w:p>
      <w:pPr>
        <w:spacing w:after="0" w:line="225" w:lineRule="exact"/>
        <w:rPr>
          <w:rFonts w:ascii="Times New Roman" w:cs="Times New Roman" w:eastAsia="Times New Roman" w:hAnsi="Times New Roman"/>
          <w:sz w:val="18"/>
          <w:szCs w:val="18"/>
          <w:b w:val="1"/>
          <w:bCs w:val="1"/>
          <w:color w:val="auto"/>
        </w:rPr>
      </w:pPr>
    </w:p>
    <w:p>
      <w:pPr>
        <w:ind w:left="-20" w:firstLine="987"/>
        <w:spacing w:after="0" w:line="286" w:lineRule="auto"/>
        <w:tabs>
          <w:tab w:leader="none" w:pos="1351"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Inventorship</w:t>
      </w:r>
      <w:r>
        <w:rPr>
          <w:rFonts w:ascii="Times New Roman" w:cs="Times New Roman" w:eastAsia="Times New Roman" w:hAnsi="Times New Roman"/>
          <w:sz w:val="18"/>
          <w:szCs w:val="18"/>
          <w:color w:val="auto"/>
        </w:rPr>
        <w:t>. Inventorship for purposes of this Agreement, and all intellectual property-related definitions in this Agreement,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United States patent law.</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65" w:right="459" w:bottom="1440" w:gutter="0" w:footer="0" w:header="0"/>
        </w:sectPr>
      </w:pPr>
    </w:p>
    <w:bookmarkStart w:id="507" w:name="page508"/>
    <w:bookmarkEnd w:id="507"/>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Implementation. </w:t>
      </w:r>
      <w:r>
        <w:rPr>
          <w:rFonts w:ascii="Times New Roman" w:cs="Times New Roman" w:eastAsia="Times New Roman" w:hAnsi="Times New Roman"/>
          <w:sz w:val="18"/>
          <w:szCs w:val="18"/>
          <w:color w:val="auto"/>
        </w:rPr>
        <w:t>Each Party hereby assigns, and shall cause its Affiliates, Licensees and Sublicensees and employees, consultants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of any of the foregoing to assign, to the other Party Program Inventions and associated Patents and Know-How as necessary to achieve ownership as provided in Section 5.1 (</w:t>
      </w:r>
      <w:r>
        <w:rPr>
          <w:rFonts w:ascii="Times New Roman" w:cs="Times New Roman" w:eastAsia="Times New Roman" w:hAnsi="Times New Roman"/>
          <w:sz w:val="18"/>
          <w:szCs w:val="18"/>
          <w:i w:val="1"/>
          <w:iCs w:val="1"/>
          <w:color w:val="auto"/>
        </w:rPr>
        <w:t>Ownership and Inventorship</w:t>
      </w:r>
      <w:r>
        <w:rPr>
          <w:rFonts w:ascii="Times New Roman" w:cs="Times New Roman" w:eastAsia="Times New Roman" w:hAnsi="Times New Roman"/>
          <w:sz w:val="18"/>
          <w:szCs w:val="18"/>
          <w:color w:val="auto"/>
        </w:rPr>
        <w:t>). Each assigning Party will execute and deliver all documents and instruments reasonably requested by the other Party to evidence or record such assignment or to file for, perfect or enforce the assigned rights. Each assigning Party hereby appoints the other Party as attorney-in-fact solely to execute and deliver the foregoing documents and instruments if such other Party after making reasonable inquiry does not obtain them from the assigning Party. Each Party will perform its activities under this Agreement through personnel who have made a similar assignment and appointment to and of such Party or its Affiliates. Each assigning Party will make its relevant personnel (and their assignments and signatures on such documents and instruments) reasonably available to the other Party for assistance in accordance with this Article 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at no charge.</w:t>
      </w:r>
    </w:p>
    <w:p>
      <w:pPr>
        <w:spacing w:after="0" w:line="188" w:lineRule="exact"/>
        <w:rPr>
          <w:sz w:val="20"/>
          <w:szCs w:val="20"/>
          <w:color w:val="auto"/>
        </w:rPr>
      </w:pPr>
    </w:p>
    <w:p>
      <w:pPr>
        <w:jc w:val="both"/>
        <w:ind w:left="4" w:right="3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5.3 Disclosure</w:t>
      </w:r>
      <w:r>
        <w:rPr>
          <w:rFonts w:ascii="Times New Roman" w:cs="Times New Roman" w:eastAsia="Times New Roman" w:hAnsi="Times New Roman"/>
          <w:sz w:val="17"/>
          <w:szCs w:val="17"/>
          <w:color w:val="auto"/>
        </w:rPr>
        <w:t>. During the Term, each Party will promptly disclose to the other Party the making, conception or reduction to practice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Program Inventions that would be Covered by Program Antibody Patents or in Cullinan’s case that are Adimab Platform Technology Improvements (which, to avoid doubt, are assigned to Adimab under this Agreement). Such disclosure will occur as soon as possible, but in any case within sixty</w:t>
      </w:r>
    </w:p>
    <w:p>
      <w:pPr>
        <w:spacing w:after="0" w:line="1" w:lineRule="exact"/>
        <w:rPr>
          <w:sz w:val="20"/>
          <w:szCs w:val="20"/>
          <w:color w:val="auto"/>
        </w:rPr>
      </w:pPr>
    </w:p>
    <w:p>
      <w:pPr>
        <w:ind w:left="4" w:right="500" w:hanging="4"/>
        <w:spacing w:after="0" w:line="260" w:lineRule="auto"/>
        <w:tabs>
          <w:tab w:leader="none" w:pos="34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Party determines such Program Inventions have been invented. To avoid doubt, this Section 5.3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will not be read to require Adimab to disclose Program Inventions constituting Adimab Platform Technology Improvements to Cullinan.</w:t>
      </w:r>
    </w:p>
    <w:p>
      <w:pPr>
        <w:spacing w:after="0" w:line="28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Program Patent Prosecution and Maintenance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100" w:firstLine="987"/>
        <w:spacing w:after="0" w:line="268" w:lineRule="auto"/>
        <w:tabs>
          <w:tab w:leader="none" w:pos="1385"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Adimab Platform Technology</w:t>
      </w:r>
      <w:r>
        <w:rPr>
          <w:rFonts w:ascii="Times New Roman" w:cs="Times New Roman" w:eastAsia="Times New Roman" w:hAnsi="Times New Roman"/>
          <w:sz w:val="18"/>
          <w:szCs w:val="18"/>
          <w:color w:val="auto"/>
        </w:rPr>
        <w:t>. Adimab will have the sole right (but not the obligation) to file, prosecute, maintain, defend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all Program Patents that Cover Adimab Platform Technology Improvements and Adimab CD3 Antibodies, and all Adimab Platform Patents, all at Adimab’s own expense and in its sole discretion.</w:t>
      </w:r>
    </w:p>
    <w:p>
      <w:pPr>
        <w:spacing w:after="0" w:line="170" w:lineRule="exact"/>
        <w:rPr>
          <w:rFonts w:ascii="Times New Roman" w:cs="Times New Roman" w:eastAsia="Times New Roman" w:hAnsi="Times New Roman"/>
          <w:sz w:val="18"/>
          <w:szCs w:val="18"/>
          <w:b w:val="1"/>
          <w:bCs w:val="1"/>
          <w:color w:val="auto"/>
        </w:rPr>
      </w:pPr>
    </w:p>
    <w:p>
      <w:pPr>
        <w:ind w:left="4" w:right="140" w:firstLine="987"/>
        <w:spacing w:after="0" w:line="317" w:lineRule="auto"/>
        <w:tabs>
          <w:tab w:leader="none" w:pos="1395" w:val="left"/>
        </w:tabs>
        <w:numPr>
          <w:ilvl w:val="0"/>
          <w:numId w:val="4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Cullinan Product Patents</w:t>
      </w:r>
      <w:r>
        <w:rPr>
          <w:rFonts w:ascii="Times New Roman" w:cs="Times New Roman" w:eastAsia="Times New Roman" w:hAnsi="Times New Roman"/>
          <w:sz w:val="17"/>
          <w:szCs w:val="17"/>
          <w:color w:val="auto"/>
        </w:rPr>
        <w:t>. Cullinan will have the sole right (but not the obligation) to file, prosecute, maintain, defend and enforce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Cullinan Product Patents and all Program Patents that Cover Cullinan Program Inventions, all at Cullinan’s own expense and in its sole discretion.</w:t>
      </w:r>
    </w:p>
    <w:p>
      <w:pPr>
        <w:spacing w:after="0" w:line="131" w:lineRule="exact"/>
        <w:rPr>
          <w:rFonts w:ascii="Times New Roman" w:cs="Times New Roman" w:eastAsia="Times New Roman" w:hAnsi="Times New Roman"/>
          <w:sz w:val="17"/>
          <w:szCs w:val="17"/>
          <w:b w:val="1"/>
          <w:bCs w:val="1"/>
          <w:color w:val="auto"/>
        </w:rPr>
      </w:pPr>
    </w:p>
    <w:p>
      <w:pPr>
        <w:ind w:left="4" w:right="100" w:firstLine="987"/>
        <w:spacing w:after="0" w:line="262" w:lineRule="auto"/>
        <w:tabs>
          <w:tab w:leader="none" w:pos="142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Program Antibody Patents</w:t>
      </w:r>
      <w:r>
        <w:rPr>
          <w:rFonts w:ascii="Times New Roman" w:cs="Times New Roman" w:eastAsia="Times New Roman" w:hAnsi="Times New Roman"/>
          <w:sz w:val="18"/>
          <w:szCs w:val="18"/>
          <w:color w:val="auto"/>
        </w:rPr>
        <w:t>. On a Target-by-Target basis, Cullinan will have the sole right to file and prosecute all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Patents, at Cullinan’s expense, and prior to Option exercise, Cullinan will record Adimab as the sole assignee, subject to the remainder of this Section 5.4(c) (</w:t>
      </w:r>
      <w:r>
        <w:rPr>
          <w:rFonts w:ascii="Times New Roman" w:cs="Times New Roman" w:eastAsia="Times New Roman" w:hAnsi="Times New Roman"/>
          <w:sz w:val="18"/>
          <w:szCs w:val="18"/>
          <w:i w:val="1"/>
          <w:iCs w:val="1"/>
          <w:color w:val="auto"/>
        </w:rPr>
        <w:t>Program Antibody Patents</w:t>
      </w:r>
      <w:r>
        <w:rPr>
          <w:rFonts w:ascii="Times New Roman" w:cs="Times New Roman" w:eastAsia="Times New Roman" w:hAnsi="Times New Roman"/>
          <w:sz w:val="18"/>
          <w:szCs w:val="18"/>
          <w:color w:val="auto"/>
        </w:rPr>
        <w:t>). Such right will continue for the duration of the longer of the Evaluation Term and, if Cullinan exercises the Option, the Term, subject to all of the following:</w:t>
      </w:r>
    </w:p>
    <w:p>
      <w:pPr>
        <w:spacing w:after="0" w:line="176" w:lineRule="exact"/>
        <w:rPr>
          <w:rFonts w:ascii="Times New Roman" w:cs="Times New Roman" w:eastAsia="Times New Roman" w:hAnsi="Times New Roman"/>
          <w:sz w:val="18"/>
          <w:szCs w:val="18"/>
          <w:b w:val="1"/>
          <w:bCs w:val="1"/>
          <w:color w:val="auto"/>
        </w:rPr>
      </w:pPr>
    </w:p>
    <w:p>
      <w:pPr>
        <w:ind w:left="4" w:firstLine="1428"/>
        <w:spacing w:after="0" w:line="259" w:lineRule="auto"/>
        <w:tabs>
          <w:tab w:leader="none" w:pos="1786" w:val="left"/>
        </w:tabs>
        <w:numPr>
          <w:ilvl w:val="1"/>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Disclosure of Sequences Prior to Option Exercise</w:t>
      </w:r>
      <w:r>
        <w:rPr>
          <w:rFonts w:ascii="Times New Roman" w:cs="Times New Roman" w:eastAsia="Times New Roman" w:hAnsi="Times New Roman"/>
          <w:sz w:val="18"/>
          <w:szCs w:val="18"/>
          <w:color w:val="auto"/>
        </w:rPr>
        <w:t>. Prior to Option exercise, Cullinan will not disclose the sequence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Program-Benefited Antibody in any Program Antibody Patent, or during the prosecution of any Program Antibody Patent, unless such Program Antibody Patent and prosecution history can be prevented from publishing, under applicable patent laws and/or regulations. Cullinan will request and take all reasonable steps permitted by applicable patent laws and/or regulations to prevent the publication of any Program Antibody Patent prior to Option exercise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exercising the Option prior to publication or expressly abandoning such Program Antibody Patent).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65" w:right="439" w:bottom="1440" w:gutter="0" w:footer="0" w:header="0"/>
        </w:sectPr>
      </w:pPr>
    </w:p>
    <w:bookmarkStart w:id="508" w:name="page509"/>
    <w:bookmarkEnd w:id="508"/>
    <w:p>
      <w:pPr>
        <w:ind w:right="100" w:firstLine="1428"/>
        <w:spacing w:after="0" w:line="259" w:lineRule="auto"/>
        <w:tabs>
          <w:tab w:leader="none" w:pos="183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Abandonment Prior to Publication if No Option Exercise</w:t>
      </w:r>
      <w:r>
        <w:rPr>
          <w:rFonts w:ascii="Times New Roman" w:cs="Times New Roman" w:eastAsia="Times New Roman" w:hAnsi="Times New Roman"/>
          <w:sz w:val="18"/>
          <w:szCs w:val="18"/>
          <w:color w:val="auto"/>
        </w:rPr>
        <w:t>. If Cullinan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Option during the Evaluation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with respect to a Target, then all applications for Program Antibody Patents that were filed (if any) will be abandoned prior to public disclosure. Within [***] after the Evaluation Term expiring, Cullinan will make any and all filings necessary to result in such abandonment without publication (at Cullinan’s expense) and provide documentation thereof to Adimab, and the licenses to such Program Antibody Patents provided to Cullinan under Article 3 (</w:t>
      </w:r>
      <w:r>
        <w:rPr>
          <w:rFonts w:ascii="Times New Roman" w:cs="Times New Roman" w:eastAsia="Times New Roman" w:hAnsi="Times New Roman"/>
          <w:sz w:val="18"/>
          <w:szCs w:val="18"/>
          <w:i w:val="1"/>
          <w:iCs w:val="1"/>
          <w:color w:val="auto"/>
        </w:rPr>
        <w:t>Licenses; Option; Development &amp; Commercialization</w:t>
      </w:r>
      <w:r>
        <w:rPr>
          <w:rFonts w:ascii="Times New Roman" w:cs="Times New Roman" w:eastAsia="Times New Roman" w:hAnsi="Times New Roman"/>
          <w:sz w:val="18"/>
          <w:szCs w:val="18"/>
          <w:color w:val="auto"/>
        </w:rPr>
        <w:t>) will expire as of the expiration of such Evaluation Term.</w:t>
      </w:r>
    </w:p>
    <w:p>
      <w:pPr>
        <w:spacing w:after="0" w:line="179" w:lineRule="exact"/>
        <w:rPr>
          <w:rFonts w:ascii="Times New Roman" w:cs="Times New Roman" w:eastAsia="Times New Roman" w:hAnsi="Times New Roman"/>
          <w:sz w:val="18"/>
          <w:szCs w:val="18"/>
          <w:b w:val="1"/>
          <w:bCs w:val="1"/>
          <w:color w:val="auto"/>
        </w:rPr>
      </w:pPr>
    </w:p>
    <w:p>
      <w:pPr>
        <w:ind w:right="340" w:firstLine="1428"/>
        <w:spacing w:after="0" w:line="257" w:lineRule="auto"/>
        <w:tabs>
          <w:tab w:leader="none" w:pos="188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Disclosure of Non-Optioned Antibodies</w:t>
      </w:r>
      <w:r>
        <w:rPr>
          <w:rFonts w:ascii="Times New Roman" w:cs="Times New Roman" w:eastAsia="Times New Roman" w:hAnsi="Times New Roman"/>
          <w:sz w:val="18"/>
          <w:szCs w:val="18"/>
          <w:color w:val="auto"/>
        </w:rPr>
        <w:t>. If Cullinan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Option, then Cullinan will ensure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sequences of Non-Optioned Antibodies will not be published and all Program Antibody Patents that had been filed for such Target that disclose Non-Optioned Antibodies for that Target will be promptly abandoned without being published and within [***] after Option exercise. Cullinan will make any and all filings reasonably necessary to result in such abandonment without publication (at Cullinan’s expense) and provide documentation thereof to Adimab, and the licenses to such Program Antibody Patents provided to Cullinan under Article 3 (</w:t>
      </w:r>
      <w:r>
        <w:rPr>
          <w:rFonts w:ascii="Times New Roman" w:cs="Times New Roman" w:eastAsia="Times New Roman" w:hAnsi="Times New Roman"/>
          <w:sz w:val="18"/>
          <w:szCs w:val="18"/>
          <w:i w:val="1"/>
          <w:iCs w:val="1"/>
          <w:color w:val="auto"/>
        </w:rPr>
        <w:t>Licenses; Option; Development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w:t>
      </w:r>
      <w:r>
        <w:rPr>
          <w:rFonts w:ascii="Times New Roman" w:cs="Times New Roman" w:eastAsia="Times New Roman" w:hAnsi="Times New Roman"/>
          <w:sz w:val="18"/>
          <w:szCs w:val="18"/>
          <w:color w:val="auto"/>
        </w:rPr>
        <w:t>) will expire as of the exercise of such Option.</w:t>
      </w:r>
    </w:p>
    <w:p>
      <w:pPr>
        <w:spacing w:after="0" w:line="182" w:lineRule="exact"/>
        <w:rPr>
          <w:rFonts w:ascii="Times New Roman" w:cs="Times New Roman" w:eastAsia="Times New Roman" w:hAnsi="Times New Roman"/>
          <w:sz w:val="18"/>
          <w:szCs w:val="18"/>
          <w:b w:val="1"/>
          <w:bCs w:val="1"/>
          <w:color w:val="auto"/>
        </w:rPr>
      </w:pPr>
    </w:p>
    <w:p>
      <w:pPr>
        <w:ind w:firstLine="1428"/>
        <w:spacing w:after="0" w:line="268" w:lineRule="auto"/>
        <w:tabs>
          <w:tab w:leader="none" w:pos="187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Prosecution of Patents</w:t>
      </w:r>
      <w:r>
        <w:rPr>
          <w:rFonts w:ascii="Times New Roman" w:cs="Times New Roman" w:eastAsia="Times New Roman" w:hAnsi="Times New Roman"/>
          <w:sz w:val="18"/>
          <w:szCs w:val="18"/>
          <w:color w:val="auto"/>
        </w:rPr>
        <w:t>. If Cullinan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Option, Cullinan will use Commercially Reasonable Efforts to prosecute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one corresponding Optioned Program Antibody Patent in the United States, Japan, and Europe, and such other countries as, in Cullinan’s reasonable judgment and sole discretion.</w:t>
      </w:r>
    </w:p>
    <w:p>
      <w:pPr>
        <w:spacing w:after="0" w:line="170" w:lineRule="exact"/>
        <w:rPr>
          <w:rFonts w:ascii="Times New Roman" w:cs="Times New Roman" w:eastAsia="Times New Roman" w:hAnsi="Times New Roman"/>
          <w:sz w:val="18"/>
          <w:szCs w:val="18"/>
          <w:b w:val="1"/>
          <w:bCs w:val="1"/>
          <w:color w:val="auto"/>
        </w:rPr>
      </w:pPr>
    </w:p>
    <w:p>
      <w:pPr>
        <w:ind w:right="260" w:firstLine="1428"/>
        <w:spacing w:after="0" w:line="268" w:lineRule="auto"/>
        <w:tabs>
          <w:tab w:leader="none" w:pos="182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of Prosecution</w:t>
      </w:r>
      <w:r>
        <w:rPr>
          <w:rFonts w:ascii="Times New Roman" w:cs="Times New Roman" w:eastAsia="Times New Roman" w:hAnsi="Times New Roman"/>
          <w:sz w:val="18"/>
          <w:szCs w:val="18"/>
          <w:color w:val="auto"/>
        </w:rPr>
        <w:t>. Cullinan will be solely responsible for all costs of the activities under this Section 5.4(b)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Antibody Patents</w:t>
      </w:r>
      <w:r>
        <w:rPr>
          <w:rFonts w:ascii="Times New Roman" w:cs="Times New Roman" w:eastAsia="Times New Roman" w:hAnsi="Times New Roman"/>
          <w:sz w:val="18"/>
          <w:szCs w:val="18"/>
          <w:color w:val="auto"/>
        </w:rPr>
        <w:t>), except to the extent Adimab hires counsel to review and comment on Cullinan’s prosecution, in which case Adimab will be solely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the fees to such counsel.</w:t>
      </w:r>
    </w:p>
    <w:p>
      <w:pPr>
        <w:spacing w:after="0" w:line="170" w:lineRule="exact"/>
        <w:rPr>
          <w:rFonts w:ascii="Times New Roman" w:cs="Times New Roman" w:eastAsia="Times New Roman" w:hAnsi="Times New Roman"/>
          <w:sz w:val="18"/>
          <w:szCs w:val="18"/>
          <w:b w:val="1"/>
          <w:bCs w:val="1"/>
          <w:color w:val="auto"/>
        </w:rPr>
      </w:pPr>
    </w:p>
    <w:p>
      <w:pPr>
        <w:ind w:right="80" w:firstLine="1428"/>
        <w:spacing w:after="0" w:line="254" w:lineRule="auto"/>
        <w:tabs>
          <w:tab w:leader="none" w:pos="187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Review</w:t>
      </w:r>
      <w:r>
        <w:rPr>
          <w:rFonts w:ascii="Times New Roman" w:cs="Times New Roman" w:eastAsia="Times New Roman" w:hAnsi="Times New Roman"/>
          <w:sz w:val="18"/>
          <w:szCs w:val="18"/>
          <w:color w:val="auto"/>
        </w:rPr>
        <w:t>. Prior to Option exercise and if after Option execise, with respect to the an initial filing of a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Patent, Adimab will have the right to review and comment on prosecution of the Program Antibody Patents, including drafts of patent applications prior to filing such applications with the applicable patent offices, solely for purposes of (x) determining which Adimab employees, if any, are inventors with respect to the claimed subject matter, (y) ensuring that such Program Antibody Patents correctly describe activities undertaken by Adimab, and (z) ensuring that such Program Antibody Patents do not disclose Adimab Platform Technology or Adimab Platform Technology Improvements, and for no other purpose whatsoever. Cullinan will provide Adimab with copies of material correspondence with patent offices relating thereto (including patent applications, office actions and the like) promptly after receipt and drafts of all filings and correspondence with such offices reasonably in advance of Cullinan’s proposed responses or other filings to allow Adimab to review and comment, under this Section 5.4(c)(vi) (</w:t>
      </w:r>
      <w:r>
        <w:rPr>
          <w:rFonts w:ascii="Times New Roman" w:cs="Times New Roman" w:eastAsia="Times New Roman" w:hAnsi="Times New Roman"/>
          <w:sz w:val="18"/>
          <w:szCs w:val="18"/>
          <w:i w:val="1"/>
          <w:iCs w:val="1"/>
          <w:color w:val="auto"/>
        </w:rPr>
        <w:t>Right to</w:t>
      </w:r>
      <w:r>
        <w:rPr>
          <w:rFonts w:ascii="Times New Roman" w:cs="Times New Roman" w:eastAsia="Times New Roman" w:hAnsi="Times New Roman"/>
          <w:sz w:val="18"/>
          <w:szCs w:val="18"/>
          <w:color w:val="auto"/>
        </w:rPr>
        <w:t xml:space="preserve"> Review). After any Option exercise, Cullinan will keep Adimab advised of the status of the Program Antibody Patents annually or more often at Adimab’s reasonable request. For clarity, nothing herein shall require Cullinan to share information with Adimab that is protected by attorney-client privileged, the work product doctrine, or other legal protections preventing disclosure.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5" w:right="459" w:bottom="1440" w:gutter="0" w:footer="0" w:header="0"/>
        </w:sectPr>
      </w:pPr>
    </w:p>
    <w:bookmarkStart w:id="509" w:name="page510"/>
    <w:bookmarkEnd w:id="509"/>
    <w:p>
      <w:pPr>
        <w:ind w:right="80" w:firstLine="1428"/>
        <w:spacing w:after="0" w:line="262" w:lineRule="auto"/>
        <w:tabs>
          <w:tab w:leader="none" w:pos="1922"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w:t>
      </w:r>
      <w:r>
        <w:rPr>
          <w:rFonts w:ascii="Times New Roman" w:cs="Times New Roman" w:eastAsia="Times New Roman" w:hAnsi="Times New Roman"/>
          <w:sz w:val="18"/>
          <w:szCs w:val="18"/>
          <w:color w:val="auto"/>
        </w:rPr>
        <w:t>. It is understood and agreed that searching for, identification and evaluation of Third-Party Patents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to any Excluded Technology or Sequence IP, including Patents that apply Program-Benefited Antibodies and Products based on sequence, Target, methods of treatment using any Program-Benefited Antibodies, or the like is the responsibility of Cullinan, and that Adimab will have no responsibility for the foregoing nor liability if any such Third-Party Patents exist.</w:t>
      </w:r>
    </w:p>
    <w:p>
      <w:pPr>
        <w:spacing w:after="0" w:line="176" w:lineRule="exact"/>
        <w:rPr>
          <w:sz w:val="20"/>
          <w:szCs w:val="20"/>
          <w:color w:val="auto"/>
        </w:rPr>
      </w:pPr>
    </w:p>
    <w:p>
      <w:pPr>
        <w:ind w:right="3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5.5 Infringement of Patents by Third Parties</w:t>
      </w:r>
      <w:r>
        <w:rPr>
          <w:rFonts w:ascii="Times New Roman" w:cs="Times New Roman" w:eastAsia="Times New Roman" w:hAnsi="Times New Roman"/>
          <w:sz w:val="18"/>
          <w:szCs w:val="18"/>
          <w:color w:val="auto"/>
        </w:rPr>
        <w:t>. After Option exercise, Cullinan will have the sole right, but not the obligation,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enforce all Optioned Program Antibody Patents against infringement through activities or conduct of a Third Party. Adimab shall cooperate fully with Cullinan bringing such action including by being joined as a party plaintiff if necessary to obtain standing for such action. Any proceeds received by Cullinan from such enforcement, whether by way of damage awards, settlement, or otherwise, will be deemed to be Net Sales hereunder, in the calendar year that they are received.</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5.6 Cooperation of the Parties</w:t>
      </w:r>
      <w:r>
        <w:rPr>
          <w:rFonts w:ascii="Times New Roman" w:cs="Times New Roman" w:eastAsia="Times New Roman" w:hAnsi="Times New Roman"/>
          <w:sz w:val="18"/>
          <w:szCs w:val="18"/>
          <w:color w:val="auto"/>
        </w:rPr>
        <w:t>. At the reasonable request of the responsible Party (as provided for in this Article 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Party agrees to cooperate fully in the preparation, filing, prosecution, enforcement and maintenance (including conducting or participating in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reviews, post grant reviews, covered business method reviews, derivation proceedings, interferences and oppositions and the like) of any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under this Agreement. 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or maintenance of any such Patents. Notwithstanding the foregoing, Adimab will not be required pursuant hereto to disclose Adimab Platform Technology to Cullinan or to participate in any action against another Adimab customer.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PUBLICITY</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General Confidentiality Obligations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80" w:firstLine="987"/>
        <w:spacing w:after="0" w:line="257" w:lineRule="auto"/>
        <w:tabs>
          <w:tab w:leader="none" w:pos="1381"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of Confidential Information</w:t>
      </w:r>
      <w:r>
        <w:rPr>
          <w:rFonts w:ascii="Times New Roman" w:cs="Times New Roman" w:eastAsia="Times New Roman" w:hAnsi="Times New Roman"/>
          <w:sz w:val="18"/>
          <w:szCs w:val="18"/>
          <w:color w:val="auto"/>
        </w:rPr>
        <w:t>. Any and all confidential or proprietary information disclosed to one Party by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under this Agreement, including information regarding additional potential areas of collaboration between the Parties, is the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of the disclosing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(i) Confidential Information which constitutes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Know-How will be owned by the Party which owns such Know-How as a result of the application of Article 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(ii) information related to Adimab Platform Technology and information embodied in Adimab Materials is Adimab’s Confidential Information, and (iii) information embodied in the Cullinan Materials is Cullinan’s Confidential Information.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5" w:right="459" w:bottom="1440" w:gutter="0" w:footer="0" w:header="0"/>
        </w:sectPr>
      </w:pPr>
    </w:p>
    <w:bookmarkStart w:id="510" w:name="page511"/>
    <w:bookmarkEnd w:id="510"/>
    <w:p>
      <w:pPr>
        <w:ind w:left="4" w:right="20" w:firstLine="987"/>
        <w:spacing w:after="0" w:line="257" w:lineRule="auto"/>
        <w:tabs>
          <w:tab w:leader="none" w:pos="1395" w:val="left"/>
        </w:tabs>
        <w:numPr>
          <w:ilvl w:val="1"/>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Requirement to Disclose Adimab Platform Technology or Excluded Technology</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Adimab will not be required to disclose any Adimab Platform Technology, including Adimab Platform Technology Improvements, or Excluded Technology to Cullinan except in the case of Excluded Technology, to the extent set forth in a Research Plan. In the event that reports, records or data include disclosure of Adimab Platform Technology, Adimab Platform Technology Improvements, or Excluded Technology, Adimab may redact those portions that would disclose Adimab Platform Technology, including Adimab Platform Technology Improvements, or Excluded Technology prior to delivery to Cullinan or review or inspection by Cullinan.</w:t>
      </w:r>
    </w:p>
    <w:p>
      <w:pPr>
        <w:spacing w:after="0" w:line="182" w:lineRule="exact"/>
        <w:rPr>
          <w:rFonts w:ascii="Times New Roman" w:cs="Times New Roman" w:eastAsia="Times New Roman" w:hAnsi="Times New Roman"/>
          <w:sz w:val="18"/>
          <w:szCs w:val="18"/>
          <w:b w:val="1"/>
          <w:bCs w:val="1"/>
          <w:color w:val="auto"/>
        </w:rPr>
      </w:pPr>
    </w:p>
    <w:p>
      <w:pPr>
        <w:jc w:val="both"/>
        <w:ind w:left="4" w:firstLine="987"/>
        <w:spacing w:after="0" w:line="278" w:lineRule="auto"/>
        <w:tabs>
          <w:tab w:leader="none" w:pos="1375" w:val="left"/>
        </w:tabs>
        <w:numPr>
          <w:ilvl w:val="1"/>
          <w:numId w:val="4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Treatment of CDR Sequence Information</w:t>
      </w:r>
      <w:r>
        <w:rPr>
          <w:rFonts w:ascii="Times New Roman" w:cs="Times New Roman" w:eastAsia="Times New Roman" w:hAnsi="Times New Roman"/>
          <w:sz w:val="17"/>
          <w:szCs w:val="17"/>
          <w:color w:val="auto"/>
        </w:rPr>
        <w:t>. To avoid doubt, prior to exercise of the Option, sequence information with respect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CDRs of Program Antibodies will be deemed the Confidential Information of both Parties. From and after the date of expiration of the Evaluation Term,</w:t>
      </w:r>
    </w:p>
    <w:p>
      <w:pPr>
        <w:spacing w:after="0" w:line="1" w:lineRule="exact"/>
        <w:rPr>
          <w:rFonts w:ascii="Times New Roman" w:cs="Times New Roman" w:eastAsia="Times New Roman" w:hAnsi="Times New Roman"/>
          <w:sz w:val="17"/>
          <w:szCs w:val="17"/>
          <w:b w:val="1"/>
          <w:bCs w:val="1"/>
          <w:color w:val="auto"/>
        </w:rPr>
      </w:pPr>
    </w:p>
    <w:p>
      <w:pPr>
        <w:ind w:left="4" w:right="120" w:hanging="4"/>
        <w:spacing w:after="0" w:line="255" w:lineRule="auto"/>
        <w:tabs>
          <w:tab w:leader="none" w:pos="43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the Confidential Information of Adimab. Nothing herein shall prohibit Cullinan from disclosing sequence information with respect to Program Antibodies with Cullinan’s Third Party Contractors or Cullinan Collaborators prior expiration of the Evaluation Term;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disclosures are in accordance with the terms of Section 6.1(d) (</w:t>
      </w:r>
      <w:r>
        <w:rPr>
          <w:rFonts w:ascii="Times New Roman" w:cs="Times New Roman" w:eastAsia="Times New Roman" w:hAnsi="Times New Roman"/>
          <w:sz w:val="18"/>
          <w:szCs w:val="18"/>
          <w:i w:val="1"/>
          <w:iCs w:val="1"/>
          <w:color w:val="auto"/>
        </w:rPr>
        <w:t>Limits on Use and Disclosure of Confidential Information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395" w:val="left"/>
        </w:tabs>
        <w:numPr>
          <w:ilvl w:val="1"/>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Limits on Use and Disclosure of Confidential Information</w:t>
      </w:r>
      <w:r>
        <w:rPr>
          <w:rFonts w:ascii="Times New Roman" w:cs="Times New Roman" w:eastAsia="Times New Roman" w:hAnsi="Times New Roman"/>
          <w:sz w:val="18"/>
          <w:szCs w:val="18"/>
          <w:color w:val="auto"/>
        </w:rPr>
        <w:t>. Each Party will receive and maintain the other Party’s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 strict confidence. Neither Party will disclose any Confidential Information of the other Party to any Third Party, except as otherwise provided in this Article 6 (</w:t>
      </w:r>
      <w:r>
        <w:rPr>
          <w:rFonts w:ascii="Times New Roman" w:cs="Times New Roman" w:eastAsia="Times New Roman" w:hAnsi="Times New Roman"/>
          <w:sz w:val="18"/>
          <w:szCs w:val="18"/>
          <w:i w:val="1"/>
          <w:iCs w:val="1"/>
          <w:color w:val="auto"/>
        </w:rPr>
        <w:t>Confidentiality; Publicity</w:t>
      </w:r>
      <w:r>
        <w:rPr>
          <w:rFonts w:ascii="Times New Roman" w:cs="Times New Roman" w:eastAsia="Times New Roman" w:hAnsi="Times New Roman"/>
          <w:sz w:val="18"/>
          <w:szCs w:val="18"/>
          <w:color w:val="auto"/>
        </w:rPr>
        <w:t xml:space="preserve">). Neither Party will use the Confidential Information of the other Party for any purpose other than as required to perform its obligations or exercise its rights hereunder. Each Party may disclose the other Party’s Confidential Information to the receiving Party’s employees, directors, consultants and contractors requiring access thereto for the purposes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making any such disclosures, each such person will be bound by written agreement to maintain Confidential Information in confidence and not to use such information for any purpose other than in accordance with the terms and conditions of this Agreement. Each Party agrees to take all steps necessary to ensure that the other Party’s Confidential Information will be maintained in confidence including such steps as it takes to prevent the disclosure of its own proprietary and confidential information of like character. Each Party agrees that this Agreement will be binding upon its employees and contractors involved in the activities contemplated hereby and that it will be liable for any breach by its employees or contractors. Each Party will take all steps necessary to ensure that its employees and contractors will comply with the terms and conditions of this Agreement. The foregoing obligations of confidentiality and non-use will survive, and remain in effect for a period of [***] from, the termination or expiration of this Agreement in accordance with Article 9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6.2 Exclusions from Nondisclosure Obligation</w:t>
      </w:r>
      <w:r>
        <w:rPr>
          <w:rFonts w:ascii="Times New Roman" w:cs="Times New Roman" w:eastAsia="Times New Roman" w:hAnsi="Times New Roman"/>
          <w:sz w:val="18"/>
          <w:szCs w:val="18"/>
          <w:color w:val="auto"/>
        </w:rPr>
        <w:t>. Information will not be considered Confidential Information and the nondisclosure and nonuse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in Section 6.1 (</w:t>
      </w:r>
      <w:r>
        <w:rPr>
          <w:rFonts w:ascii="Times New Roman" w:cs="Times New Roman" w:eastAsia="Times New Roman" w:hAnsi="Times New Roman"/>
          <w:sz w:val="18"/>
          <w:szCs w:val="18"/>
          <w:i w:val="1"/>
          <w:iCs w:val="1"/>
          <w:color w:val="auto"/>
        </w:rPr>
        <w:t>General Confidentiality Obligations</w:t>
      </w:r>
      <w:r>
        <w:rPr>
          <w:rFonts w:ascii="Times New Roman" w:cs="Times New Roman" w:eastAsia="Times New Roman" w:hAnsi="Times New Roman"/>
          <w:sz w:val="18"/>
          <w:szCs w:val="18"/>
          <w:color w:val="auto"/>
        </w:rPr>
        <w:t>) will not apply to the extent that the receiving Party can establish by competent written proof that it: (a) at the time of disclosure is publicly known; (b) after disclosure, becomes publicly known by publication or otherwise, except by breach of this Agreement by such Party; (c) was in such Party’s possession at the time of the earlier of disclosure hereunder; (d) is received by such Party from a Third Party who has the lawful right to disclose the Confidential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65" w:right="459" w:bottom="1440" w:gutter="0" w:footer="0" w:header="0"/>
        </w:sectPr>
      </w:pPr>
    </w:p>
    <w:bookmarkStart w:id="511" w:name="page512"/>
    <w:bookmarkEnd w:id="511"/>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and who will not have obtained the Confidential Information either directly or indirectly from the disclosing Party; or (e) is independently developed by such Party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without reference or access to Confidential Information of the disclosing Party).</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6.3 Required Disclosures</w:t>
      </w:r>
      <w:r>
        <w:rPr>
          <w:rFonts w:ascii="Times New Roman" w:cs="Times New Roman" w:eastAsia="Times New Roman" w:hAnsi="Times New Roman"/>
          <w:sz w:val="18"/>
          <w:szCs w:val="18"/>
          <w:color w:val="auto"/>
        </w:rPr>
        <w:t>. If either Party is required, pursuant to a governmental law, regulation or order of a court of competent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any Confidential Information of the other Party, the Party which is required to disclose the Confidential Information of the other Party (a) will give reasonable advance written notice to the other Party, (b) will make a reasonable effort to assist the other Party to obtain a protective order limiting or eliminating any disclosure and requiring that any Confidential Information so disclosed be used only for the purposes for which the law, regulation or order required, and (c) will use and disclose the Confidential Information solely to the extent required by the law, regulation or order of a court of competent jurisdiction.</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6.4 Terms of Agreement</w:t>
      </w:r>
      <w:r>
        <w:rPr>
          <w:rFonts w:ascii="Times New Roman" w:cs="Times New Roman" w:eastAsia="Times New Roman" w:hAnsi="Times New Roman"/>
          <w:sz w:val="18"/>
          <w:szCs w:val="18"/>
          <w:color w:val="auto"/>
        </w:rPr>
        <w:t>. The terms of this Agreement are the Confidential Information of both Parties. However, each Party will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the terms of this Agreement under legally binding obligations of confidence and limited use to: legal, financial and investment banking advisors; and potential and actual investors, acquirers and licensees or sublicensees doing diligence and counsel for the foregoing. In addition, if legally required, a copy of this Agreement may be filed by either Party with the U.S. Securities and Exchange Commission (or relevant ex-U.S. counterpart). In that case, the filing Party will if requested by the other Party diligently seek confidential treatment for terms of this Agreement for which confidential treatment is reasonably available, and will provide the non-filing Party reasonable advance notice of the terms proposed for redactions and a reasonable opportunity to request that the filing Party make additional redactions to the extent confidential treatment is reasonably available under the law. The filing Party will seek and diligently pursue such confidential treatment requested by the non-filing Party.</w:t>
      </w:r>
    </w:p>
    <w:p>
      <w:pPr>
        <w:spacing w:after="0" w:line="18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6.5 Return of Confidential Information</w:t>
      </w:r>
      <w:r>
        <w:rPr>
          <w:rFonts w:ascii="Times New Roman" w:cs="Times New Roman" w:eastAsia="Times New Roman" w:hAnsi="Times New Roman"/>
          <w:sz w:val="18"/>
          <w:szCs w:val="18"/>
          <w:color w:val="auto"/>
        </w:rPr>
        <w:t>. Promptly after the termination or expiration of this Agreement for any reason, each Party will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other Party all tangible manifestations of such other Party’s Confidential Information at that time in the possession of the receiving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receiving Party may retain one (1) copy of each document or description thereof in its files for the sole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a record of what it received in confidence and to comply with its confidentiality obligations hereunder; and that the obligation of the receiving Party to return Confidential Information pursuant to this Section 6.5 (</w:t>
      </w:r>
      <w:r>
        <w:rPr>
          <w:rFonts w:ascii="Times New Roman" w:cs="Times New Roman" w:eastAsia="Times New Roman" w:hAnsi="Times New Roman"/>
          <w:sz w:val="18"/>
          <w:szCs w:val="18"/>
          <w:i w:val="1"/>
          <w:iCs w:val="1"/>
          <w:color w:val="auto"/>
        </w:rPr>
        <w:t>Return of Confidential Information</w:t>
      </w:r>
      <w:r>
        <w:rPr>
          <w:rFonts w:ascii="Times New Roman" w:cs="Times New Roman" w:eastAsia="Times New Roman" w:hAnsi="Times New Roman"/>
          <w:sz w:val="18"/>
          <w:szCs w:val="18"/>
          <w:color w:val="auto"/>
        </w:rPr>
        <w:t xml:space="preserve">) will not apply (a) to copies of electronically exchanged Confidential Information made as a matter of routine information technology backup,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it is only accessible to receiving Party’s permitted recipients that are responsible for maintaining the receiving Party’s electronic backup services, and (b) to Confidential Information or copies thereof which must be retained pursuant to mandatory applicable law. Any Confidential Information retained will continue to be subject to the terms of this Agreement.</w:t>
      </w:r>
    </w:p>
    <w:p>
      <w:pPr>
        <w:spacing w:after="0" w:line="29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6.6</w:t>
        <w:tab/>
        <w:t>Publicity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9" w:lineRule="auto"/>
        <w:tabs>
          <w:tab w:leader="none" w:pos="1381"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Press Releases</w:t>
      </w:r>
      <w:r>
        <w:rPr>
          <w:rFonts w:ascii="Times New Roman" w:cs="Times New Roman" w:eastAsia="Times New Roman" w:hAnsi="Times New Roman"/>
          <w:sz w:val="18"/>
          <w:szCs w:val="18"/>
          <w:color w:val="auto"/>
        </w:rPr>
        <w:t>. Subject to Cullinan’s written approval of the language, not to be unreasonably withheld or delayed, Adimab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 a press release disclosing the existence (but not the financial terms or other terms) of this Agreement. Other than repeating information in such press release (or any subsequent mutually agreed press release), neither Party will generate or allow any further publicity regarding this Agreement or the transaction or research contemplated hereunder in which the other Party is identified, without giving the other Party the opportunity to approve such press release.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9" w:right="479" w:bottom="1440" w:gutter="0" w:footer="0" w:header="0"/>
        </w:sectPr>
      </w:pPr>
    </w:p>
    <w:bookmarkStart w:id="512" w:name="page513"/>
    <w:bookmarkEnd w:id="512"/>
    <w:p>
      <w:pPr>
        <w:ind w:left="-100" w:right="140" w:firstLine="987"/>
        <w:spacing w:after="0" w:line="257" w:lineRule="auto"/>
        <w:tabs>
          <w:tab w:leader="none" w:pos="1291"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Announcement of Subsequent Events</w:t>
      </w:r>
      <w:r>
        <w:rPr>
          <w:rFonts w:ascii="Times New Roman" w:cs="Times New Roman" w:eastAsia="Times New Roman" w:hAnsi="Times New Roman"/>
          <w:sz w:val="18"/>
          <w:szCs w:val="18"/>
          <w:color w:val="auto"/>
        </w:rPr>
        <w:t>. The Parties recognize the importance of announcing the exercise of any Option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Milestone Events, and agree that Adimab may disclose these occurrences. At Adimab’s discretion, Adimab will propose the text of an Adimab press release to announce each such event and Cullinan will have the opportunity to review and approve such text (such approval not to be unreasonably withheld). For clarity, Cullinan is free to disclose the achievement of significant development events without the prior approval of Adimab, and where not unreasonably cumbersome, Cullinan will include in such disclosure recognition of Adimab as the source of the Program Antibodies in such Products.</w:t>
      </w:r>
    </w:p>
    <w:p>
      <w:pPr>
        <w:spacing w:after="0" w:line="182" w:lineRule="exact"/>
        <w:rPr>
          <w:rFonts w:ascii="Times New Roman" w:cs="Times New Roman" w:eastAsia="Times New Roman" w:hAnsi="Times New Roman"/>
          <w:sz w:val="18"/>
          <w:szCs w:val="18"/>
          <w:b w:val="1"/>
          <w:bCs w:val="1"/>
          <w:color w:val="auto"/>
        </w:rPr>
      </w:pPr>
    </w:p>
    <w:p>
      <w:pPr>
        <w:ind w:left="-100" w:right="20" w:firstLine="987"/>
        <w:spacing w:after="0" w:line="259" w:lineRule="auto"/>
        <w:tabs>
          <w:tab w:leader="none" w:pos="1271"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Bundled Press Releases</w:t>
      </w:r>
      <w:r>
        <w:rPr>
          <w:rFonts w:ascii="Times New Roman" w:cs="Times New Roman" w:eastAsia="Times New Roman" w:hAnsi="Times New Roman"/>
          <w:sz w:val="18"/>
          <w:szCs w:val="18"/>
          <w:color w:val="auto"/>
        </w:rPr>
        <w:t>. It is understood and agreed that Adimab sometimes issues press releases that group multiple achievements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Adimab (such as expanded collaborations, option exercises, and achievement of milestones). It is understood and agreed that Adimab may choose to group text from an approved press release, or the announcement of Option exercise and/or achievement of a Milestone Event, with other accomplishments or events not relating to this Agreement and, in such event, the only portion of the press release as to which Cullinan will have a consent right (such consent not to be unreasonably withheld) will be those portions that relate to this Agreement.</w:t>
      </w:r>
    </w:p>
    <w:p>
      <w:pPr>
        <w:spacing w:after="0" w:line="179" w:lineRule="exact"/>
        <w:rPr>
          <w:rFonts w:ascii="Times New Roman" w:cs="Times New Roman" w:eastAsia="Times New Roman" w:hAnsi="Times New Roman"/>
          <w:sz w:val="18"/>
          <w:szCs w:val="18"/>
          <w:b w:val="1"/>
          <w:bCs w:val="1"/>
          <w:color w:val="auto"/>
        </w:rPr>
      </w:pPr>
    </w:p>
    <w:p>
      <w:pPr>
        <w:ind w:left="-100" w:right="20" w:firstLine="987"/>
        <w:spacing w:after="0" w:line="262" w:lineRule="auto"/>
        <w:tabs>
          <w:tab w:leader="none" w:pos="1291"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In public disclosures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press releases, posters, publications) regarding Program Antibodies or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reasonably appropriate, Cullinan will acknowledge that such Program Antibodies or Products were discovered or optimized, as applicable, using “the Adimab Platform”, and will include Adimab co-authors, as appropriate in accordance with standard industry practice. Adimab will provide an electronic version of its logo for use in such contexts by Cullinan upon request.</w:t>
      </w:r>
    </w:p>
    <w:p>
      <w:pPr>
        <w:spacing w:after="0" w:line="176" w:lineRule="exact"/>
        <w:rPr>
          <w:rFonts w:ascii="Times New Roman" w:cs="Times New Roman" w:eastAsia="Times New Roman" w:hAnsi="Times New Roman"/>
          <w:sz w:val="18"/>
          <w:szCs w:val="18"/>
          <w:b w:val="1"/>
          <w:bCs w:val="1"/>
          <w:color w:val="auto"/>
        </w:rPr>
      </w:pPr>
    </w:p>
    <w:p>
      <w:pPr>
        <w:ind w:left="-100" w:firstLine="987"/>
        <w:spacing w:after="0" w:line="253" w:lineRule="auto"/>
        <w:tabs>
          <w:tab w:leader="none" w:pos="1271"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Cullinan may publish or present the results of any Research Program and/or the results of evaluation of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Antibodies (including during the applicable Evaluation Terms), in each case solely with respect to Program Antibodies and/or their Target(s), subject to the prior review by Adimab for patentability and protection of Adimab’s Confidential Information as provided in this Section 6.6(e) (</w:t>
      </w:r>
      <w:r>
        <w:rPr>
          <w:rFonts w:ascii="Times New Roman" w:cs="Times New Roman" w:eastAsia="Times New Roman" w:hAnsi="Times New Roman"/>
          <w:sz w:val="18"/>
          <w:szCs w:val="18"/>
          <w:i w:val="1"/>
          <w:iCs w:val="1"/>
          <w:color w:val="auto"/>
        </w:rPr>
        <w:t>Publication</w:t>
      </w:r>
      <w:r>
        <w:rPr>
          <w:rFonts w:ascii="Times New Roman" w:cs="Times New Roman" w:eastAsia="Times New Roman" w:hAnsi="Times New Roman"/>
          <w:sz w:val="18"/>
          <w:szCs w:val="18"/>
          <w:color w:val="auto"/>
        </w:rPr>
        <w:t>) and without disclosing Adimab Confidential Information (including sequence information that is Adimab’s Confidential Information) (and subject to Section 6.2 (</w:t>
      </w:r>
      <w:r>
        <w:rPr>
          <w:rFonts w:ascii="Times New Roman" w:cs="Times New Roman" w:eastAsia="Times New Roman" w:hAnsi="Times New Roman"/>
          <w:sz w:val="18"/>
          <w:szCs w:val="18"/>
          <w:i w:val="1"/>
          <w:iCs w:val="1"/>
          <w:color w:val="auto"/>
        </w:rPr>
        <w:t>Exclusions from Non-Disclosure Obligation</w:t>
      </w:r>
      <w:r>
        <w:rPr>
          <w:rFonts w:ascii="Times New Roman" w:cs="Times New Roman" w:eastAsia="Times New Roman" w:hAnsi="Times New Roman"/>
          <w:sz w:val="18"/>
          <w:szCs w:val="18"/>
          <w:color w:val="auto"/>
        </w:rPr>
        <w:t>)) unless approved of in advance in writing by Adimab in its sole discretion. During the applicable Evaluation Terms, Cullinan will provide to Adimab the opportunity to review any proposed abstracts, manuscripts or summaries of presentations that cover such results. Adimab will respond in writing promptly and in no event later than [***] after receipt of the proposed material with either approval of the proposed material or a specific statement of concern, based upon either the need to seek (i) patent protection or (ii) delete Adimab Confidential Information. In the event of concern, during the applicable Evaluation Terms, Cullinan agrees not to submit such publication or to make such presentation that contains such information until Adimab is given a reasonable period of time (not to exceed [***]) to seek patent protection for any material in such publication or presentation that it believes is patentable and that it has the right to patent, or to resolve any other issues, and, in any case, Cullinan will remove from such proposed publication any Confidential Information of Adimab as requested by Adimab.</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20"/>
          </w:cols>
          <w:pgMar w:left="540" w:top="265" w:right="539" w:bottom="1440" w:gutter="0" w:footer="0" w:header="0"/>
        </w:sectPr>
      </w:pPr>
    </w:p>
    <w:bookmarkStart w:id="513" w:name="page514"/>
    <w:bookmarkEnd w:id="513"/>
    <w:p>
      <w:pPr>
        <w:ind w:right="8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6.7 Certain Data</w:t>
      </w:r>
      <w:r>
        <w:rPr>
          <w:rFonts w:ascii="Times New Roman" w:cs="Times New Roman" w:eastAsia="Times New Roman" w:hAnsi="Times New Roman"/>
          <w:sz w:val="17"/>
          <w:szCs w:val="17"/>
          <w:color w:val="auto"/>
        </w:rPr>
        <w:t>. The Parties recognize the need for Adimab to advance and disclose the general capabilities of the Adimab Platform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In connection therewith, notwithstanding this Article 6 (</w:t>
      </w:r>
      <w:r>
        <w:rPr>
          <w:rFonts w:ascii="Times New Roman" w:cs="Times New Roman" w:eastAsia="Times New Roman" w:hAnsi="Times New Roman"/>
          <w:sz w:val="17"/>
          <w:szCs w:val="17"/>
          <w:i w:val="1"/>
          <w:iCs w:val="1"/>
          <w:color w:val="auto"/>
        </w:rPr>
        <w:t>Confidentiality; Publicity</w:t>
      </w:r>
      <w:r>
        <w:rPr>
          <w:rFonts w:ascii="Times New Roman" w:cs="Times New Roman" w:eastAsia="Times New Roman" w:hAnsi="Times New Roman"/>
          <w:sz w:val="17"/>
          <w:szCs w:val="17"/>
          <w:color w:val="auto"/>
        </w:rPr>
        <w:t>), without disclosing Cullinan’s identity, the identity or class of the Target (or the sequence of any Program Antibody, Adimab will be entitled to use and disclose generally Program Antibody attributes and Program Inventions, including the following: (a) Program Antibody binding affinities, (b) expression range regarding Program Antibodies, (c) germline distribution of Program Antibodies, (d) Program Antibody format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monoclonal, Morrison multispecific, etc.), (e) developability data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polyspecificity, expressibility, and aggregation data), and (f) stage of development of Program-Benefited Antibodies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“preclinical” or “Phase I”).</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7.1 Mutual Representations</w:t>
      </w:r>
      <w:r>
        <w:rPr>
          <w:rFonts w:ascii="Times New Roman" w:cs="Times New Roman" w:eastAsia="Times New Roman" w:hAnsi="Times New Roman"/>
          <w:sz w:val="18"/>
          <w:szCs w:val="18"/>
          <w:color w:val="auto"/>
        </w:rPr>
        <w:t>. Each of Adimab and Cullinan hereby represents and warrants to the other of them that the representing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warranting Party is duly organized in its jurisdiction of incorporation; that the representing and warranting Party has the full power and authority to enter into this Agreement; that this Agreement is binding upon the representing and warranting Party; that this Agreement has been duly authorized by all requisite corporate action within the representing and warranting Party; and that the execution, delivery and performance by the representing and warranting Party of this Agreement and its compliance with the terms and conditions hereof does not and will not conflict with or result in a breach of any of the terms and conditions of or constitute a default under (a) any agreement or other instrument binding or affecting it or its property, (b) the provisions of its bylaws or other governing documents or (c) any order, writ, injunction or decree of any governmental authority entered against it or by which any of its property is bound.</w:t>
      </w:r>
    </w:p>
    <w:p>
      <w:pPr>
        <w:spacing w:after="0" w:line="18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Representations of Adimab</w:t>
      </w:r>
      <w:r>
        <w:rPr>
          <w:rFonts w:ascii="Times New Roman" w:cs="Times New Roman" w:eastAsia="Times New Roman" w:hAnsi="Times New Roman"/>
          <w:sz w:val="17"/>
          <w:szCs w:val="17"/>
          <w:color w:val="auto"/>
        </w:rPr>
        <w:t>. Adimab hereby represents and warrants to Cullinan that, as of the Effective Date:</w:t>
      </w:r>
    </w:p>
    <w:p>
      <w:pPr>
        <w:spacing w:after="0" w:line="225" w:lineRule="exact"/>
        <w:rPr>
          <w:sz w:val="20"/>
          <w:szCs w:val="20"/>
          <w:color w:val="auto"/>
        </w:rPr>
      </w:pPr>
    </w:p>
    <w:p>
      <w:pPr>
        <w:ind w:right="500" w:firstLine="987"/>
        <w:spacing w:after="0" w:line="268" w:lineRule="auto"/>
        <w:tabs>
          <w:tab w:leader="none" w:pos="1381"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Complaints</w:t>
      </w:r>
      <w:r>
        <w:rPr>
          <w:rFonts w:ascii="Times New Roman" w:cs="Times New Roman" w:eastAsia="Times New Roman" w:hAnsi="Times New Roman"/>
          <w:sz w:val="18"/>
          <w:szCs w:val="18"/>
          <w:color w:val="auto"/>
        </w:rPr>
        <w:t>. There are no complaints filed in court or, to Adimab’s knowledge, otherwise threatened, in each case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Adimab Platform Patents which, if decided in a manner adverse to Adimab, would materially affect Adimab’s practice of the Adimab Platform Technology or Cullinan’s rights as contemplated by this Agreement.</w:t>
      </w:r>
    </w:p>
    <w:p>
      <w:pPr>
        <w:spacing w:after="0" w:line="170" w:lineRule="exact"/>
        <w:rPr>
          <w:rFonts w:ascii="Times New Roman" w:cs="Times New Roman" w:eastAsia="Times New Roman" w:hAnsi="Times New Roman"/>
          <w:sz w:val="18"/>
          <w:szCs w:val="18"/>
          <w:b w:val="1"/>
          <w:bCs w:val="1"/>
          <w:color w:val="auto"/>
        </w:rPr>
      </w:pPr>
    </w:p>
    <w:p>
      <w:pPr>
        <w:ind w:right="20" w:firstLine="987"/>
        <w:spacing w:after="0" w:line="262" w:lineRule="auto"/>
        <w:tabs>
          <w:tab w:leader="none" w:pos="1391"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Judgments</w:t>
      </w:r>
      <w:r>
        <w:rPr>
          <w:rFonts w:ascii="Times New Roman" w:cs="Times New Roman" w:eastAsia="Times New Roman" w:hAnsi="Times New Roman"/>
          <w:sz w:val="18"/>
          <w:szCs w:val="18"/>
          <w:color w:val="auto"/>
        </w:rPr>
        <w:t>. There are no judgments or settlements against Adimab or its Affiliates or to which it is a party that will materially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Adimab’s practice of the Adimab Platform Technology as contemplated in this Agreement. Adimab is not party to any settlement discussions that, if concluded as of the Effective Date, would result in a settlement which would materially affect Adimab’s practice of the Adimab Platform Technology or Cullinan’s rights as contemplated in this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5" w:right="459" w:bottom="1440" w:gutter="0" w:footer="0" w:header="0"/>
        </w:sectPr>
      </w:pPr>
    </w:p>
    <w:bookmarkStart w:id="514" w:name="page515"/>
    <w:bookmarkEnd w:id="514"/>
    <w:p>
      <w:pPr>
        <w:ind w:left="4" w:right="140" w:firstLine="987"/>
        <w:spacing w:after="0" w:line="268" w:lineRule="auto"/>
        <w:tabs>
          <w:tab w:leader="none" w:pos="1375"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Misappropriation of Trade Secrets</w:t>
      </w:r>
      <w:r>
        <w:rPr>
          <w:rFonts w:ascii="Times New Roman" w:cs="Times New Roman" w:eastAsia="Times New Roman" w:hAnsi="Times New Roman"/>
          <w:sz w:val="18"/>
          <w:szCs w:val="18"/>
          <w:color w:val="auto"/>
        </w:rPr>
        <w:t>. To Adimab’s knowledge, the conception, development and reduction to practice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Adimab Platform Technology and the Adimab CD3 IP, as it exists on the Effective Date, have not constituted or involved the misappropriation of trade secrets, know-how or similar rights or property of any person.</w:t>
      </w:r>
    </w:p>
    <w:p>
      <w:pPr>
        <w:spacing w:after="0" w:line="170" w:lineRule="exact"/>
        <w:rPr>
          <w:rFonts w:ascii="Times New Roman" w:cs="Times New Roman" w:eastAsia="Times New Roman" w:hAnsi="Times New Roman"/>
          <w:sz w:val="18"/>
          <w:szCs w:val="18"/>
          <w:b w:val="1"/>
          <w:bCs w:val="1"/>
          <w:color w:val="auto"/>
        </w:rPr>
      </w:pPr>
    </w:p>
    <w:p>
      <w:pPr>
        <w:ind w:left="4" w:right="140" w:firstLine="987"/>
        <w:spacing w:after="0" w:line="262" w:lineRule="auto"/>
        <w:tabs>
          <w:tab w:leader="none" w:pos="1395"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Infringement</w:t>
      </w:r>
      <w:r>
        <w:rPr>
          <w:rFonts w:ascii="Times New Roman" w:cs="Times New Roman" w:eastAsia="Times New Roman" w:hAnsi="Times New Roman"/>
          <w:sz w:val="18"/>
          <w:szCs w:val="18"/>
          <w:color w:val="auto"/>
        </w:rPr>
        <w:t>. In Adimab’s reasonable judgment, the practice of the Adimab Platform Technology and the Adimab CD3 IP,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practiced by Adimab as of the Effective Date and as Adimab intends to practice it hereunder, does not infringe a valid, issued Patent (or the claims of a pending published Patent application which Adimab, in its reasonable judgment, deems likely to issue in their current form) owned by a Third Party of which Adimab has knowledge.</w:t>
      </w:r>
    </w:p>
    <w:p>
      <w:pPr>
        <w:spacing w:after="0" w:line="176" w:lineRule="exact"/>
        <w:rPr>
          <w:rFonts w:ascii="Times New Roman" w:cs="Times New Roman" w:eastAsia="Times New Roman" w:hAnsi="Times New Roman"/>
          <w:sz w:val="18"/>
          <w:szCs w:val="18"/>
          <w:b w:val="1"/>
          <w:bCs w:val="1"/>
          <w:color w:val="auto"/>
        </w:rPr>
      </w:pPr>
    </w:p>
    <w:p>
      <w:pPr>
        <w:ind w:left="4" w:right="200" w:firstLine="987"/>
        <w:spacing w:after="0" w:line="317" w:lineRule="auto"/>
        <w:tabs>
          <w:tab w:leader="none" w:pos="1375" w:val="left"/>
        </w:tabs>
        <w:numPr>
          <w:ilvl w:val="0"/>
          <w:numId w:val="4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Exclusion of Excluded Technology and Sequence IP</w:t>
      </w:r>
      <w:r>
        <w:rPr>
          <w:rFonts w:ascii="Times New Roman" w:cs="Times New Roman" w:eastAsia="Times New Roman" w:hAnsi="Times New Roman"/>
          <w:sz w:val="17"/>
          <w:szCs w:val="17"/>
          <w:color w:val="auto"/>
        </w:rPr>
        <w:t>. Notwithstanding the foregoing, Adimab specifically excludes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representations with respect to any (i) Excluded Technology or (ii) Sequence IP other than with Sequence IP with respect to Adimab CD3 Antibodies.</w:t>
      </w:r>
    </w:p>
    <w:p>
      <w:pPr>
        <w:spacing w:after="0" w:line="132" w:lineRule="exact"/>
        <w:rPr>
          <w:sz w:val="20"/>
          <w:szCs w:val="20"/>
          <w:color w:val="auto"/>
        </w:rPr>
      </w:pPr>
    </w:p>
    <w:p>
      <w:pPr>
        <w:ind w:left="4" w:right="10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7.3 DISCLAIMER OF WARRANTIES</w:t>
      </w:r>
      <w:r>
        <w:rPr>
          <w:rFonts w:ascii="Times New Roman" w:cs="Times New Roman" w:eastAsia="Times New Roman" w:hAnsi="Times New Roman"/>
          <w:sz w:val="17"/>
          <w:szCs w:val="17"/>
          <w:color w:val="auto"/>
        </w:rPr>
        <w:t>. OTHER THAN THE EXPRESS WARRANTIES OF SECTION 7.1 (</w:t>
      </w:r>
      <w:r>
        <w:rPr>
          <w:rFonts w:ascii="Times New Roman" w:cs="Times New Roman" w:eastAsia="Times New Roman" w:hAnsi="Times New Roman"/>
          <w:sz w:val="17"/>
          <w:szCs w:val="17"/>
          <w:i w:val="1"/>
          <w:iCs w:val="1"/>
          <w:color w:val="auto"/>
        </w:rPr>
        <w:t>MUTUAL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AND SECTION 7.2 (</w:t>
      </w:r>
      <w:r>
        <w:rPr>
          <w:rFonts w:ascii="Times New Roman" w:cs="Times New Roman" w:eastAsia="Times New Roman" w:hAnsi="Times New Roman"/>
          <w:sz w:val="17"/>
          <w:szCs w:val="17"/>
          <w:i w:val="1"/>
          <w:iCs w:val="1"/>
          <w:color w:val="auto"/>
        </w:rPr>
        <w:t>REPRESENTATIONS OF ADIMAB</w:t>
      </w:r>
      <w:r>
        <w:rPr>
          <w:rFonts w:ascii="Times New Roman" w:cs="Times New Roman" w:eastAsia="Times New Roman" w:hAnsi="Times New Roman"/>
          <w:sz w:val="17"/>
          <w:szCs w:val="17"/>
          <w:color w:val="auto"/>
        </w:rPr>
        <w:t>), EACH PARTY DISCLAIMS ALL WARRANTIES OF ANY KIND,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 OR IMPLIED, INCLUDING ANY WARRANTY OF MERCHANTABILITY OR FITNESS FOR A PARTICULAR PURPOSE OR THAT ANY PRODUCTS DEVELOPED UNDER THIS AGREEMENT ARE FREE FROM THE RIGHTFUL CLAIM OF ANY THIRD PARTY, BY WAY OF INFRINGEMENT OR THE LIKE OR THAT ANY PROGRAM PATENTS WILL ISSUE OR BE VALID OR ENFORCEABLE OR THAT THE DEVELOPMENT, MANUFACTURE OR COMMERCIALIZATION OF ANY PRODUCT HEREUNDER WILL BE SUCCESSFUL.</w:t>
      </w:r>
    </w:p>
    <w:p>
      <w:pPr>
        <w:spacing w:after="0" w:line="3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8.1 Indemnification by Adimab</w:t>
      </w:r>
      <w:r>
        <w:rPr>
          <w:rFonts w:ascii="Times New Roman" w:cs="Times New Roman" w:eastAsia="Times New Roman" w:hAnsi="Times New Roman"/>
          <w:sz w:val="18"/>
          <w:szCs w:val="18"/>
          <w:color w:val="auto"/>
        </w:rPr>
        <w:t>. Adimab hereby agrees to indemnify, defend and hold harmless (collectively, “</w:t>
      </w:r>
      <w:r>
        <w:rPr>
          <w:rFonts w:ascii="Times New Roman" w:cs="Times New Roman" w:eastAsia="Times New Roman" w:hAnsi="Times New Roman"/>
          <w:sz w:val="18"/>
          <w:szCs w:val="18"/>
          <w:b w:val="1"/>
          <w:bCs w:val="1"/>
          <w:color w:val="auto"/>
        </w:rPr>
        <w:t>Indemnify</w:t>
      </w:r>
      <w:r>
        <w:rPr>
          <w:rFonts w:ascii="Times New Roman" w:cs="Times New Roman" w:eastAsia="Times New Roman" w:hAnsi="Times New Roman"/>
          <w:sz w:val="18"/>
          <w:szCs w:val="18"/>
          <w:color w:val="auto"/>
        </w:rPr>
        <w:t>”) Cullinan,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their directors, officers, agents and employees (collectively, “</w:t>
      </w:r>
      <w:r>
        <w:rPr>
          <w:rFonts w:ascii="Times New Roman" w:cs="Times New Roman" w:eastAsia="Times New Roman" w:hAnsi="Times New Roman"/>
          <w:sz w:val="18"/>
          <w:szCs w:val="18"/>
          <w:b w:val="1"/>
          <w:bCs w:val="1"/>
          <w:color w:val="auto"/>
        </w:rPr>
        <w:t>Cullinan Indemnitees</w:t>
      </w:r>
      <w:r>
        <w:rPr>
          <w:rFonts w:ascii="Times New Roman" w:cs="Times New Roman" w:eastAsia="Times New Roman" w:hAnsi="Times New Roman"/>
          <w:sz w:val="18"/>
          <w:szCs w:val="18"/>
          <w:color w:val="auto"/>
        </w:rPr>
        <w:t>”) from and against any and all liability, loss, damage or expense (including without limitation reasonable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they may suffer as the result of Third-Party claims, demands and actions (collectively, “</w:t>
      </w:r>
      <w:r>
        <w:rPr>
          <w:rFonts w:ascii="Times New Roman" w:cs="Times New Roman" w:eastAsia="Times New Roman" w:hAnsi="Times New Roman"/>
          <w:sz w:val="18"/>
          <w:szCs w:val="18"/>
          <w:b w:val="1"/>
          <w:bCs w:val="1"/>
          <w:color w:val="auto"/>
        </w:rPr>
        <w:t>Third-Party Claims</w:t>
      </w:r>
      <w:r>
        <w:rPr>
          <w:rFonts w:ascii="Times New Roman" w:cs="Times New Roman" w:eastAsia="Times New Roman" w:hAnsi="Times New Roman"/>
          <w:sz w:val="18"/>
          <w:szCs w:val="18"/>
          <w:color w:val="auto"/>
        </w:rPr>
        <w:t>”) arising out of or relating to (a) any breach of a representation or warranty made by Adimab under Article 7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(b) a material breach of any of Adimab’s obligations under this Agreement, or (c) the negligence or willful misconduct of Adimab Indemnitees, except, in each case, to the extent of any Losses (for which Cullinan is required to Indemnify Adimab pursuant to Section 8.2 (</w:t>
      </w:r>
      <w:r>
        <w:rPr>
          <w:rFonts w:ascii="Times New Roman" w:cs="Times New Roman" w:eastAsia="Times New Roman" w:hAnsi="Times New Roman"/>
          <w:sz w:val="18"/>
          <w:szCs w:val="18"/>
          <w:i w:val="1"/>
          <w:iCs w:val="1"/>
          <w:color w:val="auto"/>
        </w:rPr>
        <w:t>Indemnification by Cullinan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8.2 Indemnification by Cullinan</w:t>
      </w:r>
      <w:r>
        <w:rPr>
          <w:rFonts w:ascii="Times New Roman" w:cs="Times New Roman" w:eastAsia="Times New Roman" w:hAnsi="Times New Roman"/>
          <w:sz w:val="17"/>
          <w:szCs w:val="17"/>
          <w:color w:val="auto"/>
        </w:rPr>
        <w:t>. Cullinan hereby agrees that it and its Licensees will Indemnify Adimab, its Affiliates, and their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agents and employees (collectively, “</w:t>
      </w:r>
      <w:r>
        <w:rPr>
          <w:rFonts w:ascii="Times New Roman" w:cs="Times New Roman" w:eastAsia="Times New Roman" w:hAnsi="Times New Roman"/>
          <w:sz w:val="17"/>
          <w:szCs w:val="17"/>
          <w:b w:val="1"/>
          <w:bCs w:val="1"/>
          <w:color w:val="auto"/>
        </w:rPr>
        <w:t>Adimab Indemnitees</w:t>
      </w:r>
      <w:r>
        <w:rPr>
          <w:rFonts w:ascii="Times New Roman" w:cs="Times New Roman" w:eastAsia="Times New Roman" w:hAnsi="Times New Roman"/>
          <w:sz w:val="17"/>
          <w:szCs w:val="17"/>
          <w:color w:val="auto"/>
        </w:rPr>
        <w:t>”) from and against any and all Losses they may suffer as the result of Third-Party Claims arising out of or relating to (a) any breach of a representation or warranty made by Cullinan under Article 7 (</w:t>
      </w: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80" w:hanging="4"/>
        <w:spacing w:after="0" w:line="252" w:lineRule="auto"/>
        <w:tabs>
          <w:tab w:leader="none" w:pos="25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Cullinan’s research, testing, development, manufacture, use, sale, distribution, licensing and/or commercialization of Program-Benefited Antibodies or Products (but, for clarity, excluding activities conducted by Adimab under this Agreement other than the use of Cullinan Materials, including the practice of the Adimab Platform Technology pursuant hereto), (c) Adimab’s use of any Cullinan Materials, (d) the use by Cullinan or its Licensees of any Excluded Technology or Third Party Sequence IP, and (e) material breach of the contractual obligations of Cullinan pursuant to this Agreement, except in each case to the extent of any Losses for which Adimab is required to Indemnify Cullinan pursuant to Section 8.1 (</w:t>
      </w:r>
      <w:r>
        <w:rPr>
          <w:rFonts w:ascii="Times New Roman" w:cs="Times New Roman" w:eastAsia="Times New Roman" w:hAnsi="Times New Roman"/>
          <w:sz w:val="18"/>
          <w:szCs w:val="18"/>
          <w:i w:val="1"/>
          <w:iCs w:val="1"/>
          <w:color w:val="auto"/>
        </w:rPr>
        <w:t>Indemnification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Adimab</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65" w:right="459" w:bottom="1440" w:gutter="0" w:footer="0" w:header="0"/>
        </w:sectPr>
      </w:pPr>
    </w:p>
    <w:bookmarkStart w:id="515" w:name="page516"/>
    <w:bookmarkEnd w:id="515"/>
    <w:p>
      <w:pPr>
        <w:ind w:left="4" w:right="60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 Indemnification Procedures</w:t>
      </w:r>
      <w:r>
        <w:rPr>
          <w:rFonts w:ascii="Times New Roman" w:cs="Times New Roman" w:eastAsia="Times New Roman" w:hAnsi="Times New Roman"/>
          <w:sz w:val="18"/>
          <w:szCs w:val="18"/>
          <w:color w:val="auto"/>
        </w:rPr>
        <w:t>. Each of the foregoing agreements to Indemnify is conditioned on the relevant Adimab Indemnitees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Cullinan Indemnitees (a) providing prompt written notice of any Third-Party Claim giving rise to an indemnification obligation hereunder,</w:t>
      </w:r>
    </w:p>
    <w:p>
      <w:pPr>
        <w:spacing w:after="0" w:line="1" w:lineRule="exact"/>
        <w:rPr>
          <w:sz w:val="20"/>
          <w:szCs w:val="20"/>
          <w:color w:val="auto"/>
        </w:rPr>
      </w:pPr>
    </w:p>
    <w:p>
      <w:pPr>
        <w:ind w:left="4" w:hanging="4"/>
        <w:spacing w:after="0" w:line="252" w:lineRule="auto"/>
        <w:tabs>
          <w:tab w:leader="none" w:pos="25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indemnifying Party to assume full responsibility to investigate, prepare for and defend against any such Third-Party Claim (but only to the extent and for such period of time such Third Party Claim solely involves monetary damages and as such indemnifying Party agrees in writing with such indemnified Party that the indemnifying Party shall be solely responsible for any and all such monetary damages), (c) providing reasonable assistance in the defense of such claim at the indemnifying Party’s reasonable expense, and (d) not compromising or settling such Third-Party Claim without the indemnifying Party’s advance written consent. If the Parties cannot agree as to the application of the foregoing Section 8.1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Adimab</w:t>
      </w:r>
      <w:r>
        <w:rPr>
          <w:rFonts w:ascii="Times New Roman" w:cs="Times New Roman" w:eastAsia="Times New Roman" w:hAnsi="Times New Roman"/>
          <w:sz w:val="18"/>
          <w:szCs w:val="18"/>
          <w:color w:val="auto"/>
        </w:rPr>
        <w:t>) and Section 8.2 (</w:t>
      </w:r>
      <w:r>
        <w:rPr>
          <w:rFonts w:ascii="Times New Roman" w:cs="Times New Roman" w:eastAsia="Times New Roman" w:hAnsi="Times New Roman"/>
          <w:sz w:val="18"/>
          <w:szCs w:val="18"/>
          <w:i w:val="1"/>
          <w:iCs w:val="1"/>
          <w:color w:val="auto"/>
        </w:rPr>
        <w:t>Indemnification by Cullinan</w:t>
      </w:r>
      <w:r>
        <w:rPr>
          <w:rFonts w:ascii="Times New Roman" w:cs="Times New Roman" w:eastAsia="Times New Roman" w:hAnsi="Times New Roman"/>
          <w:sz w:val="18"/>
          <w:szCs w:val="18"/>
          <w:color w:val="auto"/>
        </w:rPr>
        <w:t>), each may conduct separate defenses of the Third-Party Claim, and each Party reserves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claim indemnity from the other in accordance with this Article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upon the resolution of the underlying Third-Party Claim.</w:t>
      </w:r>
    </w:p>
    <w:p>
      <w:pPr>
        <w:spacing w:after="0" w:line="184"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8.4 Limitation of Liability</w:t>
      </w:r>
      <w:r>
        <w:rPr>
          <w:rFonts w:ascii="Times New Roman" w:cs="Times New Roman" w:eastAsia="Times New Roman" w:hAnsi="Times New Roman"/>
          <w:sz w:val="18"/>
          <w:szCs w:val="18"/>
          <w:color w:val="auto"/>
        </w:rPr>
        <w:t>. EXCEPT TO THE EXTENT SUCH PARTY MAY BE REQUIRED TO INDEMNIFY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ARTICLE 8 (INDEMNIFICATION) OR AS REGARDS A BREACH OF A PARTY’S RESPONSIBILITIES PURSUANT TO SECTION 3.7 (COVENANT NOT TO EXCEED LICENSE), SECTION 9.4 (COMMITMENTS REGARDING PROGRAM-BENEFITED ANTIBODIES), ARTICLE 5 (INTELLECTUAL PROPERTY) OR ARTICLE 6 (CONFIDENTIALITY; PUBLICITY), NEITHER PARTY NOR ITS RESPECTIVE AFFILIATES SHALL BE LIABLE FOR ANY SPECIAL, INDIRECT, EXEMPLARY, CONSEQUENTIAL OR PUNITIVE DAMAGES HEREUNDER, WHETHER IN CONTRACT, WARRANTY, TORT, STRICT LIABILITY OR OTHERWISE. IN ADDITION, NOTHING HEREIN SHALL EXCLUDE OR LIMIT LIABILITY FOR DEATH OR PERSONAL INJURY ARISING FROM NEGLIGENT, RECKLESS OR WILLFUL MISCONDUCT OF A PARTY.</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2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9.1 Term</w:t>
      </w:r>
      <w:r>
        <w:rPr>
          <w:rFonts w:ascii="Times New Roman" w:cs="Times New Roman" w:eastAsia="Times New Roman" w:hAnsi="Times New Roman"/>
          <w:sz w:val="18"/>
          <w:szCs w:val="18"/>
          <w:color w:val="auto"/>
        </w:rPr>
        <w:t>. The term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of this Agreement will commence on the Effective Date and will expire upon (a) in the event that no Option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the conclusion of the last-to-expire Evaluation Term; or (b) in the event that an Option is exercised, on a country-by-country and Product-by-Product basis on the expiration of the last Royalty Term for a Product in the particular country, in each case, unless earlier terminated by a Party as set forth in this Article 9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Upon expiration of the Term, on a Product-by-Product and country-by-country basis, all licenses granted to Cullinan hereunder with respect to such Product and country will continue on a non-exclusive, fully paid, worldwide, royalty-free, irrevocable basis, including the right to grant and authorize sublicenses (including through multiple tiers).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5" w:right="459" w:bottom="1440" w:gutter="0" w:footer="0" w:header="0"/>
        </w:sectPr>
      </w:pPr>
    </w:p>
    <w:bookmarkStart w:id="516" w:name="page517"/>
    <w:bookmarkEnd w:id="516"/>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 Material Breach</w:t>
      </w:r>
      <w:r>
        <w:rPr>
          <w:rFonts w:ascii="Times New Roman" w:cs="Times New Roman" w:eastAsia="Times New Roman" w:hAnsi="Times New Roman"/>
          <w:sz w:val="18"/>
          <w:szCs w:val="18"/>
          <w:color w:val="auto"/>
        </w:rPr>
        <w:t>. Either Party may terminate this Agreement for the material breach of this Agreement by the other Party, if such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remains uncured [***] following written notice from the non-breaching Party to the breaching Party specifying such breach;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 respect to any such material breach of Cullinan’s diligence obligations under Section 3.5 (</w:t>
      </w:r>
      <w:r>
        <w:rPr>
          <w:rFonts w:ascii="Times New Roman" w:cs="Times New Roman" w:eastAsia="Times New Roman" w:hAnsi="Times New Roman"/>
          <w:sz w:val="18"/>
          <w:szCs w:val="18"/>
          <w:i w:val="1"/>
          <w:iCs w:val="1"/>
          <w:color w:val="auto"/>
        </w:rPr>
        <w:t>Diligent Development and Commercialization</w:t>
      </w:r>
      <w:r>
        <w:rPr>
          <w:rFonts w:ascii="Times New Roman" w:cs="Times New Roman" w:eastAsia="Times New Roman" w:hAnsi="Times New Roman"/>
          <w:sz w:val="18"/>
          <w:szCs w:val="18"/>
          <w:color w:val="auto"/>
        </w:rPr>
        <w:t xml:space="preserve">) that relates to one or more (but not all) of the Major Regions, if such breach remains uncured [***] following notice from Adimab to Cullinan specifying such breach, this Agreement shall not terminate, but Cullinan’s licenses hereunder shall terminate on a Major Region-by-Major Region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Cullinan’s licenses hereunder terminate in all [***] Major Regions, this Agreement shall also terminate.</w:t>
      </w:r>
    </w:p>
    <w:p>
      <w:pPr>
        <w:spacing w:after="0" w:line="18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Termination for Convenience</w:t>
      </w:r>
      <w:r>
        <w:rPr>
          <w:rFonts w:ascii="Times New Roman" w:cs="Times New Roman" w:eastAsia="Times New Roman" w:hAnsi="Times New Roman"/>
          <w:sz w:val="17"/>
          <w:szCs w:val="17"/>
          <w:color w:val="auto"/>
        </w:rPr>
        <w:t>. Cullinan may terminate this Agreement at any time, for any reason, upon [***] written notice to Adimab.</w:t>
      </w:r>
    </w:p>
    <w:p>
      <w:pPr>
        <w:spacing w:after="0" w:line="333"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Commitments Regarding Program-Benefited Antibodies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20" w:firstLine="987"/>
        <w:spacing w:after="0" w:line="262" w:lineRule="auto"/>
        <w:tabs>
          <w:tab w:leader="none" w:pos="1381"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Program-Benefited Antibodies During the Evaluation Term</w:t>
      </w:r>
      <w:r>
        <w:rPr>
          <w:rFonts w:ascii="Times New Roman" w:cs="Times New Roman" w:eastAsia="Times New Roman" w:hAnsi="Times New Roman"/>
          <w:sz w:val="18"/>
          <w:szCs w:val="18"/>
          <w:color w:val="auto"/>
        </w:rPr>
        <w:t>. During the Evaluation Term with respect to a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Cullinan will not seek to or actually research, develop or commercialize any Program-Benefited Antibody, or product containing the foregoing, other than the activities permitted hereunder during the Research Term and the Evaluation Term for the purpose of determining whether or not to exercise the Option for a given Target.</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391"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Program-Benefited Antibodies After Expiration of the Evaluation Term</w:t>
      </w:r>
      <w:r>
        <w:rPr>
          <w:rFonts w:ascii="Times New Roman" w:cs="Times New Roman" w:eastAsia="Times New Roman" w:hAnsi="Times New Roman"/>
          <w:sz w:val="18"/>
          <w:szCs w:val="18"/>
          <w:color w:val="auto"/>
        </w:rPr>
        <w:t>. After the expiration of the Evaluation Term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 Research Program, Cullinan and its Licensees will not research, develop, manufacture or commercialize (i) Program-Benefited Antibodies other than Optioned Antibodies, (ii) Optioned Antibodies except as Products under this Agreement, or (iii) Non-Optioned Antibodies.</w:t>
      </w:r>
    </w:p>
    <w:p>
      <w:pPr>
        <w:spacing w:after="0" w:line="170" w:lineRule="exact"/>
        <w:rPr>
          <w:rFonts w:ascii="Times New Roman" w:cs="Times New Roman" w:eastAsia="Times New Roman" w:hAnsi="Times New Roman"/>
          <w:sz w:val="18"/>
          <w:szCs w:val="18"/>
          <w:b w:val="1"/>
          <w:bCs w:val="1"/>
          <w:color w:val="auto"/>
        </w:rPr>
      </w:pPr>
    </w:p>
    <w:p>
      <w:pPr>
        <w:ind w:right="80" w:firstLine="987"/>
        <w:spacing w:after="0" w:line="256" w:lineRule="auto"/>
        <w:tabs>
          <w:tab w:leader="none" w:pos="1371"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Use of Program-Benefited Antibodies After Termination</w:t>
      </w:r>
      <w:r>
        <w:rPr>
          <w:rFonts w:ascii="Times New Roman" w:cs="Times New Roman" w:eastAsia="Times New Roman" w:hAnsi="Times New Roman"/>
          <w:sz w:val="18"/>
          <w:szCs w:val="18"/>
          <w:color w:val="auto"/>
        </w:rPr>
        <w:t>. If this Agreement expires or terminates (other than an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9.1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following an Option exercise after all applicable Royalty Terms have expired), Cullinan covenants that unless Cullinan agrees in writing to pay Adimab the fees set forth in Article 4 (</w:t>
      </w: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with respect to products containing a Program-Benefited Antibody as if such products were Products, Cullinan and its Affiliates (i) will not research, develop, manufacture or commercialize any Program-Benefited Antibody or Product containing a Program-Benefited Antibody, (ii) will not license or otherwise grant rights to any entity to do the foregoing, and (iii) will not practice, license, or assign to a Third Party, option to a Third Party, or covenant not to sue a Third Party, with respect to Program Antibody Patents (regardless of inventorship), Program-Benefited Antibodies, or products containing them.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65" w:right="479" w:bottom="1440" w:gutter="0" w:footer="0" w:header="0"/>
        </w:sectPr>
      </w:pPr>
    </w:p>
    <w:bookmarkStart w:id="517" w:name="page518"/>
    <w:bookmarkEnd w:id="517"/>
    <w:p>
      <w:pPr>
        <w:ind w:firstLine="987"/>
        <w:spacing w:after="0" w:line="254" w:lineRule="auto"/>
        <w:tabs>
          <w:tab w:leader="none" w:pos="1391"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Commitment for Program-Benefited Antibodies</w:t>
      </w:r>
      <w:r>
        <w:rPr>
          <w:rFonts w:ascii="Times New Roman" w:cs="Times New Roman" w:eastAsia="Times New Roman" w:hAnsi="Times New Roman"/>
          <w:sz w:val="18"/>
          <w:szCs w:val="18"/>
          <w:color w:val="auto"/>
        </w:rPr>
        <w:t>. It is the intent of the Parties that Cullinan and its Licensees will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Fee, Milestone Payments and Royalty Payments in accordance with Article 4 (</w:t>
      </w: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with respect to Program-Benefited Antibodies researched, developed, manufactured and commercialized by Cullinan or its Licensees. Accordingly, the Parties agree that if Cullinan or any of its Licensees researches, develops, manufactures, or commercializes any Program-Benefited Antibody, then Cullinan will pay to Adimab the fees set forth in Article 4 (</w:t>
      </w: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including the Option Fee, Milestone Payments and Royalty Payments, as applicable, on the Program-Benefited Antibody as (or as if) a Product under this Agreement. In the event that Cullinan is unwilling or unable to pay such fees to Adimab (because, for example, of the dissolution of Cullinan for bankruptcy or other reasons), then each Licensee will make such payments directly to Adimab. For clarity, in the event of breach of this Agreement (including breach of the other subsections of this Section 9.4 (</w:t>
      </w:r>
      <w:r>
        <w:rPr>
          <w:rFonts w:ascii="Times New Roman" w:cs="Times New Roman" w:eastAsia="Times New Roman" w:hAnsi="Times New Roman"/>
          <w:sz w:val="18"/>
          <w:szCs w:val="18"/>
          <w:i w:val="1"/>
          <w:iCs w:val="1"/>
          <w:color w:val="auto"/>
        </w:rPr>
        <w:t>Commitments Regarding Program-Benefited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Antibodies</w:t>
      </w:r>
      <w:r>
        <w:rPr>
          <w:rFonts w:ascii="Times New Roman" w:cs="Times New Roman" w:eastAsia="Times New Roman" w:hAnsi="Times New Roman"/>
          <w:sz w:val="18"/>
          <w:szCs w:val="18"/>
          <w:color w:val="auto"/>
        </w:rPr>
        <w:t>)), the payment obligations described in this Section 9.4(d) (</w:t>
      </w:r>
      <w:r>
        <w:rPr>
          <w:rFonts w:ascii="Times New Roman" w:cs="Times New Roman" w:eastAsia="Times New Roman" w:hAnsi="Times New Roman"/>
          <w:sz w:val="18"/>
          <w:szCs w:val="18"/>
          <w:i w:val="1"/>
          <w:iCs w:val="1"/>
          <w:color w:val="auto"/>
        </w:rPr>
        <w:t>Payment Commitment for Program-Benefited Antibodies</w:t>
      </w:r>
      <w:r>
        <w:rPr>
          <w:rFonts w:ascii="Times New Roman" w:cs="Times New Roman" w:eastAsia="Times New Roman" w:hAnsi="Times New Roman"/>
          <w:sz w:val="18"/>
          <w:szCs w:val="18"/>
          <w:color w:val="auto"/>
        </w:rPr>
        <w:t>) will be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remedies available to Adimab as a result of a breach hereof.</w:t>
      </w:r>
    </w:p>
    <w:p>
      <w:pPr>
        <w:spacing w:after="0" w:line="18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9.5 Survival in All Cases</w:t>
      </w:r>
      <w:r>
        <w:rPr>
          <w:rFonts w:ascii="Times New Roman" w:cs="Times New Roman" w:eastAsia="Times New Roman" w:hAnsi="Times New Roman"/>
          <w:sz w:val="18"/>
          <w:szCs w:val="18"/>
          <w:color w:val="auto"/>
        </w:rPr>
        <w:t>. Termination of this Agreement shall be without prejudice to or limitation on any other remedies available to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accrued obligations of either Party. In addition, Section 2.3 (</w:t>
      </w:r>
      <w:r>
        <w:rPr>
          <w:rFonts w:ascii="Times New Roman" w:cs="Times New Roman" w:eastAsia="Times New Roman" w:hAnsi="Times New Roman"/>
          <w:sz w:val="18"/>
          <w:szCs w:val="18"/>
          <w:i w:val="1"/>
          <w:iCs w:val="1"/>
          <w:color w:val="auto"/>
        </w:rPr>
        <w:t>Reports; Records</w:t>
      </w:r>
      <w:r>
        <w:rPr>
          <w:rFonts w:ascii="Times New Roman" w:cs="Times New Roman" w:eastAsia="Times New Roman" w:hAnsi="Times New Roman"/>
          <w:sz w:val="18"/>
          <w:szCs w:val="18"/>
          <w:color w:val="auto"/>
        </w:rPr>
        <w:t>), Section 2.4 (</w:t>
      </w:r>
      <w:r>
        <w:rPr>
          <w:rFonts w:ascii="Times New Roman" w:cs="Times New Roman" w:eastAsia="Times New Roman" w:hAnsi="Times New Roman"/>
          <w:sz w:val="18"/>
          <w:szCs w:val="18"/>
          <w:i w:val="1"/>
          <w:iCs w:val="1"/>
          <w:color w:val="auto"/>
        </w:rPr>
        <w:t>Adimab Materials</w:t>
      </w:r>
      <w:r>
        <w:rPr>
          <w:rFonts w:ascii="Times New Roman" w:cs="Times New Roman" w:eastAsia="Times New Roman" w:hAnsi="Times New Roman"/>
          <w:sz w:val="18"/>
          <w:szCs w:val="18"/>
          <w:color w:val="auto"/>
        </w:rPr>
        <w:t>), Section 2.5 (</w:t>
      </w:r>
      <w:r>
        <w:rPr>
          <w:rFonts w:ascii="Times New Roman" w:cs="Times New Roman" w:eastAsia="Times New Roman" w:hAnsi="Times New Roman"/>
          <w:sz w:val="18"/>
          <w:szCs w:val="18"/>
          <w:i w:val="1"/>
          <w:iCs w:val="1"/>
          <w:color w:val="auto"/>
        </w:rPr>
        <w:t>Cullinan Materials</w:t>
      </w:r>
      <w:r>
        <w:rPr>
          <w:rFonts w:ascii="Times New Roman" w:cs="Times New Roman" w:eastAsia="Times New Roman" w:hAnsi="Times New Roman"/>
          <w:sz w:val="18"/>
          <w:szCs w:val="18"/>
          <w:color w:val="auto"/>
        </w:rPr>
        <w:t>), Section 2.6 (</w:t>
      </w:r>
      <w:r>
        <w:rPr>
          <w:rFonts w:ascii="Times New Roman" w:cs="Times New Roman" w:eastAsia="Times New Roman" w:hAnsi="Times New Roman"/>
          <w:sz w:val="18"/>
          <w:szCs w:val="18"/>
          <w:i w:val="1"/>
          <w:iCs w:val="1"/>
          <w:color w:val="auto"/>
        </w:rPr>
        <w:t>Certain Restrictions on the Use of Naïve Libraries and Antibodies</w:t>
      </w:r>
      <w:r>
        <w:rPr>
          <w:rFonts w:ascii="Times New Roman" w:cs="Times New Roman" w:eastAsia="Times New Roman" w:hAnsi="Times New Roman"/>
          <w:sz w:val="18"/>
          <w:szCs w:val="18"/>
          <w:color w:val="auto"/>
        </w:rPr>
        <w:t>), Section 3.6 (</w:t>
      </w:r>
      <w:r>
        <w:rPr>
          <w:rFonts w:ascii="Times New Roman" w:cs="Times New Roman" w:eastAsia="Times New Roman" w:hAnsi="Times New Roman"/>
          <w:sz w:val="18"/>
          <w:szCs w:val="18"/>
          <w:i w:val="1"/>
          <w:iCs w:val="1"/>
          <w:color w:val="auto"/>
        </w:rPr>
        <w:t>No Implied Licenses</w:t>
      </w:r>
      <w:r>
        <w:rPr>
          <w:rFonts w:ascii="Times New Roman" w:cs="Times New Roman" w:eastAsia="Times New Roman" w:hAnsi="Times New Roman"/>
          <w:sz w:val="18"/>
          <w:szCs w:val="18"/>
          <w:color w:val="auto"/>
        </w:rPr>
        <w:t>), Section 3.7 (</w:t>
      </w:r>
      <w:r>
        <w:rPr>
          <w:rFonts w:ascii="Times New Roman" w:cs="Times New Roman" w:eastAsia="Times New Roman" w:hAnsi="Times New Roman"/>
          <w:sz w:val="18"/>
          <w:szCs w:val="18"/>
          <w:i w:val="1"/>
          <w:iCs w:val="1"/>
          <w:color w:val="auto"/>
        </w:rPr>
        <w:t>Covenant Not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 License</w:t>
      </w:r>
      <w:r>
        <w:rPr>
          <w:rFonts w:ascii="Times New Roman" w:cs="Times New Roman" w:eastAsia="Times New Roman" w:hAnsi="Times New Roman"/>
          <w:sz w:val="18"/>
          <w:szCs w:val="18"/>
          <w:color w:val="auto"/>
        </w:rPr>
        <w:t>), Section 4.6 (</w:t>
      </w:r>
      <w:r>
        <w:rPr>
          <w:rFonts w:ascii="Times New Roman" w:cs="Times New Roman" w:eastAsia="Times New Roman" w:hAnsi="Times New Roman"/>
          <w:sz w:val="18"/>
          <w:szCs w:val="18"/>
          <w:i w:val="1"/>
          <w:iCs w:val="1"/>
          <w:color w:val="auto"/>
        </w:rPr>
        <w:t>Quarterly Payment Timings</w:t>
      </w:r>
      <w:r>
        <w:rPr>
          <w:rFonts w:ascii="Times New Roman" w:cs="Times New Roman" w:eastAsia="Times New Roman" w:hAnsi="Times New Roman"/>
          <w:sz w:val="18"/>
          <w:szCs w:val="18"/>
          <w:color w:val="auto"/>
        </w:rPr>
        <w:t>) through Section 4.14 (</w:t>
      </w:r>
      <w:r>
        <w:rPr>
          <w:rFonts w:ascii="Times New Roman" w:cs="Times New Roman" w:eastAsia="Times New Roman" w:hAnsi="Times New Roman"/>
          <w:sz w:val="18"/>
          <w:szCs w:val="18"/>
          <w:i w:val="1"/>
          <w:iCs w:val="1"/>
          <w:color w:val="auto"/>
        </w:rPr>
        <w:t>Late Payments</w:t>
      </w:r>
      <w:r>
        <w:rPr>
          <w:rFonts w:ascii="Times New Roman" w:cs="Times New Roman" w:eastAsia="Times New Roman" w:hAnsi="Times New Roman"/>
          <w:sz w:val="18"/>
          <w:szCs w:val="18"/>
          <w:color w:val="auto"/>
        </w:rPr>
        <w:t>) (with respect to payment obligations outstanding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accrued as the effective date of termination or expiration), Section 5.1 (</w:t>
      </w:r>
      <w:r>
        <w:rPr>
          <w:rFonts w:ascii="Times New Roman" w:cs="Times New Roman" w:eastAsia="Times New Roman" w:hAnsi="Times New Roman"/>
          <w:sz w:val="18"/>
          <w:szCs w:val="18"/>
          <w:i w:val="1"/>
          <w:iCs w:val="1"/>
          <w:color w:val="auto"/>
        </w:rPr>
        <w:t>Ownership and Inventorship</w:t>
      </w:r>
      <w:r>
        <w:rPr>
          <w:rFonts w:ascii="Times New Roman" w:cs="Times New Roman" w:eastAsia="Times New Roman" w:hAnsi="Times New Roman"/>
          <w:sz w:val="18"/>
          <w:szCs w:val="18"/>
          <w:color w:val="auto"/>
        </w:rPr>
        <w:t>), Section 5.2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Section 5.4 (</w:t>
      </w:r>
      <w:r>
        <w:rPr>
          <w:rFonts w:ascii="Times New Roman" w:cs="Times New Roman" w:eastAsia="Times New Roman" w:hAnsi="Times New Roman"/>
          <w:sz w:val="18"/>
          <w:szCs w:val="18"/>
          <w:i w:val="1"/>
          <w:iCs w:val="1"/>
          <w:color w:val="auto"/>
        </w:rPr>
        <w:t>Program Patent Prosecution and Maintenance</w:t>
      </w:r>
      <w:r>
        <w:rPr>
          <w:rFonts w:ascii="Times New Roman" w:cs="Times New Roman" w:eastAsia="Times New Roman" w:hAnsi="Times New Roman"/>
          <w:sz w:val="18"/>
          <w:szCs w:val="18"/>
          <w:color w:val="auto"/>
        </w:rPr>
        <w:t>), Section 5.5 (</w:t>
      </w:r>
      <w:r>
        <w:rPr>
          <w:rFonts w:ascii="Times New Roman" w:cs="Times New Roman" w:eastAsia="Times New Roman" w:hAnsi="Times New Roman"/>
          <w:sz w:val="18"/>
          <w:szCs w:val="18"/>
          <w:i w:val="1"/>
          <w:iCs w:val="1"/>
          <w:color w:val="auto"/>
        </w:rPr>
        <w:t>Cooperation of the Parties</w:t>
      </w:r>
      <w:r>
        <w:rPr>
          <w:rFonts w:ascii="Times New Roman" w:cs="Times New Roman" w:eastAsia="Times New Roman" w:hAnsi="Times New Roman"/>
          <w:sz w:val="18"/>
          <w:szCs w:val="18"/>
          <w:color w:val="auto"/>
        </w:rPr>
        <w:t>), and Section 7.3 (</w:t>
      </w:r>
      <w:r>
        <w:rPr>
          <w:rFonts w:ascii="Times New Roman" w:cs="Times New Roman" w:eastAsia="Times New Roman" w:hAnsi="Times New Roman"/>
          <w:sz w:val="18"/>
          <w:szCs w:val="18"/>
          <w:i w:val="1"/>
          <w:iCs w:val="1"/>
          <w:color w:val="auto"/>
        </w:rPr>
        <w:t>Disclaimer of Warranties</w:t>
      </w:r>
      <w:r>
        <w:rPr>
          <w:rFonts w:ascii="Times New Roman" w:cs="Times New Roman" w:eastAsia="Times New Roman" w:hAnsi="Times New Roman"/>
          <w:sz w:val="18"/>
          <w:szCs w:val="18"/>
          <w:color w:val="auto"/>
        </w:rPr>
        <w:t>), and Article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Article 6 (</w:t>
      </w:r>
      <w:r>
        <w:rPr>
          <w:rFonts w:ascii="Times New Roman" w:cs="Times New Roman" w:eastAsia="Times New Roman" w:hAnsi="Times New Roman"/>
          <w:sz w:val="18"/>
          <w:szCs w:val="18"/>
          <w:i w:val="1"/>
          <w:iCs w:val="1"/>
          <w:color w:val="auto"/>
        </w:rPr>
        <w:t>Confidentiality; Publicity</w:t>
      </w:r>
      <w:r>
        <w:rPr>
          <w:rFonts w:ascii="Times New Roman" w:cs="Times New Roman" w:eastAsia="Times New Roman" w:hAnsi="Times New Roman"/>
          <w:sz w:val="18"/>
          <w:szCs w:val="18"/>
          <w:color w:val="auto"/>
        </w:rPr>
        <w:t>), Article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Article 9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and Article 10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will survive any expiration or termination of this Agreement.</w:t>
      </w:r>
    </w:p>
    <w:p>
      <w:pPr>
        <w:spacing w:after="0" w:line="18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9.6 Return of Adimab Materials</w:t>
      </w:r>
      <w:r>
        <w:rPr>
          <w:rFonts w:ascii="Times New Roman" w:cs="Times New Roman" w:eastAsia="Times New Roman" w:hAnsi="Times New Roman"/>
          <w:sz w:val="18"/>
          <w:szCs w:val="18"/>
          <w:color w:val="auto"/>
        </w:rPr>
        <w:t>. Cullinan will either return to Adimab or destroy (at Adimab’s reasonable request and direction) all Adimab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(other than Adimab Materials relating to Optioned Antibodies) upon expiration or termination of the Evaluation Term without the Option being exercised, and all Adimab Materials on expiration or termination of this Agreement.</w:t>
      </w:r>
    </w:p>
    <w:p>
      <w:pPr>
        <w:spacing w:after="0" w:line="17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9.7 Survival of Licensee Agreements</w:t>
      </w:r>
      <w:r>
        <w:rPr>
          <w:rFonts w:ascii="Times New Roman" w:cs="Times New Roman" w:eastAsia="Times New Roman" w:hAnsi="Times New Roman"/>
          <w:sz w:val="18"/>
          <w:szCs w:val="18"/>
          <w:color w:val="auto"/>
        </w:rPr>
        <w:t>. In the event that: (a) Cullinan has entered into a Licensee Agreement consistent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the provisions of Section 3.2(b)(iii) (</w:t>
      </w:r>
      <w:r>
        <w:rPr>
          <w:rFonts w:ascii="Times New Roman" w:cs="Times New Roman" w:eastAsia="Times New Roman" w:hAnsi="Times New Roman"/>
          <w:sz w:val="18"/>
          <w:szCs w:val="18"/>
          <w:i w:val="1"/>
          <w:iCs w:val="1"/>
          <w:color w:val="auto"/>
        </w:rPr>
        <w:t>Licensees</w:t>
      </w:r>
      <w:r>
        <w:rPr>
          <w:rFonts w:ascii="Times New Roman" w:cs="Times New Roman" w:eastAsia="Times New Roman" w:hAnsi="Times New Roman"/>
          <w:sz w:val="18"/>
          <w:szCs w:val="18"/>
          <w:color w:val="auto"/>
        </w:rPr>
        <w:t xml:space="preserve">); (b) this Agreement is terminated; and (c) such Licensee Agreement is in effect at the time of such termination; then such Licensee Agreement will survive such termination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Licensee will assume all of Cullinan’s obligations hereunder with respect to the Program-Benefited Antibodies covered by such Licensee Agreement (including those obligations set forth in Section 2.3(b) (</w:t>
      </w:r>
      <w:r>
        <w:rPr>
          <w:rFonts w:ascii="Times New Roman" w:cs="Times New Roman" w:eastAsia="Times New Roman" w:hAnsi="Times New Roman"/>
          <w:sz w:val="18"/>
          <w:szCs w:val="18"/>
          <w:i w:val="1"/>
          <w:iCs w:val="1"/>
          <w:color w:val="auto"/>
        </w:rPr>
        <w:t>Reports By Cullinan</w:t>
      </w:r>
      <w:r>
        <w:rPr>
          <w:rFonts w:ascii="Times New Roman" w:cs="Times New Roman" w:eastAsia="Times New Roman" w:hAnsi="Times New Roman"/>
          <w:sz w:val="18"/>
          <w:szCs w:val="18"/>
          <w:color w:val="auto"/>
        </w:rPr>
        <w:t>) and Section 3.5 (</w:t>
      </w:r>
      <w:r>
        <w:rPr>
          <w:rFonts w:ascii="Times New Roman" w:cs="Times New Roman" w:eastAsia="Times New Roman" w:hAnsi="Times New Roman"/>
          <w:sz w:val="18"/>
          <w:szCs w:val="18"/>
          <w:i w:val="1"/>
          <w:iCs w:val="1"/>
          <w:color w:val="auto"/>
        </w:rPr>
        <w:t>Diligent Development and Commercialization</w:t>
      </w:r>
      <w:r>
        <w:rPr>
          <w:rFonts w:ascii="Times New Roman" w:cs="Times New Roman" w:eastAsia="Times New Roman" w:hAnsi="Times New Roman"/>
          <w:sz w:val="18"/>
          <w:szCs w:val="18"/>
          <w:color w:val="auto"/>
        </w:rPr>
        <w:t>)) and pays to Adimab all amounts that would have been due to Adimab from Cullinan as a result of Licensee’s activities (including those obligations set forth in Article 4 (</w:t>
      </w: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and otherwise accepts Cullinan’s responsibilities hereunder, including those set forth in Section 9.4(</w:t>
      </w:r>
      <w:r>
        <w:rPr>
          <w:rFonts w:ascii="Times New Roman" w:cs="Times New Roman" w:eastAsia="Times New Roman" w:hAnsi="Times New Roman"/>
          <w:sz w:val="18"/>
          <w:szCs w:val="18"/>
          <w:i w:val="1"/>
          <w:iCs w:val="1"/>
          <w:color w:val="auto"/>
        </w:rPr>
        <w:t>Commitments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Program-Benefited Antibodies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65" w:right="499" w:bottom="1440" w:gutter="0" w:footer="0" w:header="0"/>
        </w:sectPr>
      </w:pPr>
    </w:p>
    <w:bookmarkStart w:id="518" w:name="page519"/>
    <w:bookmarkEnd w:id="5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10.1 Independent Contractors</w:t>
      </w:r>
      <w:r>
        <w:rPr>
          <w:rFonts w:ascii="Times New Roman" w:cs="Times New Roman" w:eastAsia="Times New Roman" w:hAnsi="Times New Roman"/>
          <w:sz w:val="18"/>
          <w:szCs w:val="18"/>
          <w:color w:val="auto"/>
        </w:rPr>
        <w:t>. The Parties will perform their obligations under this Agreement as independent contractors. Nothing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will be construed to be inconsistent with such relationship or status. This Agreement and the Parties’ relationship in connection with it will not constitute, create or in any way be interpreted as a joint venture, fiduciary relationship, partnership, or agency of any kind.</w:t>
      </w:r>
    </w:p>
    <w:p>
      <w:pPr>
        <w:spacing w:after="0" w:line="27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Dispute Resolution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62" w:lineRule="auto"/>
        <w:tabs>
          <w:tab w:leader="none" w:pos="1381"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Dispute Resolution</w:t>
      </w:r>
      <w:r>
        <w:rPr>
          <w:rFonts w:ascii="Times New Roman" w:cs="Times New Roman" w:eastAsia="Times New Roman" w:hAnsi="Times New Roman"/>
          <w:sz w:val="18"/>
          <w:szCs w:val="18"/>
          <w:color w:val="auto"/>
        </w:rPr>
        <w:t>. Either Party may refer any dispute in connection with this Agreement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not resolved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of the Alliance Managers to senior executives of the Parties (for Adimab, its CEO, or his or her designee and for Cullinan, its CEO, or his or her designee) for good-faith discussions over a period of not less than [***] (the “</w:t>
      </w:r>
      <w:r>
        <w:rPr>
          <w:rFonts w:ascii="Times New Roman" w:cs="Times New Roman" w:eastAsia="Times New Roman" w:hAnsi="Times New Roman"/>
          <w:sz w:val="18"/>
          <w:szCs w:val="18"/>
          <w:b w:val="1"/>
          <w:bCs w:val="1"/>
          <w:color w:val="auto"/>
        </w:rPr>
        <w:t>Senior Executives Discussions</w:t>
      </w:r>
      <w:r>
        <w:rPr>
          <w:rFonts w:ascii="Times New Roman" w:cs="Times New Roman" w:eastAsia="Times New Roman" w:hAnsi="Times New Roman"/>
          <w:sz w:val="18"/>
          <w:szCs w:val="18"/>
          <w:color w:val="auto"/>
        </w:rPr>
        <w:t>”). Each Party will make its executives reasonably available for such discussions.</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391"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Disputes Not Resolved Between the Parties</w:t>
      </w:r>
      <w:r>
        <w:rPr>
          <w:rFonts w:ascii="Times New Roman" w:cs="Times New Roman" w:eastAsia="Times New Roman" w:hAnsi="Times New Roman"/>
          <w:sz w:val="18"/>
          <w:szCs w:val="18"/>
          <w:color w:val="auto"/>
        </w:rPr>
        <w:t>. If the Parties are unable to resolve the Dispute through the Senior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Discussions within such [***], then either Party may, as the sole and exclusive means for resolving Disputes under this Agreement, proceed to demand confidential arbitration by written notice to the other Party and making a filing with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in accordance with Section 10.2(c) (</w:t>
      </w: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For clarity, each Party hereby acknowledges that both the fact of and nature of a Dispute is the Confidential Information of both Parties, and any disclosure of the fact of or the nature of such a Dispute would be highly damaging to the non-disclosing Party.</w:t>
      </w:r>
    </w:p>
    <w:p>
      <w:pPr>
        <w:spacing w:after="0" w:line="287"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260" w:firstLine="1428"/>
        <w:spacing w:after="0" w:line="286" w:lineRule="auto"/>
        <w:tabs>
          <w:tab w:leader="none" w:pos="1782" w:val="left"/>
        </w:tabs>
        <w:numPr>
          <w:ilvl w:val="1"/>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AAA</w:t>
      </w:r>
      <w:r>
        <w:rPr>
          <w:rFonts w:ascii="Times New Roman" w:cs="Times New Roman" w:eastAsia="Times New Roman" w:hAnsi="Times New Roman"/>
          <w:sz w:val="18"/>
          <w:szCs w:val="18"/>
          <w:color w:val="auto"/>
        </w:rPr>
        <w:t>. Any Dispute referred for arbitration will be finally resolved by binding arbitration in accordance with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rules of the AAA and judgment on the arbitration award may be entered in any court having jurisdiction.</w:t>
      </w:r>
    </w:p>
    <w:p>
      <w:pPr>
        <w:spacing w:after="0" w:line="154" w:lineRule="exact"/>
        <w:rPr>
          <w:rFonts w:ascii="Times New Roman" w:cs="Times New Roman" w:eastAsia="Times New Roman" w:hAnsi="Times New Roman"/>
          <w:sz w:val="18"/>
          <w:szCs w:val="18"/>
          <w:b w:val="1"/>
          <w:bCs w:val="1"/>
          <w:color w:val="auto"/>
        </w:rPr>
      </w:pPr>
    </w:p>
    <w:p>
      <w:pPr>
        <w:ind w:right="80" w:firstLine="1428"/>
        <w:spacing w:after="0" w:line="254" w:lineRule="auto"/>
        <w:tabs>
          <w:tab w:leader="none" w:pos="1832" w:val="left"/>
        </w:tabs>
        <w:numPr>
          <w:ilvl w:val="1"/>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Selection of Arbitrators</w:t>
      </w:r>
      <w:r>
        <w:rPr>
          <w:rFonts w:ascii="Times New Roman" w:cs="Times New Roman" w:eastAsia="Times New Roman" w:hAnsi="Times New Roman"/>
          <w:sz w:val="18"/>
          <w:szCs w:val="18"/>
          <w:color w:val="auto"/>
        </w:rPr>
        <w:t>. The arbitration will be conducted by a panel of three (3) people experienced in the business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biopharmaceuticals. If the issues in dispute involve scientific, technical or commercial matters, then any arbitrator chosen under this Agreement will have educational training or industry experience sufficient to demonstrate a reasonable level of relevant scientific, technical and commercial knowledge as applied to the pharmaceutical industry. If the issues in dispute involve patent matters, then at least one (1) of the arbitrators will be a licensed patent attorney or otherwise knowledgeable about patent law matters. Within thirty (30) days after a Party demands arbitration, each Party will select one person to act as arbitrator, and the two Party-selected arbitrators will select a third arbitrator within [***] after their own appointment. If the arbitrators selected by the Parties are unable or fail to agree upon the third arbitrator, then the third arbitrator will be appointed by the AAA. The place of arbitration will be Boston, Massachusetts. All proceedings and communications as part of the arbitration will be in English. Following selection of the third arbitrator, the arbitrators will complete the arbitration proceedings and render an award within [***] after the third arbitrator is appointed.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5" w:right="459" w:bottom="1440" w:gutter="0" w:footer="0" w:header="0"/>
        </w:sectPr>
      </w:pPr>
    </w:p>
    <w:bookmarkStart w:id="519" w:name="page520"/>
    <w:bookmarkEnd w:id="519"/>
    <w:p>
      <w:pPr>
        <w:ind w:right="20" w:firstLine="1428"/>
        <w:spacing w:after="0" w:line="268" w:lineRule="auto"/>
        <w:tabs>
          <w:tab w:leader="none" w:pos="1882"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Costs</w:t>
      </w:r>
      <w:r>
        <w:rPr>
          <w:rFonts w:ascii="Times New Roman" w:cs="Times New Roman" w:eastAsia="Times New Roman" w:hAnsi="Times New Roman"/>
          <w:sz w:val="18"/>
          <w:szCs w:val="18"/>
          <w:color w:val="auto"/>
        </w:rPr>
        <w:t>. Each Party will bear its own costs and expenses and attorneys’ fees and an equal share of the arbitrators’ fees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fees for arbitration, unless in each case the arbitrators agree otherwise, which they are hereby empowered, authorized and instructed to do if they determine that to be fair and appropriate.</w:t>
      </w:r>
    </w:p>
    <w:p>
      <w:pPr>
        <w:spacing w:after="0" w:line="170" w:lineRule="exact"/>
        <w:rPr>
          <w:rFonts w:ascii="Times New Roman" w:cs="Times New Roman" w:eastAsia="Times New Roman" w:hAnsi="Times New Roman"/>
          <w:sz w:val="18"/>
          <w:szCs w:val="18"/>
          <w:b w:val="1"/>
          <w:bCs w:val="1"/>
          <w:color w:val="auto"/>
        </w:rPr>
      </w:pPr>
    </w:p>
    <w:p>
      <w:pPr>
        <w:jc w:val="both"/>
        <w:ind w:right="260" w:firstLine="1428"/>
        <w:spacing w:after="0" w:line="268" w:lineRule="auto"/>
        <w:tabs>
          <w:tab w:leader="none" w:pos="1872"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of Process and Awards</w:t>
      </w:r>
      <w:r>
        <w:rPr>
          <w:rFonts w:ascii="Times New Roman" w:cs="Times New Roman" w:eastAsia="Times New Roman" w:hAnsi="Times New Roman"/>
          <w:sz w:val="18"/>
          <w:szCs w:val="18"/>
          <w:color w:val="auto"/>
        </w:rPr>
        <w:t>. Except to the extent necessary to confirm an award or as may be required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 the requirement of any exchange on which a Party’s shares are traded, neither Party will disclose the existence, content or results of an arbitration under this Agreement without the prior written consent of the other Party.</w:t>
      </w:r>
    </w:p>
    <w:p>
      <w:pPr>
        <w:spacing w:after="0" w:line="170" w:lineRule="exact"/>
        <w:rPr>
          <w:rFonts w:ascii="Times New Roman" w:cs="Times New Roman" w:eastAsia="Times New Roman" w:hAnsi="Times New Roman"/>
          <w:sz w:val="18"/>
          <w:szCs w:val="18"/>
          <w:b w:val="1"/>
          <w:bCs w:val="1"/>
          <w:color w:val="auto"/>
        </w:rPr>
      </w:pPr>
    </w:p>
    <w:p>
      <w:pPr>
        <w:ind w:right="200" w:firstLine="1428"/>
        <w:spacing w:after="0" w:line="286" w:lineRule="auto"/>
        <w:tabs>
          <w:tab w:leader="none" w:pos="1822"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Statute of Limitations</w:t>
      </w:r>
      <w:r>
        <w:rPr>
          <w:rFonts w:ascii="Times New Roman" w:cs="Times New Roman" w:eastAsia="Times New Roman" w:hAnsi="Times New Roman"/>
          <w:sz w:val="18"/>
          <w:szCs w:val="18"/>
          <w:color w:val="auto"/>
        </w:rPr>
        <w:t>. In no event will an arbitration be initiated after the date when commencement of a legal or equitable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based on the subject matter of the Dispute would be barred by the applicable statute of limitations under Massachusetts law.</w:t>
      </w:r>
    </w:p>
    <w:p>
      <w:pPr>
        <w:spacing w:after="0" w:line="155" w:lineRule="exact"/>
        <w:rPr>
          <w:sz w:val="20"/>
          <w:szCs w:val="20"/>
          <w:color w:val="auto"/>
        </w:rPr>
      </w:pPr>
    </w:p>
    <w:p>
      <w:pPr>
        <w:ind w:right="1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10.3 Governing Law</w:t>
      </w:r>
      <w:r>
        <w:rPr>
          <w:rFonts w:ascii="Times New Roman" w:cs="Times New Roman" w:eastAsia="Times New Roman" w:hAnsi="Times New Roman"/>
          <w:sz w:val="18"/>
          <w:szCs w:val="18"/>
          <w:color w:val="auto"/>
        </w:rPr>
        <w:t>. This Agreement will be governed by and interpreted in accordance with the laws of the Commonwealth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Massachusetts, excluding its conflicts of laws principles.</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10.4 Entire Agreement</w:t>
      </w:r>
      <w:r>
        <w:rPr>
          <w:rFonts w:ascii="Times New Roman" w:cs="Times New Roman" w:eastAsia="Times New Roman" w:hAnsi="Times New Roman"/>
          <w:sz w:val="18"/>
          <w:szCs w:val="18"/>
          <w:color w:val="auto"/>
        </w:rPr>
        <w:t>. This Agreement (including its Exhibits) set forth all the covenants, promises, agreements, warranties,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and understandings between the Parties with respect to the subject matter hereof and supersedes and terminates all prior agreements and understandings between the Parties with respect to such subject matter. No subsequent alteration, amendment, change or addition to this Agreement will be binding upon the Parties unless reduced to writing and signed by the respective authorized officers of the Parties.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10.5 Assignment</w:t>
      </w:r>
      <w:r>
        <w:rPr>
          <w:rFonts w:ascii="Times New Roman" w:cs="Times New Roman" w:eastAsia="Times New Roman" w:hAnsi="Times New Roman"/>
          <w:sz w:val="18"/>
          <w:szCs w:val="18"/>
          <w:color w:val="auto"/>
        </w:rPr>
        <w:t>. Neither Party may assign in whole or in part this Agreement without the advance written consent of the other Party,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following sentences. Either Party may assign this Agreement in its entirety without such consent to the successor to all or substantially all of its stock or assets to which this Agreement relates in connection with its merger with, or the sale of all or substantially all of its stock or assets to which this Agreement relates to, another entity, regardless of the form of the transaction. In addition, Cullinan may assign its rights and obligations under this Agreement in-full or in-part on a Target-by-Target and field-by-field basis, without the advance written consent of Adimab, to any Affiliate or Third Party to which Cullinan licenses or assigns all or substantially all of its material assets that are specific to antibodies directed to such Target (including any related Patents, Optioned Antibodies and Products) or field. Further, upon written request by Cullinan, the Parties shall negotiate a separate agreement to be signed between the Parties and such Affiliate or Third Party addressing solely the rights and obligations in relation to such Target or field (and its related Know-How, Patents, Optioned Antibodies and Products), and such Target or field shall no longer be subject to this Agreement with any conforming changes to be reflected in an amendment to this Agreement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removing the applicable Target or field). In addition, Adimab may assign this Agreement or any of its rights under this Agreement, without Cullinan’s consent, in connection with the sale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5" w:right="459" w:bottom="1440" w:gutter="0" w:footer="0" w:header="0"/>
        </w:sectPr>
      </w:pPr>
    </w:p>
    <w:bookmarkStart w:id="520" w:name="page521"/>
    <w:bookmarkEnd w:id="520"/>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monetization of, transfer of, or obtaining financing on the basis of the payments due to Adimab under this Agreement or debt or project financing in connection with this Agreement. This Agreement will be binding upon and will inure to the benefit of the Parties and their respective successors and permitted assigns. Any assignment of this Agreement not made in accordance with this Agreement is prohibited hereunder and will be null and void.</w:t>
      </w:r>
    </w:p>
    <w:p>
      <w:pPr>
        <w:spacing w:after="0" w:line="154"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10.6 Severability</w:t>
      </w:r>
      <w:r>
        <w:rPr>
          <w:rFonts w:ascii="Times New Roman" w:cs="Times New Roman" w:eastAsia="Times New Roman" w:hAnsi="Times New Roman"/>
          <w:sz w:val="18"/>
          <w:szCs w:val="18"/>
          <w:color w:val="auto"/>
        </w:rPr>
        <w:t>. If one or more of the provisions in this Agreement are deemed unenforceable by law, then such provision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stricken from this Agreement and the remaining provisions will continue in full force and effect, and the Parties will substitute for the unenforceable provision a mutually agreed enforceable provision that conforms as nearly as possible with the original intent of the Parties.</w:t>
      </w:r>
    </w:p>
    <w:p>
      <w:pPr>
        <w:spacing w:after="0" w:line="171"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10.7 Force Majeure</w:t>
      </w:r>
      <w:r>
        <w:rPr>
          <w:rFonts w:ascii="Times New Roman" w:cs="Times New Roman" w:eastAsia="Times New Roman" w:hAnsi="Times New Roman"/>
          <w:sz w:val="18"/>
          <w:szCs w:val="18"/>
          <w:color w:val="auto"/>
        </w:rPr>
        <w:t>. Both Parties will be excused from the performance of their obligations under this Agreement to the extent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is prevented by a Force Majeure and the nonperforming Party promptly provides notice of the prevention to the other Party. Such excuse will be continued so long as the condition constituting Force Majeure continues and the nonperforming Party takes reasonable efforts to remove the condition, but no longer than [***].</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10.8 Notices</w:t>
      </w:r>
      <w:r>
        <w:rPr>
          <w:rFonts w:ascii="Times New Roman" w:cs="Times New Roman" w:eastAsia="Times New Roman" w:hAnsi="Times New Roman"/>
          <w:sz w:val="18"/>
          <w:szCs w:val="18"/>
          <w:color w:val="auto"/>
        </w:rPr>
        <w:t>. Any notice required or permitted to be given under this Agreement will be in writing, will specifically refer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to have been sufficiently given for all purposes if delivered by express delivery service or personally delivered, and such notice will be deemed to have been given upon receipt. Unless otherwise specified in writing, the addresses of the Parties will be as described below.</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Adimab:</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Adimab, LLC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a required copy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 the case of Cullinan:</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Cullinan Management, Inc.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10.9 Construction</w:t>
      </w:r>
      <w:r>
        <w:rPr>
          <w:rFonts w:ascii="Times New Roman" w:cs="Times New Roman" w:eastAsia="Times New Roman" w:hAnsi="Times New Roman"/>
          <w:sz w:val="18"/>
          <w:szCs w:val="18"/>
          <w:color w:val="auto"/>
        </w:rPr>
        <w:t>. This Agreement has been prepared jointly and will not be strictly construed against either Party. Ambiguities, if any,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not be construed against any Party, irrespective of which Party may be deemed to have authored the ambiguous provision.</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69" w:right="499" w:bottom="1440" w:gutter="0" w:footer="0" w:header="0"/>
        </w:sectPr>
      </w:pPr>
    </w:p>
    <w:bookmarkStart w:id="521" w:name="page522"/>
    <w:bookmarkEnd w:id="521"/>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10.10 Headings</w:t>
      </w:r>
      <w:r>
        <w:rPr>
          <w:rFonts w:ascii="Times New Roman" w:cs="Times New Roman" w:eastAsia="Times New Roman" w:hAnsi="Times New Roman"/>
          <w:sz w:val="18"/>
          <w:szCs w:val="18"/>
          <w:color w:val="auto"/>
        </w:rPr>
        <w:t>. The headings for each Article and Section in this Agreement have been inserted for convenience of reference only and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limit or expand on, nor used to be used to interpret, the meaning of the language contained in the particular Article or Section.</w:t>
      </w:r>
    </w:p>
    <w:p>
      <w:pPr>
        <w:spacing w:after="0" w:line="15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10.11 No Waiver</w:t>
      </w:r>
      <w:r>
        <w:rPr>
          <w:rFonts w:ascii="Times New Roman" w:cs="Times New Roman" w:eastAsia="Times New Roman" w:hAnsi="Times New Roman"/>
          <w:sz w:val="18"/>
          <w:szCs w:val="18"/>
          <w:color w:val="auto"/>
        </w:rPr>
        <w:t>. Any delay in enforcing a Party’s rights under this Agreement or any waiver as to a particular default or other matter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waiver of such Party’s rights to the subsequent enforcement of its rights under this Agreement, excepting only as to an express written and signed waiver as to a particular matter for a particular period of time executed by an authorized officer of the waiving Party.</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10.12 Performance by Affiliates</w:t>
      </w:r>
      <w:r>
        <w:rPr>
          <w:rFonts w:ascii="Times New Roman" w:cs="Times New Roman" w:eastAsia="Times New Roman" w:hAnsi="Times New Roman"/>
          <w:sz w:val="18"/>
          <w:szCs w:val="18"/>
          <w:color w:val="auto"/>
        </w:rPr>
        <w:t>. A Party may perform some or all of its obligations under this Agreement through Affiliate(s) or may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or all of its rights under this Agreement through Affiliates. However, each Party will remain responsible and be guarantor of the performance by its Affiliates and will cause its Affiliates to comply with the provisions of this Agreement in connection with such performance as if such Party were performing such obligations itself, and references to a Party in this Agreement will be deemed to also reference such Affiliate. In particular and without limitation, all Affiliates of a Party that receive Confidential Information of the other Party pursuant to this Agreement will be governed and bound by all obligations set forth in Article 6 (</w:t>
      </w:r>
      <w:r>
        <w:rPr>
          <w:rFonts w:ascii="Times New Roman" w:cs="Times New Roman" w:eastAsia="Times New Roman" w:hAnsi="Times New Roman"/>
          <w:sz w:val="18"/>
          <w:szCs w:val="18"/>
          <w:i w:val="1"/>
          <w:iCs w:val="1"/>
          <w:color w:val="auto"/>
        </w:rPr>
        <w:t>Confidentiality; Publicity</w:t>
      </w:r>
      <w:r>
        <w:rPr>
          <w:rFonts w:ascii="Times New Roman" w:cs="Times New Roman" w:eastAsia="Times New Roman" w:hAnsi="Times New Roman"/>
          <w:sz w:val="18"/>
          <w:szCs w:val="18"/>
          <w:color w:val="auto"/>
        </w:rPr>
        <w:t>), and will (to avoid doubt) be subject to the intellectual property assignment and other intellectual property provisions of Article 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as if they were the original Party to this Agreement (and be deemed included in the actual Party to this Agreement for purposes of all intellectual property-related definitions). A Party and its Affiliates will be jointly and severally liable for their performance under this Agreement.</w:t>
      </w:r>
    </w:p>
    <w:p>
      <w:pPr>
        <w:spacing w:after="0" w:line="188"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10.13 Counterparts</w:t>
      </w:r>
      <w:r>
        <w:rPr>
          <w:rFonts w:ascii="Times New Roman" w:cs="Times New Roman" w:eastAsia="Times New Roman" w:hAnsi="Times New Roman"/>
          <w:sz w:val="18"/>
          <w:szCs w:val="18"/>
          <w:color w:val="auto"/>
        </w:rPr>
        <w:t>. This Agreement may be executed in one or more identical counterparts, each of which will be deemed to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which collectively will be deemed to be one and the same instrument. In addition, signatures may be exchanged by facsimile or PDF.</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 Signature Page Follows]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65" w:right="499" w:bottom="1440" w:gutter="0" w:footer="0" w:header="0"/>
        </w:sectPr>
      </w:pPr>
    </w:p>
    <w:bookmarkStart w:id="522" w:name="page523"/>
    <w:bookmarkEnd w:id="522"/>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by duly authorized persons executed this Agreement to be effective as of the Effective Date.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the signature date below may not be the Effective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ULLINAN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DIMAB</w:t>
            </w:r>
            <w:r>
              <w:rPr>
                <w:rFonts w:ascii="Times New Roman" w:cs="Times New Roman" w:eastAsia="Times New Roman" w:hAnsi="Times New Roman"/>
                <w:sz w:val="18"/>
                <w:szCs w:val="18"/>
                <w:b w:val="1"/>
                <w:bCs w:val="1"/>
                <w:color w:val="auto"/>
              </w:rPr>
              <w:t>, LLC: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Owen Hughes</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Tillman Gerngross</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Owen Hughes</w:t>
            </w:r>
          </w:p>
        </w:tc>
        <w:tc>
          <w:tcPr>
            <w:tcW w:w="92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Tillman Gerngross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11/29/2018</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11/28/2018</w:t>
            </w:r>
          </w:p>
        </w:tc>
      </w:tr>
      <w:tr>
        <w:trPr>
          <w:trHeight w:val="364"/>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523" w:name="page524"/>
    <w:bookmarkEnd w:id="523"/>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w:t>
      </w:r>
      <w:r>
        <w:rPr>
          <w:rFonts w:ascii="Times New Roman" w:cs="Times New Roman" w:eastAsia="Times New Roman" w:hAnsi="Times New Roman"/>
          <w:sz w:val="14"/>
          <w:szCs w:val="14"/>
          <w:b w:val="1"/>
          <w:bCs w:val="1"/>
          <w:color w:val="auto"/>
        </w:rPr>
        <w:t>ARGET</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UESTIONNAIRE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 F</w:t>
      </w:r>
      <w:r>
        <w:rPr>
          <w:rFonts w:ascii="Times New Roman" w:cs="Times New Roman" w:eastAsia="Times New Roman" w:hAnsi="Times New Roman"/>
          <w:sz w:val="14"/>
          <w:szCs w:val="14"/>
          <w:b w:val="1"/>
          <w:bCs w:val="1"/>
          <w:color w:val="auto"/>
        </w:rPr>
        <w:t>ORM</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ESEARCH</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 F</w:t>
      </w:r>
      <w:r>
        <w:rPr>
          <w:rFonts w:ascii="Times New Roman" w:cs="Times New Roman" w:eastAsia="Times New Roman" w:hAnsi="Times New Roman"/>
          <w:sz w:val="14"/>
          <w:szCs w:val="14"/>
          <w:b w:val="1"/>
          <w:bCs w:val="1"/>
          <w:color w:val="auto"/>
        </w:rPr>
        <w:t>ORM</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EMI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ANNUAL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PDATE</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19"/>
          </w:cols>
          <w:pgMar w:left="440" w:top="265" w:right="1440" w:bottom="1440" w:gutter="0" w:footer="0" w:header="0"/>
        </w:sectPr>
      </w:pPr>
    </w:p>
    <w:bookmarkStart w:id="524" w:name="page525"/>
    <w:bookmarkEnd w:id="524"/>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 – T</w:t>
      </w:r>
      <w:r>
        <w:rPr>
          <w:rFonts w:ascii="Times New Roman" w:cs="Times New Roman" w:eastAsia="Times New Roman" w:hAnsi="Times New Roman"/>
          <w:sz w:val="14"/>
          <w:szCs w:val="14"/>
          <w:b w:val="1"/>
          <w:bCs w:val="1"/>
          <w:color w:val="auto"/>
        </w:rPr>
        <w:t>ARGET</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UESTIONNAIRE</w:t>
      </w:r>
    </w:p>
    <w:p>
      <w:pPr>
        <w:spacing w:after="0" w:line="225"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b w:val="1"/>
          <w:bCs w:val="1"/>
          <w:u w:val="single" w:color="auto"/>
          <w:color w:val="auto"/>
        </w:rPr>
        <w:t>Partner Completed Target Questionnaire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5" w:right="1440"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 – Form of a Research Plan</w:t>
      </w:r>
    </w:p>
    <w:p>
      <w:pPr>
        <w:spacing w:after="0" w:line="22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Partner Work Plan</w:t>
      </w:r>
    </w:p>
    <w:p>
      <w:pPr>
        <w:spacing w:after="0" w:line="2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65" w:right="1440"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 – Form of Cullinan Semi-Annual Program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19"/>
          </w:cols>
          <w:pgMar w:left="440" w:top="265" w:right="1440" w:bottom="1440" w:gutter="0" w:footer="0" w:header="0"/>
        </w:sectPr>
      </w:pPr>
    </w:p>
    <w:bookmarkStart w:id="527" w:name="page528"/>
    <w:bookmarkEnd w:id="527"/>
    <w:p>
      <w:pPr>
        <w:ind w:left="1008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redacted because they are both (i) not material and (ii) would be competitively harmful if publicly disclosed.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that was omitted has been noted in this document with a placeholder identified by the mark “[***]”.</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w:t>
      </w:r>
    </w:p>
    <w:p>
      <w:pPr>
        <w:spacing w:after="0" w:line="225" w:lineRule="exact"/>
        <w:rPr>
          <w:sz w:val="20"/>
          <w:szCs w:val="20"/>
          <w:color w:val="auto"/>
        </w:rPr>
      </w:pPr>
    </w:p>
    <w:p>
      <w:pPr>
        <w:ind w:right="380" w:firstLine="440"/>
        <w:spacing w:after="0" w:line="259" w:lineRule="auto"/>
        <w:rPr>
          <w:sz w:val="20"/>
          <w:szCs w:val="20"/>
          <w:color w:val="auto"/>
        </w:rPr>
      </w:pPr>
      <w:r>
        <w:rPr>
          <w:rFonts w:ascii="Times New Roman" w:cs="Times New Roman" w:eastAsia="Times New Roman" w:hAnsi="Times New Roman"/>
          <w:sz w:val="18"/>
          <w:szCs w:val="18"/>
          <w:color w:val="auto"/>
        </w:rPr>
        <w:t>This License and Collaboration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is effective this 4th day of February, 2019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between Cullinan Pearl Corp., a Delaware corporation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having an address at One Main Street, Suite 520, Cambridge, MA, 02142, U.S.A, and Taiho Pharmaceutical, Co., Ltd., a company organized under the laws of Japan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having an address at 1-27 Kandanishiki-cho, Chiyoda-ku, Tokyo 101-8444, Japan. Licensee and Licensor are each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Licensee is engaged in the research and development of therapeutics for the treatment of diseases;</w:t>
      </w:r>
    </w:p>
    <w:p>
      <w:pPr>
        <w:spacing w:after="0" w:line="225" w:lineRule="exact"/>
        <w:rPr>
          <w:sz w:val="20"/>
          <w:szCs w:val="20"/>
          <w:color w:val="auto"/>
        </w:rPr>
      </w:pPr>
    </w:p>
    <w:p>
      <w:pPr>
        <w:ind w:right="10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Licensor possesses certain technology and related intellectual property rights useful for the research,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therapeutics for the treatment of diseases; and</w:t>
      </w:r>
    </w:p>
    <w:p>
      <w:pPr>
        <w:spacing w:after="0" w:line="15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Licensee wishes to obtain, and Licensor wishes to grant to Licensee, an exclusive, royalty-bearing license under the Licensed IP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to develop, make, have made, use, import, offer for sale or sell or otherwise distribute Licensed Products (as defined below) in the Field (as defined below) in the Territory, with the right to sublicense, in all cases subject to the terms and conditions of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Licensor and Licensee, intending to be legally bound, agree as follows:</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Actual Cost</w:t>
      </w:r>
      <w:r>
        <w:rPr>
          <w:rFonts w:ascii="Times New Roman" w:cs="Times New Roman" w:eastAsia="Times New Roman" w:hAnsi="Times New Roman"/>
          <w:sz w:val="18"/>
          <w:szCs w:val="18"/>
          <w:color w:val="auto"/>
        </w:rPr>
        <w:t>” means fully burdened cost determined in accordance with GAAP or IFRS, whichever is applicable to the Party determining its Actual Cost; provided that, to the extent the Licensed Compound or Licensed Product is manufactured by a Third Party CMO, the Actual Cost shall mean payments made by the supplying Party to such Third Party CMO for the particular quantities supplied hereunder, plus the import and export duties, applicable taxes, brokerage fees, shipping insurance fees, port fees and storage fees, and shipping costs, in each case to the extent reasonable and customary and incurred with respect to the quantities supplied.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28" w:name="page529"/>
    <w:bookmarkEnd w:id="528"/>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xml:space="preserve">” means, with respect to a Party, any Person that controls, is controlled by, or is under common control with such Party. For purposes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“control” shall refer to (i) in the case of a Person that is a corporate entity, direct or indirect ownership of more than fifty percent (50%) of the stock or shares having the right to vote for the election of directors of such Person and (ii) in the case of a Person that is not a corporate entity, the possession, directly or indirectly, of the power to direct, or cause the direction of, the management or policies of such Person, whether through the ownership of voting securities, by contract or otherwise. For the avoidance of doubt, Affiliates of Licensee shall exclude (i) any investor in Cullinan Oncology, LLC, Cullinan Management, Inc. and Persons controlled by or under common control of Cullinan Oncology, LLC or Cullinan Management, Inc. (other than Licensee and any Person that is controlled by Licensee), and (ii) any Person that is controlled by Otsuka Holdings Co. Ltd., having offices at 2- 9 Kanda-Tsukasamachi, Chiyoda-ku, Tokyo 101-0048 Japan (other than Licensor and any Person that is controlled by Licensor).</w:t>
      </w:r>
    </w:p>
    <w:p>
      <w:pPr>
        <w:spacing w:after="0" w:line="64"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Associated Party</w:t>
      </w:r>
      <w:r>
        <w:rPr>
          <w:rFonts w:ascii="Times New Roman" w:cs="Times New Roman" w:eastAsia="Times New Roman" w:hAnsi="Times New Roman"/>
          <w:sz w:val="18"/>
          <w:szCs w:val="18"/>
          <w:color w:val="auto"/>
        </w:rPr>
        <w:t>” means Licensor’s Affiliates and any Third Party to whom Licensor has granted a license to sell, market and/or promote the Licensed Product in Japan (such Third Party, a “</w:t>
      </w:r>
      <w:r>
        <w:rPr>
          <w:rFonts w:ascii="Times New Roman" w:cs="Times New Roman" w:eastAsia="Times New Roman" w:hAnsi="Times New Roman"/>
          <w:sz w:val="18"/>
          <w:szCs w:val="18"/>
          <w:b w:val="1"/>
          <w:bCs w:val="1"/>
          <w:color w:val="auto"/>
        </w:rPr>
        <w:t>Japan Licensee</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 day that is not a Saturday, Sunday or a day on which banking institutions in Boston, Massachusetts or in Japan are authorized by Law to remain closed.</w:t>
      </w:r>
    </w:p>
    <w:p>
      <w:pPr>
        <w:spacing w:after="0" w:line="47" w:lineRule="exact"/>
        <w:rPr>
          <w:sz w:val="20"/>
          <w:szCs w:val="20"/>
          <w:color w:val="auto"/>
        </w:rPr>
      </w:pPr>
    </w:p>
    <w:p>
      <w:pPr>
        <w:jc w:val="both"/>
        <w:ind w:right="580" w:firstLine="440"/>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Calendar Half Year</w:t>
      </w:r>
      <w:r>
        <w:rPr>
          <w:rFonts w:ascii="Times New Roman" w:cs="Times New Roman" w:eastAsia="Times New Roman" w:hAnsi="Times New Roman"/>
          <w:sz w:val="18"/>
          <w:szCs w:val="18"/>
          <w:color w:val="auto"/>
        </w:rPr>
        <w:t>” means each of the periods of six (6) consecutive calendar months ending on June 30 and December 31 during a Calendar Year; provided, however, that the final Calendar Half Year hereunder shall end on the effective date of termination or expiration of this Agreement.</w:t>
      </w:r>
    </w:p>
    <w:p>
      <w:pPr>
        <w:spacing w:after="0" w:line="63"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each of the periods of three (3) consecutive calendar months ending on March 31, June 30, September 30 and December 31 during a Calendar Year; provided, however, that the final Calendar Quarter hereunder shall end on the effective date of termination or expiration of this Agreement.</w:t>
      </w:r>
    </w:p>
    <w:p>
      <w:pPr>
        <w:spacing w:after="0" w:line="63"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 provided, however, that the first Calendar Year hereunder shall commence on the Effective Date and the final Calendar Year hereunder shall end on the effective date of termination or expiration of this Agreement.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certificate of incorporation of the Company, as amended or restated from time to time.</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any of the following events: (a) any Third Party (or group of Third Parties acting in concert) acquires, directly or indirectly, beneficial ownership or control of shares of such Party representing at least a majority of the voting power (where voting refers to being entitled to vote for the election of directors) then outstanding of such Party; (b) such Party consolidates with or merges into another corporation or entity which is a Third Party, or any corporation or entity which is a Third Party consolidates with or merges into such Party, in either event pursuant to a transaction in which at least a majority of the voting power of the acquiring or resulting entity outstanding immediately after such consolidation or merger is not held by the holders of the outstanding voting power of such Party immediately preceding such consolidation or merger; or (c) such Party conveys, transfers or exclusively licenses all or substantially all of its assets to a Third Party, and in the case such Party is Licensee, such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5" w:right="459" w:bottom="1440" w:gutter="0" w:footer="0" w:header="0"/>
        </w:sectPr>
      </w:pPr>
    </w:p>
    <w:bookmarkStart w:id="529" w:name="page530"/>
    <w:bookmarkEnd w:id="529"/>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conveyance, transfer or exclusive license is treated as a “Deemed Liquidation Event” under the Certificate of Incorporation. Notwithstanding anything to the contrary in this paragraph, the sale of equity securities by Licensee for capital raising purposes in a bona fide financing transaction shall not be deemed a Change of Control. For purposes of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consummation of a Change of Control of a Licensee shall cause permanently such expiration, termination or other effect for the Term, and no such provision shall be considered readjusted to its terms prior to such Change of Control in the event of a subsequent transfer or assignment of this Agreement to a successor Licensee.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 [***].</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color w:val="auto"/>
        </w:rPr>
        <w:t>Clinical Trial</w:t>
      </w:r>
      <w:r>
        <w:rPr>
          <w:rFonts w:ascii="Times New Roman" w:cs="Times New Roman" w:eastAsia="Times New Roman" w:hAnsi="Times New Roman"/>
          <w:sz w:val="17"/>
          <w:szCs w:val="17"/>
          <w:color w:val="auto"/>
        </w:rPr>
        <w:t>” means any trial in which human subjects are dosed with a drug, whether approved or investigational, including any Phase 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3 or 4 clinical study.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CMO</w:t>
      </w:r>
      <w:r>
        <w:rPr>
          <w:rFonts w:ascii="Times New Roman" w:cs="Times New Roman" w:eastAsia="Times New Roman" w:hAnsi="Times New Roman"/>
          <w:sz w:val="18"/>
          <w:szCs w:val="18"/>
          <w:color w:val="auto"/>
        </w:rPr>
        <w:t>” means a contract manufacturing organization.</w:t>
      </w:r>
    </w:p>
    <w:p>
      <w:pPr>
        <w:spacing w:after="0" w:line="117"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(i) a combination of a Licensed Product with one or more Other Active Ingredients or (ii) the sale of a Licensed Product in a bundle with one or more other standalone products, at least one of which is not a Licensed Product.</w:t>
      </w:r>
    </w:p>
    <w:p>
      <w:pPr>
        <w:spacing w:after="0" w:line="47"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to market, promote, distribute, offer for sale, sell, import, have imported, export, have exported or otherwise commercialize a compound or product. When used as a noun, “Commercialization” means any and all activities involved in Commercializing.</w:t>
      </w:r>
    </w:p>
    <w:p>
      <w:pPr>
        <w:spacing w:after="0" w:line="6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efforts to be expended by a Party with respect to any objective, reasonable, good faith efforts to accomplish such objective as such Party would normally use to accomplish a similar objective under similar circumstances for such Party’s benefit. Without limiting the foregoing, with respect to efforts relating to the Development of, obtaining Regulatory Approval for, or Commercialization of a Licensed Product, generally or with respect to any particular country, “Commercially Reasonable Efforts” means a sustained, continued and active commitment of efforts and resources by a Party consistent with the level of efforts and resources normally dedicated by companies of similar size in the research-based pharmaceutical industry to the development or commercialization, as the case may be, of a product of similar commercial potential at a similar stage in its lifecycle that such company is actively developing or commercializing (as applicable), in each case taking into account issues of safety and efficacy, product profile, the proprietary position, the then-current competitive environment for such product and the likely timing of such products entry into the market, the regulatory environment and the status of such product, and other relevant scientific, technical and commercial factors, but not taking into account any payments required to be made to the other Party hereunder.</w:t>
      </w:r>
    </w:p>
    <w:p>
      <w:pPr>
        <w:spacing w:after="0" w:line="77"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Competing Product</w:t>
      </w:r>
      <w:r>
        <w:rPr>
          <w:rFonts w:ascii="Times New Roman" w:cs="Times New Roman" w:eastAsia="Times New Roman" w:hAnsi="Times New Roman"/>
          <w:sz w:val="18"/>
          <w:szCs w:val="18"/>
          <w:color w:val="auto"/>
        </w:rPr>
        <w:t>” means a product, other than any product containing Licensed Compound, that includes, as an active pharmaceutical ingredient, [***] which is [***] and [***].</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9" w:right="499" w:bottom="1440" w:gutter="0" w:footer="0" w:header="0"/>
        </w:sectPr>
      </w:pPr>
    </w:p>
    <w:bookmarkStart w:id="530" w:name="page531"/>
    <w:bookmarkEnd w:id="530"/>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and data furnished by one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connection with this Agreement. Confidential Information includes:</w:t>
      </w:r>
    </w:p>
    <w:p>
      <w:pPr>
        <w:spacing w:after="0" w:line="51" w:lineRule="exact"/>
        <w:rPr>
          <w:sz w:val="20"/>
          <w:szCs w:val="20"/>
          <w:color w:val="auto"/>
        </w:rPr>
      </w:pPr>
    </w:p>
    <w:p>
      <w:pPr>
        <w:ind w:right="120" w:firstLine="987"/>
        <w:spacing w:after="0" w:line="282" w:lineRule="auto"/>
        <w:tabs>
          <w:tab w:leader="none" w:pos="12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non-public information disclosed by Licensee to Licensor in reports submitted by Licensee to Licensor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6.6(a)</w:t>
      </w:r>
      <w:r>
        <w:rPr>
          <w:rFonts w:ascii="Times New Roman" w:cs="Times New Roman" w:eastAsia="Times New Roman" w:hAnsi="Times New Roman"/>
          <w:sz w:val="18"/>
          <w:szCs w:val="18"/>
          <w:color w:val="auto"/>
        </w:rPr>
        <w:t xml:space="preserve"> and through audits conducted by Licensor pursuant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non-public information disclosed by Licensor to Licensee relating to patent application prosecution files for the Licensed Patent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w:t>
      </w:r>
    </w:p>
    <w:p>
      <w:pPr>
        <w:spacing w:after="0" w:line="98"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of one Party received by the other Party prior to the Effective Date pursuant to the Confidentiality Agreement between Licensor and Cullinan Management, Inc., dated as of February 13, 2018.</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all Improvements shall be deemed the Confidential Information of Licensee, and not Licensor.</w:t>
      </w:r>
    </w:p>
    <w:p>
      <w:pPr>
        <w:spacing w:after="0" w:line="113"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Regulatory Filings, Regulatory Approvals and all corresponding documentation, and intellectual property rights, including Patent Rights or Know- How, the possession (whether by ownership, license or sublicense, other than by a license, sublicense or other right granted pursuant to this Agreement) by a Party or its Affiliates of the ability to grant to the other Party the licenses, sublicenses, or rights to access and use such Regulatory Filings, Regulatory Approvals and all corresponding documentation or intellectual property rights as provided for in this Agreement, without violating the terms of any agreement or other arrangement with any Third Party in existence as of the time the Person possessing such item or right would be required hereunder to grant such license, sublicense or rights of access and use.</w:t>
      </w:r>
    </w:p>
    <w:p>
      <w:pPr>
        <w:spacing w:after="0" w:line="74"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means, with respect to a product, technology, process or method, that in the absence of ownership of or a license granted under a Valid Claim, the manufacture, use, offer for sale, sale or importation of such product or the practice of such technology, process or method would infringe such Valid Claim (or, in the case of a Valid Claim that has not yet issued, would infringe such Valid Claim if it were to issue as currently written).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CRO</w:t>
      </w:r>
      <w:r>
        <w:rPr>
          <w:rFonts w:ascii="Times New Roman" w:cs="Times New Roman" w:eastAsia="Times New Roman" w:hAnsi="Times New Roman"/>
          <w:sz w:val="18"/>
          <w:szCs w:val="18"/>
          <w:color w:val="auto"/>
        </w:rPr>
        <w:t>” means a contract research organization.</w:t>
      </w:r>
    </w:p>
    <w:p>
      <w:pPr>
        <w:spacing w:after="0" w:line="117" w:lineRule="exact"/>
        <w:rPr>
          <w:sz w:val="20"/>
          <w:szCs w:val="20"/>
          <w:color w:val="auto"/>
        </w:rPr>
      </w:pPr>
    </w:p>
    <w:p>
      <w:pPr>
        <w:jc w:val="both"/>
        <w:ind w:right="200" w:firstLine="440"/>
        <w:spacing w:after="0" w:line="291" w:lineRule="auto"/>
        <w:rPr>
          <w:sz w:val="20"/>
          <w:szCs w:val="20"/>
          <w:color w:val="auto"/>
        </w:rPr>
      </w:pPr>
      <w:r>
        <w:rPr>
          <w:rFonts w:ascii="Times New Roman" w:cs="Times New Roman" w:eastAsia="Times New Roman" w:hAnsi="Times New Roman"/>
          <w:sz w:val="17"/>
          <w:szCs w:val="17"/>
          <w:color w:val="auto"/>
        </w:rPr>
        <w:t>1.21 “</w:t>
      </w:r>
      <w:r>
        <w:rPr>
          <w:rFonts w:ascii="Times New Roman" w:cs="Times New Roman" w:eastAsia="Times New Roman" w:hAnsi="Times New Roman"/>
          <w:sz w:val="17"/>
          <w:szCs w:val="17"/>
          <w:b w:val="1"/>
          <w:bCs w:val="1"/>
          <w:color w:val="auto"/>
        </w:rPr>
        <w:t>Develop</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17"/>
          <w:szCs w:val="17"/>
          <w:color w:val="auto"/>
        </w:rPr>
        <w:t>” means to conduct any and all research and development activities necessary to obtain Regulatory Approval, including toxicology, pharmacology, statistical analysis, Clinical Trials (including pre- and post-approval studies and investigator sponsored Clinical Trials), regulatory affairs, and regulatory activities pertaining to designing and carrying out Clinical Trials and obtaining Regulatory Approvals.</w:t>
      </w:r>
    </w:p>
    <w:p>
      <w:pPr>
        <w:spacing w:after="0" w:line="4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xml:space="preserve">” means the Initial Development Plan, as defined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together with any amended or updated versions thereof made in accordance with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and any successor governmental authority having substantially the same function.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EU5</w:t>
      </w:r>
      <w:r>
        <w:rPr>
          <w:rFonts w:ascii="Times New Roman" w:cs="Times New Roman" w:eastAsia="Times New Roman" w:hAnsi="Times New Roman"/>
          <w:sz w:val="18"/>
          <w:szCs w:val="18"/>
          <w:color w:val="auto"/>
        </w:rPr>
        <w:t>” means France, Germany, Italy, Spain, and the United Kingdom.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5" w:right="479" w:bottom="1440" w:gutter="0" w:footer="0" w:header="0"/>
        </w:sectPr>
      </w:pPr>
    </w:p>
    <w:bookmarkStart w:id="531" w:name="page532"/>
    <w:bookmarkEnd w:id="531"/>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 “</w:t>
      </w:r>
      <w:r>
        <w:rPr>
          <w:rFonts w:ascii="Times New Roman" w:cs="Times New Roman" w:eastAsia="Times New Roman" w:hAnsi="Times New Roman"/>
          <w:sz w:val="18"/>
          <w:szCs w:val="18"/>
          <w:b w:val="1"/>
          <w:bCs w:val="1"/>
          <w:color w:val="auto"/>
        </w:rPr>
        <w:t>Exon 20 Insertion Inhibitor</w:t>
      </w:r>
      <w:r>
        <w:rPr>
          <w:rFonts w:ascii="Times New Roman" w:cs="Times New Roman" w:eastAsia="Times New Roman" w:hAnsi="Times New Roman"/>
          <w:sz w:val="18"/>
          <w:szCs w:val="18"/>
          <w:color w:val="auto"/>
        </w:rPr>
        <w:t>” means a small molecule that directly and selectively inhibits tumor cells possessing an insertion mutation in exon 20 of the Epidermal Growth Factor Receptor (EGFR) and which has therapeutic effect predominantly through the inhibition of such mutations. As used herein: “small molecule” means a compound with molecular weight of less than 1500 daltons.</w:t>
      </w:r>
    </w:p>
    <w:p>
      <w:pPr>
        <w:spacing w:after="0" w:line="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successor agency thereto.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treatment, prevention, prognosis or diagnosis of disease.</w:t>
      </w:r>
    </w:p>
    <w:p>
      <w:pPr>
        <w:spacing w:after="0" w:line="117" w:lineRule="exact"/>
        <w:rPr>
          <w:sz w:val="20"/>
          <w:szCs w:val="20"/>
          <w:color w:val="auto"/>
        </w:rPr>
      </w:pPr>
    </w:p>
    <w:p>
      <w:pPr>
        <w:jc w:val="both"/>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means, with respect to a Licensed Product and a country, the first bona fide, arms-length sale of such Licensed Product in such country by or on behalf of Licensee or a Related Party after receipt of Regulatory Approval in the jurisdiction in question;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clarity First Commercial Sale does not include the sale of a Licensed Product for compassionate use or clinical trial.</w:t>
      </w:r>
    </w:p>
    <w:p>
      <w:pPr>
        <w:spacing w:after="0" w:line="63"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1.29 “</w:t>
      </w:r>
      <w:r>
        <w:rPr>
          <w:rFonts w:ascii="Times New Roman" w:cs="Times New Roman" w:eastAsia="Times New Roman" w:hAnsi="Times New Roman"/>
          <w:sz w:val="17"/>
          <w:szCs w:val="17"/>
          <w:b w:val="1"/>
          <w:bCs w:val="1"/>
          <w:color w:val="auto"/>
        </w:rPr>
        <w:t>Fully-Diluted Basis</w:t>
      </w:r>
      <w:r>
        <w:rPr>
          <w:rFonts w:ascii="Times New Roman" w:cs="Times New Roman" w:eastAsia="Times New Roman" w:hAnsi="Times New Roman"/>
          <w:sz w:val="17"/>
          <w:szCs w:val="17"/>
          <w:color w:val="auto"/>
        </w:rPr>
        <w:t>” means, as of a specified date, the number of shares of common stock of Licensee then-outstanding plus the number of shares of common stock of Licensee issuable upon exercise or conversion of then-outstanding convertible securities or warrants, options, or other rights to subscribe for, purchase or acquire from Licensee any capital stock of Licensee (which shall be determined without regard to whether such securities or rights are then vested, exercisable or convertible) plus, without duplication, the number of shares reserved and available for future grant under any then-existing equity incentive plan of Licensee; provided that, for clarity, “other rights to subscribe for, purchase or acquire” shall not include</w:t>
      </w:r>
    </w:p>
    <w:p>
      <w:pPr>
        <w:spacing w:after="0" w:line="3" w:lineRule="exact"/>
        <w:rPr>
          <w:sz w:val="20"/>
          <w:szCs w:val="20"/>
          <w:color w:val="auto"/>
        </w:rPr>
      </w:pPr>
    </w:p>
    <w:p>
      <w:pPr>
        <w:ind w:left="224" w:hanging="224"/>
        <w:spacing w:after="0"/>
        <w:tabs>
          <w:tab w:leader="none" w:pos="22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or other rights to participate in new offerings of securities by Licensee after the Effective Date until such securities are issued,</w:t>
      </w:r>
    </w:p>
    <w:p>
      <w:pPr>
        <w:spacing w:after="0" w:line="9"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 purchase agreement for preferred stock of Licensee to acquire additional shares of such preferred stock on the same terms as those purchased at an initial closing upon the passage of time or meeting (or waiver) of specified Licensee performance conditions, until such shares are issued or (iii) anti-dilution provisions that have not been triggered; provided further that shares of common stock or convertible securities issued pursuant to the foregoing rights, obligations and provisions set forth in clauses (i), (ii) and (iii) and then outstanding shall be included in the number of shares of common stock of Licensee then-outstanding or issuable upon conversion of convertible securities.</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as practiced in the United States, as consistently applied.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means [***] .</w:t>
      </w:r>
    </w:p>
    <w:p>
      <w:pPr>
        <w:spacing w:after="0" w:line="117" w:lineRule="exact"/>
        <w:rPr>
          <w:sz w:val="20"/>
          <w:szCs w:val="20"/>
          <w:color w:val="auto"/>
        </w:rPr>
      </w:pPr>
    </w:p>
    <w:p>
      <w:pPr>
        <w:jc w:val="both"/>
        <w:ind w:left="4" w:firstLine="440"/>
        <w:spacing w:after="0" w:line="274" w:lineRule="auto"/>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b w:val="1"/>
          <w:bCs w:val="1"/>
          <w:color w:val="auto"/>
        </w:rPr>
        <w:t>Generic Product</w:t>
      </w:r>
      <w:r>
        <w:rPr>
          <w:rFonts w:ascii="Times New Roman" w:cs="Times New Roman" w:eastAsia="Times New Roman" w:hAnsi="Times New Roman"/>
          <w:sz w:val="17"/>
          <w:szCs w:val="17"/>
          <w:color w:val="auto"/>
        </w:rPr>
        <w:t>” means, with respect to a Licensed Product in a particular country in the Territory, any pharmaceutical product that (a) is marketed for sale by a Third Party not authorized by Licensee, (b) receives Regulatory Approval (with or without pricing or reimbursement approval) in such country in full or partial reliance on the Regulatory Approval (but not necessarily pricing or reimbursement approval) of the Licensed Product, and</w:t>
      </w:r>
    </w:p>
    <w:p>
      <w:pPr>
        <w:spacing w:after="0" w:line="1" w:lineRule="exact"/>
        <w:rPr>
          <w:sz w:val="20"/>
          <w:szCs w:val="20"/>
          <w:color w:val="auto"/>
        </w:rPr>
      </w:pPr>
    </w:p>
    <w:p>
      <w:pPr>
        <w:ind w:left="4" w:right="20" w:hanging="4"/>
        <w:spacing w:after="0" w:line="253" w:lineRule="auto"/>
        <w:tabs>
          <w:tab w:leader="none" w:pos="249"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determined by a Regulatory Authority to be therapeutically equivalent to and substitutable with the Licensed Product, it being acknowledged that the foregoing standard is intended to be generally consistent with the standard set forth in the introduction to the “Orange Book,” as amended from time to time, or any analogous or comparable standard in any country outside of the United States. For avoidance of doubt, in the United States, a “</w:t>
      </w:r>
      <w:r>
        <w:rPr>
          <w:rFonts w:ascii="Times New Roman" w:cs="Times New Roman" w:eastAsia="Times New Roman" w:hAnsi="Times New Roman"/>
          <w:sz w:val="18"/>
          <w:szCs w:val="18"/>
          <w:b w:val="1"/>
          <w:bCs w:val="1"/>
          <w:color w:val="auto"/>
        </w:rPr>
        <w:t>Generic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as defined herein includes one approved under Section 505(j) of the FFDCA.</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5" w:right="499" w:bottom="1440" w:gutter="0" w:footer="0" w:header="0"/>
        </w:sectPr>
      </w:pPr>
    </w:p>
    <w:bookmarkStart w:id="532" w:name="page533"/>
    <w:bookmarkEnd w:id="5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1.33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accounting principles as set forth by the International Financial Reporting Standards Foundation, as consistently applied.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means [***].</w:t>
      </w:r>
    </w:p>
    <w:p>
      <w:pPr>
        <w:spacing w:after="0" w:line="117"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filed by Licensee with the FDA, or the equivalent application in any foreign jurisdiction filed with another Regulatory Authority.</w:t>
      </w:r>
    </w:p>
    <w:p>
      <w:pPr>
        <w:spacing w:after="0" w:line="47"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first underwritten, initial public offering of securities of Licensee with gross proceeds of [***]. For purposes of all provisions hereunder that expire, terminate or are otherwise affected by the consummation of an IPO of Licensee, the consummation of an IPO of a Licensee shall cause permanently such expiration, termination or other effect for the Term, and no such provision shall be considered readjusted to its terms prior to such IPO in the event of a subsequent transfer or assignment of this Agreement to a successor Licensee.</w:t>
      </w:r>
    </w:p>
    <w:p>
      <w:pPr>
        <w:spacing w:after="0" w:line="68" w:lineRule="exact"/>
        <w:rPr>
          <w:sz w:val="20"/>
          <w:szCs w:val="20"/>
          <w:color w:val="auto"/>
        </w:rPr>
      </w:pPr>
    </w:p>
    <w:p>
      <w:pPr>
        <w:ind w:right="520" w:firstLine="440"/>
        <w:spacing w:after="0" w:line="268"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a disease or pathological condition for which clinical results for such disease or condition and a separate NDA application, or a supplement (or other addition) to an existing NDA application, is required for the purpose of obtaining Regulatory Approval in a country. Notwithstanding the foregoing, for purposes of this Agreement, [***].</w:t>
      </w:r>
    </w:p>
    <w:p>
      <w:pPr>
        <w:spacing w:after="0" w:line="6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ideas, concepts, discoveries, inventions, developments, Know-How, trade secrets, techniques, methodologies, modifications, innovations, improvements, writings, documentation, electronic code,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 and including in each case, all legal rights therein.</w:t>
      </w:r>
    </w:p>
    <w:p>
      <w:pPr>
        <w:spacing w:after="0" w:line="6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and all commercial, technical, regulatory, scientific and other know-how and information, knowledge, technology, tangible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 and know-how, including study designs and protocols), whether or not confidential, proprietary or patentable, in written, electronic or any other form.</w:t>
      </w:r>
    </w:p>
    <w:p>
      <w:pPr>
        <w:spacing w:after="0" w:line="74"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all laws, statutes, rules, codes, regulations, orders, judgments or ordinances applicable to a Party, this Agreement or the activities contemplated hereunder.</w:t>
      </w:r>
    </w:p>
    <w:p>
      <w:pPr>
        <w:spacing w:after="0" w:line="47" w:lineRule="exact"/>
        <w:rPr>
          <w:sz w:val="20"/>
          <w:szCs w:val="20"/>
          <w:color w:val="auto"/>
        </w:rPr>
      </w:pPr>
    </w:p>
    <w:p>
      <w:pPr>
        <w:jc w:val="center"/>
        <w:ind w:left="460" w:right="420"/>
        <w:spacing w:after="0" w:line="458"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Licensed Compounds</w:t>
      </w:r>
      <w:r>
        <w:rPr>
          <w:rFonts w:ascii="Times New Roman" w:cs="Times New Roman" w:eastAsia="Times New Roman" w:hAnsi="Times New Roman"/>
          <w:sz w:val="18"/>
          <w:szCs w:val="18"/>
          <w:color w:val="auto"/>
        </w:rPr>
        <w:t xml:space="preserve">” means the chemical compound coded by Licensor as [***] as further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well as [***]. -6-</w:t>
      </w:r>
    </w:p>
    <w:p>
      <w:pPr>
        <w:sectPr>
          <w:pgSz w:w="11900" w:h="16838" w:orient="portrait"/>
          <w:cols w:equalWidth="0" w:num="1">
            <w:col w:w="11000"/>
          </w:cols>
          <w:pgMar w:left="440" w:top="265" w:right="459" w:bottom="1440" w:gutter="0" w:footer="0" w:header="0"/>
        </w:sectPr>
      </w:pPr>
    </w:p>
    <w:bookmarkStart w:id="533" w:name="page534"/>
    <w:bookmarkEnd w:id="5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 “</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Licensed Patent Rights and Licensed Know-How.</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xml:space="preserve">” means Know How that relates to the Licensed Compound, whether alone or as incorporated in a Licensed Product, that (a) was developed by or on behalf of Licensor or used by Licensor or its Affiliates in the course of its development of the Licensed Compound prior to the Effective Date or (b) is developed by or on behalf of or used by Licensor or Associated Parties at any time during the Term in the course of its or their further development of the Licensed Compound or Licensed Product for use outside the Territory, in each case to the extent such Know-How is Controlled by Licensor or its Associated Parties and is reasonably necessary or useful for Licensee’s Development, Manufacture, Commercialization or other exploitation of the Licensed Compounds or Licensed Products in the Territory, in each case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below. For the avoidance of doubt, Licensed Know-How includes all manufacturing, preclinical and clinical data, if any, generated by or on behalf of Licensor or its Affiliates in its development or use of the Licensed Compound prior to the Effective Date, in each case that is Controlled by Licensor or its Affiliates and is reasonably necessary or useful for Licensee’s Development, Manufacture, Commercialization or other exploitation of the Licensed Compounds or Licensed Products in the Territory. Notwithstanding the foregoing, Licensed Know-How shall not include Research Tools.</w:t>
      </w:r>
    </w:p>
    <w:p>
      <w:pPr>
        <w:spacing w:after="0" w:line="77"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means (a) any patents or patent applications that are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(b) any patents or patent applications Controlled by Licensor or Associated Parties claiming inventions made by or on behalf of Licensor or Associated Parties at any time during the Term in the course of developing or using the Licensed Compound for use outside the Territory, in each case including all Associated Patent Rights with respect to the patents and patent applications described in the foregoing clauses (a) and (b),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below.</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Major Market</w:t>
      </w:r>
      <w:r>
        <w:rPr>
          <w:rFonts w:ascii="Times New Roman" w:cs="Times New Roman" w:eastAsia="Times New Roman" w:hAnsi="Times New Roman"/>
          <w:sz w:val="18"/>
          <w:szCs w:val="18"/>
          <w:color w:val="auto"/>
        </w:rPr>
        <w:t>” shall mean, individually, each of the [***]; and collectively, such countries the “</w:t>
      </w:r>
      <w:r>
        <w:rPr>
          <w:rFonts w:ascii="Times New Roman" w:cs="Times New Roman" w:eastAsia="Times New Roman" w:hAnsi="Times New Roman"/>
          <w:sz w:val="18"/>
          <w:szCs w:val="18"/>
          <w:b w:val="1"/>
          <w:bCs w:val="1"/>
          <w:color w:val="auto"/>
        </w:rPr>
        <w:t>Major Markets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440"/>
        <w:spacing w:after="0" w:line="291" w:lineRule="auto"/>
        <w:rPr>
          <w:sz w:val="20"/>
          <w:szCs w:val="20"/>
          <w:color w:val="auto"/>
        </w:rPr>
      </w:pPr>
      <w:r>
        <w:rPr>
          <w:rFonts w:ascii="Times New Roman" w:cs="Times New Roman" w:eastAsia="Times New Roman" w:hAnsi="Times New Roman"/>
          <w:sz w:val="17"/>
          <w:szCs w:val="17"/>
          <w:color w:val="auto"/>
        </w:rPr>
        <w:t>1.47 “</w:t>
      </w:r>
      <w:r>
        <w:rPr>
          <w:rFonts w:ascii="Times New Roman" w:cs="Times New Roman" w:eastAsia="Times New Roman" w:hAnsi="Times New Roman"/>
          <w:sz w:val="17"/>
          <w:szCs w:val="17"/>
          <w:b w:val="1"/>
          <w:bCs w:val="1"/>
          <w:color w:val="auto"/>
        </w:rPr>
        <w:t>Manufacture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Manufacturing</w:t>
      </w:r>
      <w:r>
        <w:rPr>
          <w:rFonts w:ascii="Times New Roman" w:cs="Times New Roman" w:eastAsia="Times New Roman" w:hAnsi="Times New Roman"/>
          <w:sz w:val="17"/>
          <w:szCs w:val="17"/>
          <w:color w:val="auto"/>
        </w:rPr>
        <w:t>” means to make, produce, manufacture, process, fill, finish, package, label, perform quality assurance testing, release, ship or store a compound or product or any component thereof. When used as a noun, “</w:t>
      </w:r>
      <w:r>
        <w:rPr>
          <w:rFonts w:ascii="Times New Roman" w:cs="Times New Roman" w:eastAsia="Times New Roman" w:hAnsi="Times New Roman"/>
          <w:sz w:val="17"/>
          <w:szCs w:val="17"/>
          <w:b w:val="1"/>
          <w:bCs w:val="1"/>
          <w:color w:val="auto"/>
        </w:rPr>
        <w:t>Manufacture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Manufacturing</w:t>
      </w:r>
      <w:r>
        <w:rPr>
          <w:rFonts w:ascii="Times New Roman" w:cs="Times New Roman" w:eastAsia="Times New Roman" w:hAnsi="Times New Roman"/>
          <w:sz w:val="17"/>
          <w:szCs w:val="17"/>
          <w:color w:val="auto"/>
        </w:rPr>
        <w:t>” means any and all activities involved in Manufacturing a compound or product or any component thereof, including development of the Manufacturing Process.</w:t>
      </w:r>
    </w:p>
    <w:p>
      <w:pPr>
        <w:spacing w:after="0" w:line="45" w:lineRule="exact"/>
        <w:rPr>
          <w:sz w:val="20"/>
          <w:szCs w:val="20"/>
          <w:color w:val="auto"/>
        </w:rPr>
      </w:pPr>
    </w:p>
    <w:p>
      <w:pPr>
        <w:jc w:val="both"/>
        <w:ind w:right="460" w:firstLine="440"/>
        <w:spacing w:after="0" w:line="268"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Manufacturing Process</w:t>
      </w:r>
      <w:r>
        <w:rPr>
          <w:rFonts w:ascii="Times New Roman" w:cs="Times New Roman" w:eastAsia="Times New Roman" w:hAnsi="Times New Roman"/>
          <w:sz w:val="18"/>
          <w:szCs w:val="18"/>
          <w:color w:val="auto"/>
        </w:rPr>
        <w:t>” shall mean the production process for the manufacture at scale of product, including without limitation the manufacturing methods, test methods, specifications, materials, and other procedures, directions and controls associated with the manufacture and testing of such product.</w:t>
      </w:r>
    </w:p>
    <w:p>
      <w:pPr>
        <w:spacing w:after="0" w:line="63"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(as provided in the United States Federal Food, Drug, and Cosmetic Act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the regulations promulgated thereunder (21 C.F.R.</w:t>
      </w:r>
    </w:p>
    <w:p>
      <w:pPr>
        <w:spacing w:after="0" w:line="51" w:lineRule="exact"/>
        <w:rPr>
          <w:sz w:val="20"/>
          <w:szCs w:val="20"/>
          <w:color w:val="auto"/>
        </w:rPr>
      </w:pPr>
    </w:p>
    <w:p>
      <w:pPr>
        <w:ind w:left="440" w:right="2420" w:hanging="4"/>
        <w:spacing w:after="0" w:line="399" w:lineRule="auto"/>
        <w:tabs>
          <w:tab w:leader="none" w:pos="66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 et seq.)), or the equivalent application in any foreign jurisdiction filed with another Regulatory Authority. 1.50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shall mean [***]</w:t>
      </w: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5" w:right="479" w:bottom="1440" w:gutter="0" w:footer="0" w:header="0"/>
        </w:sectPr>
      </w:pPr>
    </w:p>
    <w:bookmarkStart w:id="534" w:name="page535"/>
    <w:bookmarkEnd w:id="534"/>
    <w:p>
      <w:pPr>
        <w:ind w:left="1244" w:hanging="253"/>
        <w:spacing w:after="0"/>
        <w:tabs>
          <w:tab w:leader="none" w:pos="12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40" w:firstLine="440"/>
        <w:spacing w:after="0" w:line="282" w:lineRule="auto"/>
        <w:rPr>
          <w:sz w:val="20"/>
          <w:szCs w:val="20"/>
          <w:color w:val="auto"/>
        </w:rPr>
      </w:pPr>
      <w:r>
        <w:rPr>
          <w:rFonts w:ascii="Times New Roman" w:cs="Times New Roman" w:eastAsia="Times New Roman" w:hAnsi="Times New Roman"/>
          <w:sz w:val="18"/>
          <w:szCs w:val="18"/>
          <w:color w:val="auto"/>
        </w:rPr>
        <w:t>Such amounts shall be determined from the books and records of Licensee or a Related Party, maintained in accordance with GAAP as consistently applied across its pharmaceutical products generally.</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Net Sales on Licensed Product provided as part of a non-cash exchange or other than through an arms-length transaction shall mean [***].</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clarity, Net Sales shall not include [***].</w:t>
      </w:r>
    </w:p>
    <w:p>
      <w:pPr>
        <w:spacing w:after="0" w:line="117"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In no event shall any particular amount of deduction identified above be deducted more than once in calculating Net Sales (i.e., no “double counting” of deductions).</w:t>
      </w:r>
    </w:p>
    <w:p>
      <w:pPr>
        <w:spacing w:after="0" w:line="54"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above deductions shall be the only deductions made in net sales and only to the extent such deductions are actually taken and documented as attributable to Licensed Product, and in all cases in a manner consistent with generally accepted accounting principles (in accordance with GAAP or IFRS, as applicable) consistently employed with respect to external reporting.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Other Active Ingredient</w:t>
      </w:r>
      <w:r>
        <w:rPr>
          <w:rFonts w:ascii="Times New Roman" w:cs="Times New Roman" w:eastAsia="Times New Roman" w:hAnsi="Times New Roman"/>
          <w:sz w:val="18"/>
          <w:szCs w:val="18"/>
          <w:color w:val="auto"/>
        </w:rPr>
        <w:t>” means any active pharmaceutical ingredient, which active pharmaceutical ingredient is not a Licensed Product.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with respect to any patents or patent applications, any and all (a) patents issuing from such patent applications,</w:t>
      </w:r>
    </w:p>
    <w:p>
      <w:pPr>
        <w:spacing w:after="0" w:line="31" w:lineRule="exact"/>
        <w:rPr>
          <w:sz w:val="20"/>
          <w:szCs w:val="20"/>
          <w:color w:val="auto"/>
        </w:rPr>
      </w:pPr>
    </w:p>
    <w:p>
      <w:pPr>
        <w:ind w:left="4" w:right="180" w:hanging="4"/>
        <w:spacing w:after="0" w:line="265" w:lineRule="auto"/>
        <w:tabs>
          <w:tab w:leader="none" w:pos="259" w:val="left"/>
        </w:tabs>
        <w:numPr>
          <w:ilvl w:val="0"/>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substitutions, divisionals, renewals, continuations or continuations-in-part (only to the extent of claims that are entitled to the priority date of the parent application); (c) patents of addition, restorations, extensions, supplementary protection certificates, registration or confirmation patents, patents resulting from post-grant proceedings, re-issues and re-examinations; (d) other patents or patent applications claiming and entitled to claim priority to</w:t>
      </w:r>
    </w:p>
    <w:p>
      <w:pPr>
        <w:ind w:left="4" w:hanging="4"/>
        <w:spacing w:after="0" w:line="252" w:lineRule="auto"/>
        <w:tabs>
          <w:tab w:leader="none" w:pos="21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patents and patent applications and any patent or patent application specified in (a), (b) or (c), or (ii) any patent or patent application from which such patents and patent applications or a patent or patent application specified in (a), (b) or (c) claims and is entitled to claim priority; (e) all rights of priority attendant to such patents and patent applications and any of the patents and patent applications listed in (a) through (d); and (f) in each case of such patents and patent applications and of the patents and patent applications described in (a) through (d), including all counterparts and foreign equivalents thereof filed in any country, territory or jurisdiction in the world. With respect to any patent or patent application, the items described in the foregoing clauses (a) through (e) may be referred to herein as the “</w:t>
      </w:r>
      <w:r>
        <w:rPr>
          <w:rFonts w:ascii="Times New Roman" w:cs="Times New Roman" w:eastAsia="Times New Roman" w:hAnsi="Times New Roman"/>
          <w:sz w:val="18"/>
          <w:szCs w:val="18"/>
          <w:b w:val="1"/>
          <w:bCs w:val="1"/>
          <w:color w:val="auto"/>
        </w:rPr>
        <w:t>Associated Patent Rights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9" w:right="479" w:bottom="1440" w:gutter="0" w:footer="0" w:header="0"/>
        </w:sectPr>
      </w:pPr>
    </w:p>
    <w:bookmarkStart w:id="535" w:name="page536"/>
    <w:bookmarkEnd w:id="535"/>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1.53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or any corporation, company, partnership, joint venture, firm or other entity, including a Party, or any government or agency or political subdivision thereof.</w:t>
      </w:r>
    </w:p>
    <w:p>
      <w:pPr>
        <w:spacing w:after="0" w:line="47"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Phase 1 Clinical Trial</w:t>
      </w:r>
      <w:r>
        <w:rPr>
          <w:rFonts w:ascii="Times New Roman" w:cs="Times New Roman" w:eastAsia="Times New Roman" w:hAnsi="Times New Roman"/>
          <w:sz w:val="18"/>
          <w:szCs w:val="18"/>
          <w:color w:val="auto"/>
        </w:rPr>
        <w:t>” means, as to a specific Licensed Product, a human clinical trial in any country that is intended as the first introduction into humans of a pharmaceutical product with the primary purpose of determining safety, metabolism and pharmacokinetic properties and clinical pharmacology of such product, or would otherwise satisfy requirements of 21 CFR § 312.21(a) in the United States, as amended from time to time, or the corresponding regulation in jurisdictions other than the United States.</w:t>
      </w:r>
    </w:p>
    <w:p>
      <w:pPr>
        <w:spacing w:after="0" w:line="6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Phase 2 Clinical Trial</w:t>
      </w:r>
      <w:r>
        <w:rPr>
          <w:rFonts w:ascii="Times New Roman" w:cs="Times New Roman" w:eastAsia="Times New Roman" w:hAnsi="Times New Roman"/>
          <w:sz w:val="18"/>
          <w:szCs w:val="18"/>
          <w:color w:val="auto"/>
        </w:rPr>
        <w:t>” means, as to a specific Licensed Product, a human clinical trial in any country that is intended to preliminarily evaluate the efficacy and safety or dose-ranging of such product for a particular indication or indications in patients with the disease or indication under study, which study is designated as a Phase 2 clinical trial in the trial protocol filed with the FDA and would satisfy the requirements of 21 CFR § 312.21(b) in the United States, as amended from time to time, or the corresponding regulation in jurisdictions other than the United States. [***].</w:t>
      </w:r>
    </w:p>
    <w:p>
      <w:pPr>
        <w:spacing w:after="0" w:line="6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as to a specific Licensed Product, (a) a human clinical trial in any country, whether controlled or uncontrolled, that is performed to obtain Regulatory Approval of such product after preliminary evidence suggesting effectiveness of such product under evaluation has been obtained, and intended to confirm with statistical significance the efficacy and safety of such product, to evaluate the overall benefit-risk relationship of such product and to provide an adequate basis for physician labeling, or (b) a human clinical trial of such product that satisfies the requirements of 21 C.F.R. § 312.21(c) in the United States, as amended from time to time, or the corresponding regulation in jurisdictions other than the United States.</w:t>
      </w:r>
    </w:p>
    <w:p>
      <w:pPr>
        <w:spacing w:after="0" w:line="74"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Pivotal Clinical Trial</w:t>
      </w:r>
      <w:r>
        <w:rPr>
          <w:rFonts w:ascii="Times New Roman" w:cs="Times New Roman" w:eastAsia="Times New Roman" w:hAnsi="Times New Roman"/>
          <w:sz w:val="18"/>
          <w:szCs w:val="18"/>
          <w:color w:val="auto"/>
        </w:rPr>
        <w:t>” means (i) a Phase 3 Clinical Trial, or (ii) any other Clinical Trial that is intended by Licensee (or the Related Party delegated responsibility for such Clinical Trial) to establish that a pharmaceutical product is safe and efficacious for its intended use, and to determine warnings, precautions, and adverse reactions that are associated with such pharmaceutical product in the dosage range to be prescribed, which Clinical Trial is a registration trial intended by Licensee or such Related Party to be sufficient for filing an application for a Regulatory Approval for such product in the U.S. or another country or some or all of an extra-national territory.</w:t>
      </w:r>
    </w:p>
    <w:p>
      <w:pPr>
        <w:spacing w:after="0" w:line="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Product Trademark</w:t>
      </w:r>
      <w:r>
        <w:rPr>
          <w:rFonts w:ascii="Times New Roman" w:cs="Times New Roman" w:eastAsia="Times New Roman" w:hAnsi="Times New Roman"/>
          <w:sz w:val="18"/>
          <w:szCs w:val="18"/>
          <w:color w:val="auto"/>
        </w:rPr>
        <w:t>” means the Trademark(s) to be used by Licensee or its Affiliates for the Commercialization of the Licensed Products in the Field in the Territory and any registrations thereof or any pending applications relating thereto in the Territory (excluding, in any event, any Trademarks that include any corporate name or logo of the Parties or their Affiliates).</w:t>
      </w:r>
    </w:p>
    <w:p>
      <w:pPr>
        <w:spacing w:after="0" w:line="63"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color w:val="auto"/>
        </w:rPr>
        <w:t>Prosecution and Maintenance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Prosecute and Maintain</w:t>
      </w:r>
      <w:r>
        <w:rPr>
          <w:rFonts w:ascii="Times New Roman" w:cs="Times New Roman" w:eastAsia="Times New Roman" w:hAnsi="Times New Roman"/>
          <w:sz w:val="18"/>
          <w:szCs w:val="18"/>
          <w:color w:val="auto"/>
        </w:rPr>
        <w:t>” means, with respect to the applicable Patent Rights, the preparation, filing, prosecution and maintenance of such Patent Rights, as well as re-examinations, reissues, appeals, and requests for patent term adjustments and patent term extensions with respect to such Patent Rights, together with the initiation or defense of interferences, the initiation or defense of oppositions, post grant review, and other similar proceedings with respect to the particular Patent Rights, and any appeals therefrom. For clarification, “Prosecution and Maintenance” or “Prosecute and Maintain” shall not include any other enforcement actions taken with respect to Patent Rights.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536" w:name="page537"/>
    <w:bookmarkEnd w:id="536"/>
    <w:p>
      <w:pPr>
        <w:ind w:right="4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1.60 “</w:t>
      </w:r>
      <w:r>
        <w:rPr>
          <w:rFonts w:ascii="Times New Roman" w:cs="Times New Roman" w:eastAsia="Times New Roman" w:hAnsi="Times New Roman"/>
          <w:sz w:val="18"/>
          <w:szCs w:val="18"/>
          <w:b w:val="1"/>
          <w:bCs w:val="1"/>
          <w:color w:val="auto"/>
        </w:rPr>
        <w:t>Qualified CMO</w:t>
      </w:r>
      <w:r>
        <w:rPr>
          <w:rFonts w:ascii="Times New Roman" w:cs="Times New Roman" w:eastAsia="Times New Roman" w:hAnsi="Times New Roman"/>
          <w:sz w:val="18"/>
          <w:szCs w:val="18"/>
          <w:color w:val="auto"/>
        </w:rPr>
        <w:t>” means a Third Party contract manufacturer of pharmaceutical products selected by Licensee (or a Related Party) and consented to by Licensor (with such consent not to be unreasonably withheld, conditioned or delayed). Notwithstanding the foregoing, consent of Licensor shall not be required with respect to the selection of a Third Party contract manufacturer as a Qualified CMO if such Third Party contract manufacturer: [***].</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Qualified Sublicensee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firstLine="987"/>
        <w:spacing w:after="0" w:line="256" w:lineRule="auto"/>
        <w:tabs>
          <w:tab w:leader="none" w:pos="12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sale and issuance of at least [***] shares of Series A Preferred Stock of Licensee in accordance with that certain Series A Stock Purchase Agreement of even date herewith by and between Licensee and the purchasers set forth therein (the “</w:t>
      </w:r>
      <w:r>
        <w:rPr>
          <w:rFonts w:ascii="Times New Roman" w:cs="Times New Roman" w:eastAsia="Times New Roman" w:hAnsi="Times New Roman"/>
          <w:sz w:val="18"/>
          <w:szCs w:val="18"/>
          <w:b w:val="1"/>
          <w:bCs w:val="1"/>
          <w:color w:val="auto"/>
        </w:rPr>
        <w:t>Series A Financing Completion</w:t>
      </w:r>
      <w:r>
        <w:rPr>
          <w:rFonts w:ascii="Times New Roman" w:cs="Times New Roman" w:eastAsia="Times New Roman" w:hAnsi="Times New Roman"/>
          <w:sz w:val="18"/>
          <w:szCs w:val="18"/>
          <w:color w:val="auto"/>
        </w:rPr>
        <w:t>”), any Third Party (i) that, together with its Affiliates with whom it is required to consolidate earnings for reporting purposes under GAAP or IFRS (“</w:t>
      </w:r>
      <w:r>
        <w:rPr>
          <w:rFonts w:ascii="Times New Roman" w:cs="Times New Roman" w:eastAsia="Times New Roman" w:hAnsi="Times New Roman"/>
          <w:sz w:val="18"/>
          <w:szCs w:val="18"/>
          <w:b w:val="1"/>
          <w:bCs w:val="1"/>
          <w:color w:val="auto"/>
        </w:rPr>
        <w:t>Reporting Affiliates</w:t>
      </w:r>
      <w:r>
        <w:rPr>
          <w:rFonts w:ascii="Times New Roman" w:cs="Times New Roman" w:eastAsia="Times New Roman" w:hAnsi="Times New Roman"/>
          <w:sz w:val="18"/>
          <w:szCs w:val="18"/>
          <w:color w:val="auto"/>
        </w:rPr>
        <w:t>”), has annual revenues of at least $[***], (ii) that is, or is a Reporting Affiliate of, a publicly traded company that has market capitalization of at least $[***], (iii) that together with its Reporting Affiliates has maintained over the last [***] or (iv) that is approved by Licensor in writing (in Licensor’s sole discretion).</w:t>
      </w:r>
    </w:p>
    <w:p>
      <w:pPr>
        <w:spacing w:after="0" w:line="79"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Series A Financing Completion, any Third Party (i) that together with its Reporting Affiliates has annual revenues from sales of prescription pharmaceutical products for the treatment of [***] of at least $[***], (ii) that is, or is a Reporting Affiliate of, a publicly traded company that (A) has market capitalization of at least $[***], and (B) has a market capitalization as of market close of the trading day immediately preceding the date of entry into a Transaction that (1) is at least $[***], and (2) is no less than [***], or (iii) that is approved by Licensor in writing, provided such approval shall not to be unreasonably withheld, conditioned or delayed in the event that such Third Party is [***]. For purposes of the foregoing, [***].</w:t>
      </w:r>
    </w:p>
    <w:p>
      <w:pPr>
        <w:spacing w:after="0" w:line="7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NDA or comparable filing in the United States or approval of a comparable filing in any other country or jurisdiction, including a marketing authorization approval by the EMA.</w:t>
      </w:r>
    </w:p>
    <w:p>
      <w:pPr>
        <w:spacing w:after="0" w:line="68"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63" w:lineRule="exact"/>
        <w:rPr>
          <w:sz w:val="20"/>
          <w:szCs w:val="20"/>
          <w:color w:val="auto"/>
        </w:rPr>
      </w:pPr>
    </w:p>
    <w:p>
      <w:pPr>
        <w:ind w:right="360" w:firstLine="440"/>
        <w:spacing w:after="0" w:line="262"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b w:val="1"/>
          <w:bCs w:val="1"/>
          <w:color w:val="auto"/>
        </w:rPr>
        <w:t>Regulatory Data</w:t>
      </w:r>
      <w:r>
        <w:rPr>
          <w:rFonts w:ascii="Times New Roman" w:cs="Times New Roman" w:eastAsia="Times New Roman" w:hAnsi="Times New Roman"/>
          <w:sz w:val="18"/>
          <w:szCs w:val="18"/>
          <w:color w:val="auto"/>
        </w:rPr>
        <w:t>” means any and all research data, pharmacology data, safety data, preclinical data, clinical data, Chemistry, Manufacturing and Controls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data that is included or referenced in a Party’s Regulatory Filings for the Licensed Compound or a Licensed Product or that was included in any other documentation submitted to Regulatory Authorities in association with Regulatory Filings and Regulatory Approvals for the Licensed Compound or a Licensed Product.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5" w:right="459" w:bottom="1440" w:gutter="0" w:footer="0" w:header="0"/>
        </w:sectPr>
      </w:pPr>
    </w:p>
    <w:bookmarkStart w:id="537" w:name="page538"/>
    <w:bookmarkEnd w:id="537"/>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1.65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means, with respect to a Licensed Product, any submission to a Regulatory Authority of any appropriate regulatory application, including, without limitation, any IND, NDA, any submission to a regulatory advisory board, any marketing authorization application, and any supplement or amendment thereto.</w:t>
      </w:r>
    </w:p>
    <w:p>
      <w:pPr>
        <w:spacing w:after="0" w:line="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Licensee’s Affiliates and any Non-Affiliate Sublicensees.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b w:val="1"/>
          <w:bCs w:val="1"/>
          <w:color w:val="auto"/>
        </w:rPr>
        <w:t>Research Tools</w:t>
      </w:r>
      <w:r>
        <w:rPr>
          <w:rFonts w:ascii="Times New Roman" w:cs="Times New Roman" w:eastAsia="Times New Roman" w:hAnsi="Times New Roman"/>
          <w:sz w:val="18"/>
          <w:szCs w:val="18"/>
          <w:color w:val="auto"/>
        </w:rPr>
        <w:t>” means [***].</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b w:val="1"/>
          <w:bCs w:val="1"/>
          <w:color w:val="auto"/>
        </w:rPr>
        <w:t>Reversion Technology</w:t>
      </w:r>
      <w:r>
        <w:rPr>
          <w:rFonts w:ascii="Times New Roman" w:cs="Times New Roman" w:eastAsia="Times New Roman" w:hAnsi="Times New Roman"/>
          <w:sz w:val="18"/>
          <w:szCs w:val="18"/>
          <w:color w:val="auto"/>
        </w:rPr>
        <w:t>” means any [***]. Notwithstanding the foregoing, “Reversion Technology” shall not include Research Tools.</w:t>
      </w:r>
    </w:p>
    <w:p>
      <w:pPr>
        <w:spacing w:after="0" w:line="117" w:lineRule="exact"/>
        <w:rPr>
          <w:sz w:val="20"/>
          <w:szCs w:val="20"/>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color w:val="auto"/>
        </w:rPr>
        <w:t>1.69 “</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means, with respect to each Licensed Product in each country, the period commencing on the First Commercial Sale of such Licensed Product in such country and continuing until the latest to occur of (i) expiration of the last Valid Claim of a Licensed Patent Right Covering</w:t>
      </w:r>
    </w:p>
    <w:p>
      <w:pPr>
        <w:spacing w:after="0" w:line="1" w:lineRule="exact"/>
        <w:rPr>
          <w:sz w:val="20"/>
          <w:szCs w:val="20"/>
          <w:color w:val="auto"/>
        </w:rPr>
      </w:pPr>
    </w:p>
    <w:p>
      <w:pPr>
        <w:ind w:left="4" w:right="540" w:hanging="4"/>
        <w:spacing w:after="0" w:line="260" w:lineRule="auto"/>
        <w:tabs>
          <w:tab w:leader="none" w:pos="439"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Licensed Product in such country, (ii) the expiration of the applicable period of regulatory-based market exclusivity for such Licensed Product in such country, or (iii) ten years following the date of the First Commercial Sale of such Licensed Product in such county.</w:t>
      </w:r>
    </w:p>
    <w:p>
      <w:pPr>
        <w:spacing w:after="0" w:line="69"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b w:val="1"/>
          <w:bCs w:val="1"/>
          <w:color w:val="auto"/>
        </w:rPr>
        <w:t>Stock Subscription Agreement</w:t>
      </w:r>
      <w:r>
        <w:rPr>
          <w:rFonts w:ascii="Times New Roman" w:cs="Times New Roman" w:eastAsia="Times New Roman" w:hAnsi="Times New Roman"/>
          <w:sz w:val="18"/>
          <w:szCs w:val="18"/>
          <w:color w:val="auto"/>
        </w:rPr>
        <w:t xml:space="preserve">” means a Stock Subscription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entered into by and between Licensee and Licensor in connection with the issuance of equity securities by Licensee under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means the term of this Agreement as provided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 excluding Japan.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any of its Affiliates.</w:t>
      </w:r>
    </w:p>
    <w:p>
      <w:pPr>
        <w:spacing w:after="0" w:line="117" w:lineRule="exact"/>
        <w:rPr>
          <w:sz w:val="20"/>
          <w:szCs w:val="20"/>
          <w:color w:val="auto"/>
        </w:rPr>
      </w:pPr>
    </w:p>
    <w:p>
      <w:pPr>
        <w:ind w:left="4" w:right="160" w:firstLine="440"/>
        <w:spacing w:after="0" w:line="317" w:lineRule="auto"/>
        <w:rPr>
          <w:sz w:val="20"/>
          <w:szCs w:val="20"/>
          <w:color w:val="auto"/>
        </w:rPr>
      </w:pPr>
      <w:r>
        <w:rPr>
          <w:rFonts w:ascii="Times New Roman" w:cs="Times New Roman" w:eastAsia="Times New Roman" w:hAnsi="Times New Roman"/>
          <w:sz w:val="17"/>
          <w:szCs w:val="17"/>
          <w:color w:val="auto"/>
        </w:rPr>
        <w:t>1.75 “</w:t>
      </w:r>
      <w:r>
        <w:rPr>
          <w:rFonts w:ascii="Times New Roman" w:cs="Times New Roman" w:eastAsia="Times New Roman" w:hAnsi="Times New Roman"/>
          <w:sz w:val="17"/>
          <w:szCs w:val="17"/>
          <w:b w:val="1"/>
          <w:bCs w:val="1"/>
          <w:color w:val="auto"/>
        </w:rPr>
        <w:t>Trademark</w:t>
      </w:r>
      <w:r>
        <w:rPr>
          <w:rFonts w:ascii="Times New Roman" w:cs="Times New Roman" w:eastAsia="Times New Roman" w:hAnsi="Times New Roman"/>
          <w:sz w:val="17"/>
          <w:szCs w:val="17"/>
          <w:color w:val="auto"/>
        </w:rPr>
        <w:t>” means any word, name, symbol, color, designation or device or any combination thereof that functions as a source identifier, including any trademark, trade dress, brand mark, service mark, trade name, brand name, logo or business symbol, whether or not registered.</w:t>
      </w:r>
    </w:p>
    <w:p>
      <w:pPr>
        <w:spacing w:after="0" w:line="24"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 total value of all cash, securities, bonds, other property and any other consideration paid or payable, directly or indirectly, to Licensee, its Affiliate or holders of its securities (other than Licensor) in connection with such Transaction, excluding any of the following: [***].</w:t>
      </w:r>
    </w:p>
    <w:p>
      <w:pPr>
        <w:spacing w:after="0" w:line="63"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Transferred Materials</w:t>
      </w:r>
      <w:r>
        <w:rPr>
          <w:rFonts w:ascii="Times New Roman" w:cs="Times New Roman" w:eastAsia="Times New Roman" w:hAnsi="Times New Roman"/>
          <w:sz w:val="18"/>
          <w:szCs w:val="18"/>
          <w:color w:val="auto"/>
        </w:rPr>
        <w:t>” means (a) Licensed Compound and Licensed Product, (b) the starting materials and intermediates for synthesis of Licensed Compound and Licensed Product, and (c) reference standards (Licensed Compound and impurities).</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b w:val="1"/>
          <w:bCs w:val="1"/>
          <w:color w:val="auto"/>
        </w:rPr>
        <w:t>Transferred Quantities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right="160" w:firstLine="987"/>
        <w:spacing w:after="0" w:line="286" w:lineRule="auto"/>
        <w:tabs>
          <w:tab w:leader="none" w:pos="12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Materials existing as of the Effective Date identified in Schedule 1.78(a) in the quantities specified therein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Quantities</w:t>
      </w:r>
      <w:r>
        <w:rPr>
          <w:rFonts w:ascii="Times New Roman" w:cs="Times New Roman" w:eastAsia="Times New Roman" w:hAnsi="Times New Roman"/>
          <w:sz w:val="18"/>
          <w:szCs w:val="18"/>
          <w:color w:val="auto"/>
        </w:rPr>
        <w:t>”), and</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5" w:right="459" w:bottom="1440" w:gutter="0" w:footer="0" w:header="0"/>
        </w:sectPr>
      </w:pPr>
    </w:p>
    <w:bookmarkStart w:id="538" w:name="page539"/>
    <w:bookmarkEnd w:id="538"/>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an allocation of the additional quantities of the Transferred Materials [***], as provided in </w:t>
      </w:r>
      <w:r>
        <w:rPr>
          <w:rFonts w:ascii="Times New Roman" w:cs="Times New Roman" w:eastAsia="Times New Roman" w:hAnsi="Times New Roman"/>
          <w:sz w:val="18"/>
          <w:szCs w:val="18"/>
          <w:u w:val="single" w:color="auto"/>
          <w:color w:val="auto"/>
        </w:rPr>
        <w:t>Schedule 1.78(b)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Additional</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Quantities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4" w:right="240" w:firstLine="440"/>
        <w:spacing w:after="0" w:line="274" w:lineRule="auto"/>
        <w:rPr>
          <w:sz w:val="20"/>
          <w:szCs w:val="20"/>
          <w:color w:val="auto"/>
        </w:rPr>
      </w:pPr>
      <w:r>
        <w:rPr>
          <w:rFonts w:ascii="Times New Roman" w:cs="Times New Roman" w:eastAsia="Times New Roman" w:hAnsi="Times New Roman"/>
          <w:sz w:val="17"/>
          <w:szCs w:val="17"/>
          <w:color w:val="auto"/>
        </w:rPr>
        <w:t>1.79 “</w:t>
      </w:r>
      <w:r>
        <w:rPr>
          <w:rFonts w:ascii="Times New Roman" w:cs="Times New Roman" w:eastAsia="Times New Roman" w:hAnsi="Times New Roman"/>
          <w:sz w:val="17"/>
          <w:szCs w:val="17"/>
          <w:b w:val="1"/>
          <w:bCs w:val="1"/>
          <w:color w:val="auto"/>
        </w:rPr>
        <w:t>Valid Claim</w:t>
      </w:r>
      <w:r>
        <w:rPr>
          <w:rFonts w:ascii="Times New Roman" w:cs="Times New Roman" w:eastAsia="Times New Roman" w:hAnsi="Times New Roman"/>
          <w:sz w:val="17"/>
          <w:szCs w:val="17"/>
          <w:color w:val="auto"/>
        </w:rPr>
        <w:t>” means (a) an issued and unexpired claim of any patent within the Licensed Patent Rights that has not been (i) permanently revoked, nor held unenforceable, unpatentable or invalid by a decision of a court or other governmental agency of competent jurisdiction that is unappealable or unappealed within the time allowed for appeal, (ii) disclaimed or rendered unenforceable through disclaimer or otherwise, or</w:t>
      </w:r>
    </w:p>
    <w:p>
      <w:pPr>
        <w:spacing w:after="0" w:line="1" w:lineRule="exact"/>
        <w:rPr>
          <w:sz w:val="20"/>
          <w:szCs w:val="20"/>
          <w:color w:val="auto"/>
        </w:rPr>
      </w:pPr>
    </w:p>
    <w:p>
      <w:pPr>
        <w:ind w:left="4" w:right="120" w:hanging="4"/>
        <w:spacing w:after="0" w:line="253" w:lineRule="auto"/>
        <w:tabs>
          <w:tab w:leader="none" w:pos="319"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or (b) a pending claim of any patent application within the Licensed Patent Rights that has not been abandoned or finally rejected without the possibility of appeal or refiling or without such appeal having been taken or refiling having been made within the applicable time so allowed; provided that, [***], a claim that, [***], has been pending for longer than [***] from the date of issuance of the first substantive patent office action considering patentability of such claim by the relevant patent office in the country or territory in which such claim is pending shall cease to be considered a Valid Claim upon such [***] unless and until such claim becomes the claim of an issued patent pursuant to clause (a) above.</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1.80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Each of the following definitions is set forth in the section of this Agreement indicated below: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Definition</w:t>
            </w:r>
          </w:p>
        </w:tc>
        <w:tc>
          <w:tcPr>
            <w:tcW w:w="64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Section</w:t>
            </w:r>
          </w:p>
        </w:tc>
        <w:tc>
          <w:tcPr>
            <w:tcW w:w="420" w:type="dxa"/>
            <w:vAlign w:val="bottom"/>
          </w:tcPr>
          <w:p>
            <w:pPr>
              <w:spacing w:after="0"/>
              <w:rPr>
                <w:sz w:val="15"/>
                <w:szCs w:val="15"/>
                <w:color w:val="auto"/>
              </w:rPr>
            </w:pPr>
          </w:p>
        </w:tc>
      </w:tr>
      <w:tr>
        <w:trPr>
          <w:trHeight w:val="311"/>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64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12.11(b)(i)</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Quantities</w:t>
            </w:r>
          </w:p>
        </w:tc>
        <w:tc>
          <w:tcPr>
            <w:tcW w:w="6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1.78(b)</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Associated Patent Rights</w:t>
            </w:r>
          </w:p>
        </w:tc>
        <w:tc>
          <w:tcPr>
            <w:tcW w:w="7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Blocking Patent</w:t>
            </w:r>
          </w:p>
        </w:tc>
        <w:tc>
          <w:tcPr>
            <w:tcW w:w="6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6.4(d)</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Share Threshold</w:t>
            </w:r>
          </w:p>
        </w:tc>
        <w:tc>
          <w:tcPr>
            <w:tcW w:w="6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4.9(e)</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Threshold Financing</w:t>
            </w:r>
          </w:p>
        </w:tc>
        <w:tc>
          <w:tcPr>
            <w:tcW w:w="6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4.9(e)</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CMC</w:t>
            </w:r>
          </w:p>
        </w:tc>
        <w:tc>
          <w:tcPr>
            <w:tcW w:w="7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1.64</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Dispute</w:t>
            </w:r>
          </w:p>
        </w:tc>
        <w:tc>
          <w:tcPr>
            <w:tcW w:w="7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Contracting Party</w:t>
            </w:r>
          </w:p>
        </w:tc>
        <w:tc>
          <w:tcPr>
            <w:tcW w:w="6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5.2(b)</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Defending Party</w:t>
            </w:r>
          </w:p>
        </w:tc>
        <w:tc>
          <w:tcPr>
            <w:tcW w:w="7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Denied Parties Lists</w:t>
            </w:r>
          </w:p>
        </w:tc>
        <w:tc>
          <w:tcPr>
            <w:tcW w:w="6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12.12(a)(ii)</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7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Documents</w:t>
            </w:r>
          </w:p>
        </w:tc>
        <w:tc>
          <w:tcPr>
            <w:tcW w:w="7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Quantities</w:t>
            </w:r>
          </w:p>
        </w:tc>
        <w:tc>
          <w:tcPr>
            <w:tcW w:w="6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1.78(a)</w:t>
            </w:r>
          </w:p>
        </w:tc>
      </w:tr>
      <w:tr>
        <w:trPr>
          <w:trHeight w:val="364"/>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40" w:type="dxa"/>
            <w:vAlign w:val="bottom"/>
          </w:tcPr>
          <w:p>
            <w:pPr>
              <w:jc w:val="right"/>
              <w:ind w:right="433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4"/>
          </w:cols>
          <w:pgMar w:left="436" w:top="265" w:right="499" w:bottom="1440" w:gutter="0" w:footer="0" w:header="0"/>
        </w:sectPr>
      </w:pPr>
    </w:p>
    <w:bookmarkStart w:id="539" w:name="page540"/>
    <w:bookmarkEnd w:id="5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FFDCA</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1.49</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Infringement Actions</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Infringing Product</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7.3(a)</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IOI</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4.9(b)</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Japan Development Plan</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4.8(b)</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Japan Licensee</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Joint Inventions</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Joint Patent Rights</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JSC</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JSC Member</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Licensee Indemnitees</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Licensor Indemnitees</w:t>
            </w:r>
          </w:p>
        </w:tc>
        <w:tc>
          <w:tcPr>
            <w:tcW w:w="6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Licensor Regulatory Filings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4.3(a)(ii)</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Technology Transfer Plan</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5.3(a)</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Officials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12.12(b)(i)</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12.12(b)(i)</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Product Materials</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5.2(a)</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Prosecuting Party</w:t>
            </w:r>
          </w:p>
        </w:tc>
        <w:tc>
          <w:tcPr>
            <w:tcW w:w="6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7.2(f)</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Publication</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8.4(a)</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Publishing Party</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8.4(a)</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Qualified CMO Supply Agreement</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5.2(b)</w:t>
            </w:r>
          </w:p>
        </w:tc>
      </w:tr>
      <w:tr>
        <w:trPr>
          <w:trHeight w:val="32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Receiving Party</w:t>
            </w:r>
          </w:p>
        </w:tc>
        <w:tc>
          <w:tcPr>
            <w:tcW w:w="6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2.8(a)</w:t>
            </w:r>
          </w:p>
        </w:tc>
      </w:tr>
      <w:tr>
        <w:trPr>
          <w:trHeight w:val="365"/>
        </w:trPr>
        <w:tc>
          <w:tcPr>
            <w:tcW w:w="4160" w:type="dxa"/>
            <w:vAlign w:val="bottom"/>
          </w:tcPr>
          <w:p>
            <w:pPr>
              <w:spacing w:after="0"/>
              <w:rPr>
                <w:sz w:val="24"/>
                <w:szCs w:val="24"/>
                <w:color w:val="auto"/>
              </w:rPr>
            </w:pPr>
          </w:p>
        </w:tc>
        <w:tc>
          <w:tcPr>
            <w:tcW w:w="6800" w:type="dxa"/>
            <w:vAlign w:val="bottom"/>
          </w:tcPr>
          <w:p>
            <w:pPr>
              <w:jc w:val="right"/>
              <w:ind w:right="521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0960"/>
          </w:cols>
          <w:pgMar w:left="440" w:top="269" w:right="499" w:bottom="1440" w:gutter="0" w:footer="0" w:header="0"/>
        </w:sectPr>
      </w:pPr>
    </w:p>
    <w:bookmarkStart w:id="540" w:name="page541"/>
    <w:bookmarkEnd w:id="5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Reversion License</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11.5(e)</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Right of Negotiation or RON</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4.9(b)</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SEC Filing</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8.5(d)</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Selling Party</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6.4(g)</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Executive(s)</w:t>
            </w:r>
          </w:p>
        </w:tc>
        <w:tc>
          <w:tcPr>
            <w:tcW w:w="4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4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Claim</w:t>
            </w:r>
          </w:p>
        </w:tc>
        <w:tc>
          <w:tcPr>
            <w:tcW w:w="4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Third Party Technology Notice</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11.5(e)</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4.9(a)</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Notice</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4.9(a)</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Revenue Sharing</w:t>
            </w:r>
          </w:p>
        </w:tc>
        <w:tc>
          <w:tcPr>
            <w:tcW w:w="4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6.5(a)</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Wind-down Period</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11.5(d)(i)(B)</w:t>
            </w: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License; Right of Reference; Technology Transfer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License.</w:t>
      </w:r>
    </w:p>
    <w:p>
      <w:pPr>
        <w:spacing w:after="0" w:line="117" w:lineRule="exact"/>
        <w:rPr>
          <w:sz w:val="20"/>
          <w:szCs w:val="20"/>
          <w:color w:val="auto"/>
        </w:rPr>
      </w:pPr>
    </w:p>
    <w:p>
      <w:pPr>
        <w:ind w:right="20" w:firstLine="987"/>
        <w:spacing w:after="0" w:line="261" w:lineRule="auto"/>
        <w:tabs>
          <w:tab w:leader="none" w:pos="123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License</w:t>
      </w:r>
      <w:r>
        <w:rPr>
          <w:rFonts w:ascii="Times New Roman" w:cs="Times New Roman" w:eastAsia="Times New Roman" w:hAnsi="Times New Roman"/>
          <w:sz w:val="18"/>
          <w:szCs w:val="18"/>
          <w:color w:val="auto"/>
        </w:rPr>
        <w:t xml:space="preserve">. Subject to the terms and conditions of this Agreement including Licensor’s rights under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Licensor hereby grants to Licensee a worldwide, exclusive license under the Licensed IP, with the right to grant sublicenses through multiple tiers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to Develop and have Developed (and to use and have used for such purposes) the Licensed Compound and the Licensed Product solely for purposes of obtaining Regulatory Approval for use of the Licensed Product in the Field in the Territory.</w:t>
      </w:r>
    </w:p>
    <w:p>
      <w:pPr>
        <w:spacing w:after="0" w:line="7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 License</w:t>
      </w:r>
      <w:r>
        <w:rPr>
          <w:rFonts w:ascii="Times New Roman" w:cs="Times New Roman" w:eastAsia="Times New Roman" w:hAnsi="Times New Roman"/>
          <w:sz w:val="18"/>
          <w:szCs w:val="18"/>
          <w:color w:val="auto"/>
        </w:rPr>
        <w:t xml:space="preserve">. Subject to the terms and conditions of this Agreement including Licensor’s rights under Section 2.1(e), Licensor hereby grants to Licensee a worldwide, exclusive license under the Licensed IP, with the right to grant sublicenses through multiple tiers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to (i) Manufacture the Licensed Compound, and (ii) Manufacture and package Licensed Product for use in accordance with the rights and license granted to Licensee under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9" w:right="459" w:bottom="1440" w:gutter="0" w:footer="0" w:header="0"/>
        </w:sectPr>
      </w:pPr>
    </w:p>
    <w:bookmarkStart w:id="541" w:name="page542"/>
    <w:bookmarkEnd w:id="541"/>
    <w:p>
      <w:pPr>
        <w:ind w:right="120" w:firstLine="987"/>
        <w:spacing w:after="0" w:line="261" w:lineRule="auto"/>
        <w:tabs>
          <w:tab w:leader="none" w:pos="123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Commercialization License</w:t>
      </w:r>
      <w:r>
        <w:rPr>
          <w:rFonts w:ascii="Times New Roman" w:cs="Times New Roman" w:eastAsia="Times New Roman" w:hAnsi="Times New Roman"/>
          <w:sz w:val="18"/>
          <w:szCs w:val="18"/>
          <w:color w:val="auto"/>
        </w:rPr>
        <w:t xml:space="preserve">. Subject to the terms and conditions of this Agreement, Licensor hereby grants to Licensee an exclusive (even as to Licensor and its Affiliates), milestone and royalty bearing license under the Licensed IP, with the right to grant sublicenses through multiple tiers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to Commercialize and have Commercialized (and to use and have used for such purposes), itself and through its Affiliates and Third Parties, in each case solely in the Field in the Territory.</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Royalty Term with respect to a Licensed Product in a country, Licensee’s licenses to the Licensed</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Know-How under </w:t>
      </w:r>
      <w:r>
        <w:rPr>
          <w:rFonts w:ascii="Times New Roman" w:cs="Times New Roman" w:eastAsia="Times New Roman" w:hAnsi="Times New Roman"/>
          <w:sz w:val="18"/>
          <w:szCs w:val="18"/>
          <w:u w:val="single" w:color="auto"/>
          <w:color w:val="auto"/>
        </w:rPr>
        <w:t>Sections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shall survive on an exclusive basis and shall become perpetual, irrevocable, non-terminable, fully-paid up and royalty-free with respect to such Licensed Product in such country.</w:t>
      </w:r>
    </w:p>
    <w:p>
      <w:pPr>
        <w:spacing w:after="0" w:line="73" w:lineRule="exact"/>
        <w:rPr>
          <w:sz w:val="20"/>
          <w:szCs w:val="20"/>
          <w:color w:val="auto"/>
        </w:rPr>
      </w:pPr>
    </w:p>
    <w:p>
      <w:pPr>
        <w:ind w:left="1240" w:hanging="253"/>
        <w:spacing w:after="0"/>
        <w:tabs>
          <w:tab w:leader="none" w:pos="12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Clarifications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60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it is understood that the foregoing licenses do not include the right to modify the Licensed Compound and Licensee agrees that it shall not, and shall require that Related Parties do not, modify the Licensed Compound, except in each case by [***].</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5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it is understood that Licensor retains the right to (A) manufacture the Licensed Compound and/or Licensed Product in the Territory for use and/or sale outside the Territory; and (B) subject to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below, perform Development of the Licensed Compound and/or Licensed Product in countries of the Territory for purposes of obtaining Regulatory Approval for use of the Licensed Product outside the Territory.</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Rights of Reference and 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Licensee Right of Reference and Access</w:t>
      </w:r>
      <w:r>
        <w:rPr>
          <w:rFonts w:ascii="Times New Roman" w:cs="Times New Roman" w:eastAsia="Times New Roman" w:hAnsi="Times New Roman"/>
          <w:sz w:val="18"/>
          <w:szCs w:val="18"/>
          <w:color w:val="auto"/>
        </w:rPr>
        <w:t>. Subject to the terms of this Agreement, Licensor hereby grants Licensee access to, and a “Right of Reference,” as that term is defined in 21 C.F.R. § 314.3(b) in the United States, or an equivalent right of access/reference in any other country or region, with respect to: (i) Licensor’s and Associated Parties’ Regulatory Filings and Regulatory Approvals and all related documentation (including official minutes of meetings and other correspondence related thereto), and (ii) all Regulatory Data relating to such Regulatory Filings and Regulatory Approvals in (i) above (including safety data and CMC data contained or referenced in any Regulatory Filings), in each case ((i) and (ii)), (A) associated with the Licensed Compound or Licensed Product in the Field and (B) for the sole purpose of Developing, Manufacturing, seeking and securing Regulatory Approval for, Commercializing, and otherwise exploiting Licensed Products in the Field in the Territory. For clarity (1) Licensee shall have the right to extend the foregoing Right of Reference and right of access to its Affiliates and Sublicensees, and (2) the foregoing right of access shall also include the right of Licensee (and its Affiliates and Sublicensees) to include the accessed Regulatory Data in its Regulatory Filings for Licensed Product. Upon request by Licensee, Licensor (or its Associated Party, as applicable) shall provide Licensee with a signed statement affirming the foregoing Right of Reference in accordance with 21 C.F.R. § 314.50(g)(3) or the equivalent as required in any country or region, or otherwise provide appropriate notification of such right of Licensee to the applicable Regulatory Authority.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9" w:right="439" w:bottom="1440" w:gutter="0" w:footer="0" w:header="0"/>
        </w:sectPr>
      </w:pPr>
    </w:p>
    <w:bookmarkStart w:id="542" w:name="page543"/>
    <w:bookmarkEnd w:id="542"/>
    <w:p>
      <w:pPr>
        <w:ind w:left="4" w:right="40" w:firstLine="987"/>
        <w:spacing w:after="0" w:line="253" w:lineRule="auto"/>
        <w:tabs>
          <w:tab w:leader="none" w:pos="125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Licensor Right of Reference and Access</w:t>
      </w:r>
      <w:r>
        <w:rPr>
          <w:rFonts w:ascii="Times New Roman" w:cs="Times New Roman" w:eastAsia="Times New Roman" w:hAnsi="Times New Roman"/>
          <w:sz w:val="18"/>
          <w:szCs w:val="18"/>
          <w:color w:val="auto"/>
        </w:rPr>
        <w:t>. Subject to the terms of this Agreement, Licensee hereby grants Licensor access to, and a “Right of Reference,” as that term is defined in 21 C.F.R. § 314.3(b) in the United States, or an equivalent right of access/reference in any other country or region, with respect to: (i) Licensee’s and any Related Party’s Regulatory Filings and Regulatory Approvals and all related documentation (including official minutes of meetings and other correspondence related thereto), and (ii) all Regulatory Data relating to such Regulatory Filings and Regulatory Approvals in (i) above (including safety data and CMC data contained or referenced in any Regulatory Filings), in each case ((i) and (ii)), (x) associated with the Licensed Compound or Licensed Product in the Field and (y) for the sole purpose of Developing, Manufacturing, seeking and securing Regulatory Approval for, Commercializing, and otherwise exploiting Licensed Products outside of the Territory. For clarity (1) Licensor shall have the right to extend the foregoing Right of Reference and right of access to Associated Parties, and (2) the foregoing right of access shall also include the right of Licensor (and Associated Parties) to include the accessed Regulatory Data in its Regulatory Filings for Licensed Product. Upon request by Licensor, Licensee (or the applicable Related Party) shall provide Licensor with a signed statement affirming the foregoing Right of Reference in accordance with 21 C.F.R. § 314.50(g)(3) or the equivalent as required in any country or region, or otherwise provide appropriate notification of such right of Licensor to the applicable Regulatory Authority.</w:t>
      </w:r>
    </w:p>
    <w:p>
      <w:pPr>
        <w:spacing w:after="0" w:line="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72" w:lineRule="auto"/>
        <w:tabs>
          <w:tab w:leader="none" w:pos="1240" w:val="left"/>
        </w:tabs>
        <w:numPr>
          <w:ilvl w:val="1"/>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of this Agreement including Licensor’s Right of Negotiation under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Licensee shall have the right to grant sublicenses under the license granted to it under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 and to grant other rights to the Licensed Compound or Licensed Product, in each case to Affiliates and Third Parties through multiple tiers (each, a “</w:t>
      </w:r>
      <w:r>
        <w:rPr>
          <w:rFonts w:ascii="Times New Roman" w:cs="Times New Roman" w:eastAsia="Times New Roman" w:hAnsi="Times New Roman"/>
          <w:sz w:val="17"/>
          <w:szCs w:val="17"/>
          <w:b w:val="1"/>
          <w:bCs w:val="1"/>
          <w:color w:val="auto"/>
        </w:rPr>
        <w:t>Sublicensee</w:t>
      </w:r>
      <w:r>
        <w:rPr>
          <w:rFonts w:ascii="Times New Roman" w:cs="Times New Roman" w:eastAsia="Times New Roman" w:hAnsi="Times New Roman"/>
          <w:sz w:val="17"/>
          <w:szCs w:val="17"/>
          <w:color w:val="auto"/>
        </w:rPr>
        <w:t>”); provided that [***]. Notwithstanding the foregoing,</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customary Third Party wholesaler or distributor who does not market or promote a Licensed Product, and (ii) a Third Party contract sales force that details or promotes (but does not book sales of or distribute) a Licensed Product, and where in each of cases (i) and (ii) the Licensed Product is sold under the brand of Licensee or a Related Party (and not a brand of the wholesaler, distributor or contract sales force), shall not be deemed a “Sublicensee” for purposes of this Agreement and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shall not prevent Licensee or its Sublicensees from granting to such wholesalers, distributors and contract sales force rights to conduct such activities with respect to the Licensed Product. Licensee shall ensure that each such Sublicensee is bound by a written agreement, and in the case of any such sublicense granted to a Qualified Sublicensee, that an executed copy of such agreement (as well as an executed copy of any subsequent material amendments thereto), shall be provided to Licensor promptly following the execution of each such agreement or amendment, [***]. Licensee shall also ensure that each Sublicensee expressly agrees in writing to be bound by all of Licensee’s obligations under this Agreement to the extent applicable to such Sublicensee, including without limitation, the following provisions of this Agreement (as if such Sublicensee were expressly named in each such provision, to the extent Sublicensees are not so named therein):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2.2(b)</w:t>
      </w:r>
      <w:r>
        <w:rPr>
          <w:rFonts w:ascii="Times New Roman" w:cs="Times New Roman" w:eastAsia="Times New Roman" w:hAnsi="Times New Roman"/>
          <w:sz w:val="18"/>
          <w:szCs w:val="18"/>
          <w:color w:val="auto"/>
        </w:rPr>
        <w:t xml:space="preserve"> (Licensor Right of Reference and Access);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(Subcontractors),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(Improvements),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(Third Party Technologies);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(Exclusivity of Efforts); </w:t>
      </w:r>
      <w:r>
        <w:rPr>
          <w:rFonts w:ascii="Times New Roman" w:cs="Times New Roman" w:eastAsia="Times New Roman" w:hAnsi="Times New Roman"/>
          <w:sz w:val="18"/>
          <w:szCs w:val="18"/>
          <w:u w:val="single" w:color="auto"/>
          <w:color w:val="auto"/>
        </w:rPr>
        <w:t>4.3(b)</w:t>
      </w:r>
      <w:r>
        <w:rPr>
          <w:rFonts w:ascii="Times New Roman" w:cs="Times New Roman" w:eastAsia="Times New Roman" w:hAnsi="Times New Roman"/>
          <w:sz w:val="18"/>
          <w:szCs w:val="18"/>
          <w:color w:val="auto"/>
        </w:rPr>
        <w:t xml:space="preserve"> (Regulatory Cooperation in the Territory), </w:t>
      </w:r>
      <w:r>
        <w:rPr>
          <w:rFonts w:ascii="Times New Roman" w:cs="Times New Roman" w:eastAsia="Times New Roman" w:hAnsi="Times New Roman"/>
          <w:sz w:val="18"/>
          <w:szCs w:val="18"/>
          <w:u w:val="single" w:color="auto"/>
          <w:color w:val="auto"/>
        </w:rPr>
        <w:t>4.4(b)</w:t>
      </w:r>
      <w:r>
        <w:rPr>
          <w:rFonts w:ascii="Times New Roman" w:cs="Times New Roman" w:eastAsia="Times New Roman" w:hAnsi="Times New Roman"/>
          <w:sz w:val="18"/>
          <w:szCs w:val="18"/>
          <w:color w:val="auto"/>
        </w:rPr>
        <w:t xml:space="preserve"> (Clinical Trials by Licensee Outside the Territory);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(Responsibility for Supply), but only if such Sublicensee is or has a right to be a Contracting Party; 5.4 (Licensor’s Right to Take Supply of Product Materials from Qualified CMOs), but only if such Sublicensee is or has a right to be a Contracting Party or manufacture the Licensed Product;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(Patent Marking) and </w:t>
      </w:r>
      <w:r>
        <w:rPr>
          <w:rFonts w:ascii="Times New Roman" w:cs="Times New Roman" w:eastAsia="Times New Roman" w:hAnsi="Times New Roman"/>
          <w:sz w:val="18"/>
          <w:szCs w:val="18"/>
          <w:u w:val="single" w:color="auto"/>
          <w:color w:val="auto"/>
        </w:rPr>
        <w:t>11.5(d)</w:t>
      </w:r>
      <w:r>
        <w:rPr>
          <w:rFonts w:ascii="Times New Roman" w:cs="Times New Roman" w:eastAsia="Times New Roman" w:hAnsi="Times New Roman"/>
          <w:sz w:val="18"/>
          <w:szCs w:val="18"/>
          <w:color w:val="auto"/>
        </w:rPr>
        <w:t xml:space="preserve"> (transition obligations on termination). Finally,</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9" w:right="479" w:bottom="1440" w:gutter="0" w:footer="0" w:header="0"/>
        </w:sectPr>
      </w:pPr>
    </w:p>
    <w:bookmarkStart w:id="543" w:name="page544"/>
    <w:bookmarkEnd w:id="54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Licensee shall ensure that it Controls: (A) all Know-How developed by or on behalf of any Related Parties who have been granted rights to develop or commercialize the Licensed Product in a Major Market of the Territory in the course of such Related Parties’ Development, Manufacture and/or Commercialization of the Licensed Compound or Licensed Product (excluding Research Tools, which shall not be subject to the obligations set forth in this subsection (A)), in each case to the extent such Know-How: (1) is reasonably necessary for Licensor’s Development, Manufacture, Commercialization or other exploitation of the Licensed Compounds or Licensed Products outside the Territory, or (2) was actually used by Licensee or Related Parties in their Development, Manufacture, Commercialization or other exploitation of the Licensed Compounds or Licensed Products in the Territory, and (B) all Patent Rights and other intellectual property rights Controlled by such Related Parties that are directed to the Know-How described in subsection (A) above. Licensee shall not grant sublicenses or appoint sublicensees other than in accordance with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shall in all cases remain responsible for any actions of its Sublicensees exercising rights under a sublicense of the rights granted by Licensor to Licensee under this Agreement to the same extent as if such actions had been taken by Licensee itself.</w:t>
      </w:r>
    </w:p>
    <w:p>
      <w:pPr>
        <w:spacing w:after="0" w:line="86" w:lineRule="exact"/>
        <w:rPr>
          <w:sz w:val="20"/>
          <w:szCs w:val="20"/>
          <w:color w:val="auto"/>
        </w:rPr>
      </w:pPr>
    </w:p>
    <w:p>
      <w:pPr>
        <w:ind w:left="4" w:right="60" w:firstLine="987"/>
        <w:spacing w:after="0" w:line="272" w:lineRule="auto"/>
        <w:tabs>
          <w:tab w:leader="none" w:pos="1250" w:val="left"/>
        </w:tabs>
        <w:numPr>
          <w:ilvl w:val="1"/>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terminated for any reason other than by Licensee pursuant to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(Termination for Convenience), Licensee’s then-existing direct Sublicensees shall [***], upon written request of such Sublicensee to be submitted to Licensor no later than [***] following the termination of this Agreement, to [***] and [***] under the applicable sublicense agreement [***]; provided, however, that: (i) [***] and</w:t>
      </w:r>
    </w:p>
    <w:p>
      <w:pPr>
        <w:spacing w:after="0" w:line="1" w:lineRule="exact"/>
        <w:rPr>
          <w:rFonts w:ascii="Times New Roman" w:cs="Times New Roman" w:eastAsia="Times New Roman" w:hAnsi="Times New Roman"/>
          <w:sz w:val="17"/>
          <w:szCs w:val="17"/>
          <w:color w:val="auto"/>
        </w:rPr>
      </w:pPr>
    </w:p>
    <w:p>
      <w:pPr>
        <w:ind w:left="4" w:right="120" w:hanging="4"/>
        <w:spacing w:after="0" w:line="255" w:lineRule="auto"/>
        <w:tabs>
          <w:tab w:leader="none" w:pos="269"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Upon request by Licensor or the [***], Licensor and the Sublicensee will [***] a separate agreement (i.e., as a direct license from Licensor), consistent with the foregoing. As used herein, [***] means [***]. Notwithstanding the foregoing, the following Sublicensees shall not be eligible to become [***] (and shall not be entitled to the benefits of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w:t>
      </w:r>
    </w:p>
    <w:p>
      <w:pPr>
        <w:spacing w:after="0" w:line="78"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Licensee may exercise or perform, or have exercised or performed on its behalf, some or all of its rights or obligations under this Agreement by one or more of Licensee’s Affiliates. Licensee shall be responsible for each of its Affiliates’ complying with all obligations of Licensee under this Agreement.</w:t>
      </w:r>
    </w:p>
    <w:p>
      <w:pPr>
        <w:spacing w:after="0" w:line="68"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xml:space="preserve">. Licensee may exercise or perform some or all of its rights or obligations under this Agreement by subcontracting the exercise or performance of all or any portion of such rights and obligations on Licensee’s behalf, including to Third Party CMOs and CROs, provided that Licensee shall be responsible for each of its subcontractors complying with all obligations of Licensee under this Agreement. Without limiting the foregoing, Licensee further agrees that (a) subcontracting shall not relieve Licensee of any obligations under this Agreement (except to the extent satisfactorily performed by such subcontractor), and Licensee shall remain responsible for the performance of such activities in accordance with this Agreement and the Development Plan, and (b) any agreement pursuant to which Licensee engages a subcontractor must (i) be consistent with this Agreement and (ii) contain terms obligating such subcontractor to: (A) comply with confidentiality provisions that are at least as restrictive as those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and (B) provide Licensee with substantially the same rights with respect to any Patents and other intellectual property arising from the performance of the subcontracted obligation as Licensee would have under this Agreement if such Patents or other intellectual property had arisen from the performance of such obligation by Licensee.</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9" w:right="479" w:bottom="1440" w:gutter="0" w:footer="0" w:header="0"/>
        </w:sectPr>
      </w:pPr>
    </w:p>
    <w:bookmarkStart w:id="544" w:name="page545"/>
    <w:bookmarkEnd w:id="544"/>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Technology Transfer</w:t>
      </w:r>
      <w:r>
        <w:rPr>
          <w:rFonts w:ascii="Times New Roman" w:cs="Times New Roman" w:eastAsia="Times New Roman" w:hAnsi="Times New Roman"/>
          <w:sz w:val="18"/>
          <w:szCs w:val="18"/>
          <w:color w:val="auto"/>
        </w:rPr>
        <w:t xml:space="preserve">. Promptly following the Effective Date, Licensor will convey or otherwise make available to Licensee the Licensed Know-How in Licensor’s Control as of the Effective Date, other than the Licensed Know-How relating to Manufacture of the Licensed Product, transfer of which shall be in accordance with the Manufacturing Technology Transfer Plan as further described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 Licensed Know-How to be made available to Licensee in the initial transfer is listed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Following the initial transfer, Licensor will from time to time promptly make available to Licensee any additional Licensed Know-How developed by Licensee after the Effective Date. It is understood all Licensed Know-How shall be made available to Licensee in the language in which it was created (i.e., without translation), unless Licensor has previously had English translations of such Licensed Know-How made, in which case such translations shall also be provided if in Licensor’s possession. Notwithstanding the foregoing, if an English translation of any such Licensed Know-How does not exist, upon Licensee’s written request, Licensor will provide Licensee with a brief summary of such Licensed Know-How in English. Licensee will provide reasonable support for such transfers. Licensor will also provide Licensee with reasonable, mutually agreed upon access (which may include, at Licensee’s request, access by phone or in person at Licensor’s facilities or at Licensee’s facilities) to Licensor personnel involved in the research and development of any Licensed IP in order to enable skilled employees of or consultants to Licensee and/or its designated CRO(s) and/or CMO(s) to practice the licenses granted herein. Licensor shall not be required to incur any out-of-pocket expenses to conduct any of the above transfers; any such reasonable, documented expenses shall be reimbursed by Licensee.</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56" w:lineRule="auto"/>
        <w:tabs>
          <w:tab w:leader="none" w:pos="123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Improvements</w:t>
      </w:r>
      <w:r>
        <w:rPr>
          <w:rFonts w:ascii="Times New Roman" w:cs="Times New Roman" w:eastAsia="Times New Roman" w:hAnsi="Times New Roman"/>
          <w:sz w:val="18"/>
          <w:szCs w:val="18"/>
          <w:color w:val="auto"/>
        </w:rPr>
        <w:t>. During the Term, Licensee shall promptly make available to Licensor all Improvements promptly following their invention, discovery, generation or use with a Licensed Product or Licensed Compound. It is understood that with respect to Improvements consisting of experimental data, results and similar Know-How, Licensee shall be required to make any such Know-How available only in the original language in which such Know- How was generated if Licensee does not have English translations thereof; provided that if an English translation of any such Know-How does not exist, upon Licensor’s written request, Licensee will provide Licensor with a brief summary of such Know-How in English.</w:t>
      </w:r>
    </w:p>
    <w:p>
      <w:pPr>
        <w:spacing w:after="0" w:line="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to Improvements</w:t>
      </w:r>
      <w:r>
        <w:rPr>
          <w:rFonts w:ascii="Times New Roman" w:cs="Times New Roman" w:eastAsia="Times New Roman" w:hAnsi="Times New Roman"/>
          <w:sz w:val="18"/>
          <w:szCs w:val="18"/>
          <w:color w:val="auto"/>
        </w:rPr>
        <w:t>. Licensee hereby grants to Licensor a worldwide, fully paid-up, royalty-free, non-exclusive license, with the right to sublicense through multiple tiers, under any Improvements, solely for purposes of Developing, Manufacturing, and Commercializing the Licensed Compound and Licensed Product, in each case for Japan (subject to the exclusive rights granted to Licensee under this Agreement with respect to the Licensed Product and the Licensed Compound in the Territory).</w:t>
      </w:r>
    </w:p>
    <w:p>
      <w:pPr>
        <w:spacing w:after="0" w:line="6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Third Party Technology Acquired after Effective Date</w:t>
      </w:r>
      <w:r>
        <w:rPr>
          <w:rFonts w:ascii="Times New Roman" w:cs="Times New Roman" w:eastAsia="Times New Roman" w:hAnsi="Times New Roman"/>
          <w:sz w:val="18"/>
          <w:szCs w:val="18"/>
          <w:color w:val="auto"/>
        </w:rPr>
        <w:t>. If after the Effective Date, a Party (“</w:t>
      </w:r>
      <w:r>
        <w:rPr>
          <w:rFonts w:ascii="Times New Roman" w:cs="Times New Roman" w:eastAsia="Times New Roman" w:hAnsi="Times New Roman"/>
          <w:sz w:val="18"/>
          <w:szCs w:val="18"/>
          <w:b w:val="1"/>
          <w:bCs w:val="1"/>
          <w:color w:val="auto"/>
        </w:rPr>
        <w:t>Acquiring Party</w:t>
      </w:r>
      <w:r>
        <w:rPr>
          <w:rFonts w:ascii="Times New Roman" w:cs="Times New Roman" w:eastAsia="Times New Roman" w:hAnsi="Times New Roman"/>
          <w:sz w:val="18"/>
          <w:szCs w:val="18"/>
          <w:color w:val="auto"/>
        </w:rPr>
        <w:t>”) (or in the case of Licensee, a Related Party, or in the case of Licensor, an Associated Party acting under authority of such Party) desires to use in connection with the Development, Manufacture or Commercialization of the Licensed Compound or a Licensed Product any Patent Rights or Know-How acquired from a Third Party other than a Sublicensee (in the case of Licensor as the Acquiring Party) or a J</w:t>
      </w:r>
      <w:r>
        <w:rPr>
          <w:rFonts w:ascii="Times New Roman" w:cs="Times New Roman" w:eastAsia="Times New Roman" w:hAnsi="Times New Roman"/>
          <w:sz w:val="18"/>
          <w:szCs w:val="18"/>
          <w:u w:val="single" w:color="auto"/>
          <w:color w:val="auto"/>
        </w:rPr>
        <w:t>apan Licensee</w:t>
      </w:r>
      <w:r>
        <w:rPr>
          <w:rFonts w:ascii="Times New Roman" w:cs="Times New Roman" w:eastAsia="Times New Roman" w:hAnsi="Times New Roman"/>
          <w:sz w:val="18"/>
          <w:szCs w:val="18"/>
          <w:color w:val="auto"/>
        </w:rPr>
        <w:t xml:space="preserve"> (in the case of Licensee as the Acquiring Party) and other than Research Tools (such Patent Rights and Know-How, “</w:t>
      </w:r>
      <w:r>
        <w:rPr>
          <w:rFonts w:ascii="Times New Roman" w:cs="Times New Roman" w:eastAsia="Times New Roman" w:hAnsi="Times New Roman"/>
          <w:sz w:val="18"/>
          <w:szCs w:val="18"/>
          <w:b w:val="1"/>
          <w:bCs w:val="1"/>
          <w:color w:val="auto"/>
        </w:rPr>
        <w:t>Third Party Technology,</w:t>
      </w:r>
      <w:r>
        <w:rPr>
          <w:rFonts w:ascii="Times New Roman" w:cs="Times New Roman" w:eastAsia="Times New Roman" w:hAnsi="Times New Roman"/>
          <w:sz w:val="18"/>
          <w:szCs w:val="18"/>
          <w:color w:val="auto"/>
        </w:rPr>
        <w:t>” and such Third Party, a “</w:t>
      </w:r>
      <w:r>
        <w:rPr>
          <w:rFonts w:ascii="Times New Roman" w:cs="Times New Roman" w:eastAsia="Times New Roman" w:hAnsi="Times New Roman"/>
          <w:sz w:val="18"/>
          <w:szCs w:val="18"/>
          <w:b w:val="1"/>
          <w:bCs w:val="1"/>
          <w:color w:val="auto"/>
        </w:rPr>
        <w:t>Third Party Licensor</w:t>
      </w:r>
      <w:r>
        <w:rPr>
          <w:rFonts w:ascii="Times New Roman" w:cs="Times New Roman" w:eastAsia="Times New Roman" w:hAnsi="Times New Roman"/>
          <w:sz w:val="18"/>
          <w:szCs w:val="18"/>
          <w:color w:val="auto"/>
        </w:rPr>
        <w:t>”), the following shall apply: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9" w:right="479" w:bottom="1440" w:gutter="0" w:footer="0" w:header="0"/>
        </w:sectPr>
      </w:pPr>
    </w:p>
    <w:bookmarkStart w:id="545" w:name="page546"/>
    <w:bookmarkEnd w:id="545"/>
    <w:p>
      <w:pPr>
        <w:ind w:right="100" w:firstLine="987"/>
        <w:spacing w:after="0" w:line="254" w:lineRule="auto"/>
        <w:tabs>
          <w:tab w:leader="none" w:pos="123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the Third Party Technology is so used, the Acquiring Party shall notify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writing, including a description of such Third Party Technology (such notice, the “</w:t>
      </w:r>
      <w:r>
        <w:rPr>
          <w:rFonts w:ascii="Times New Roman" w:cs="Times New Roman" w:eastAsia="Times New Roman" w:hAnsi="Times New Roman"/>
          <w:sz w:val="18"/>
          <w:szCs w:val="18"/>
          <w:b w:val="1"/>
          <w:bCs w:val="1"/>
          <w:color w:val="auto"/>
        </w:rPr>
        <w:t>Acquiring Party Notice</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below, to the extent that the Acquiring Party has the right to grant a sublicense to such Third Party Technology to the Receiving Party for use in connection with the Development, Manufacture or Commercialization of the Licensed Compound or a Licensed Product by the Receiving Party in its territory (“</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Third Party Technology</w:t>
      </w:r>
      <w:r>
        <w:rPr>
          <w:rFonts w:ascii="Times New Roman" w:cs="Times New Roman" w:eastAsia="Times New Roman" w:hAnsi="Times New Roman"/>
          <w:sz w:val="18"/>
          <w:szCs w:val="18"/>
          <w:color w:val="auto"/>
        </w:rPr>
        <w:t>”), the Acquiring Party shall include in such notice a description of all payments and other obligations that would apply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Party if the Third Party Technology were to be licensed to the Receiving Party hereunder (such payments and other obligations (including obligations relating to sublicensing, patent matters, confidentiality, reporting, audit rights, indemnification and diligence, as applicable) owing to the Third Party Licensor, the “</w:t>
      </w:r>
      <w:r>
        <w:rPr>
          <w:rFonts w:ascii="Times New Roman" w:cs="Times New Roman" w:eastAsia="Times New Roman" w:hAnsi="Times New Roman"/>
          <w:sz w:val="18"/>
          <w:szCs w:val="18"/>
          <w:b w:val="1"/>
          <w:bCs w:val="1"/>
          <w:color w:val="auto"/>
        </w:rPr>
        <w:t>Pass-Thru Obligations</w:t>
      </w:r>
      <w:r>
        <w:rPr>
          <w:rFonts w:ascii="Times New Roman" w:cs="Times New Roman" w:eastAsia="Times New Roman" w:hAnsi="Times New Roman"/>
          <w:sz w:val="18"/>
          <w:szCs w:val="18"/>
          <w:color w:val="auto"/>
        </w:rPr>
        <w:t>”), accompanied by a copy of the relevant license or other agreement with the applicable Third Party Licensor (such license or other relevant agreement, the “</w:t>
      </w:r>
      <w:r>
        <w:rPr>
          <w:rFonts w:ascii="Times New Roman" w:cs="Times New Roman" w:eastAsia="Times New Roman" w:hAnsi="Times New Roman"/>
          <w:sz w:val="18"/>
          <w:szCs w:val="18"/>
          <w:b w:val="1"/>
          <w:bCs w:val="1"/>
          <w:color w:val="auto"/>
        </w:rPr>
        <w:t>Pass-Thru Agreement</w:t>
      </w:r>
      <w:r>
        <w:rPr>
          <w:rFonts w:ascii="Times New Roman" w:cs="Times New Roman" w:eastAsia="Times New Roman" w:hAnsi="Times New Roman"/>
          <w:sz w:val="18"/>
          <w:szCs w:val="18"/>
          <w:color w:val="auto"/>
        </w:rPr>
        <w:t>”), [***].</w:t>
      </w:r>
    </w:p>
    <w:p>
      <w:pPr>
        <w:spacing w:after="0" w:line="8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Receiving Party wishes to receive a license to any Available Third Party Technology disclosed in the Acquiring Party Notice for use in connection with the Development, Manufacture or Commercialization of the Licensed Compound or a Licensed Product in territories in which the Receiving Party has such rights with respect to the Licensed Compound and Licensed Products, it shall so notify the Acquiring Party in writing (such notice, the “</w:t>
      </w:r>
      <w:r>
        <w:rPr>
          <w:rFonts w:ascii="Times New Roman" w:cs="Times New Roman" w:eastAsia="Times New Roman" w:hAnsi="Times New Roman"/>
          <w:sz w:val="18"/>
          <w:szCs w:val="18"/>
          <w:b w:val="1"/>
          <w:bCs w:val="1"/>
          <w:color w:val="auto"/>
        </w:rPr>
        <w:t>Receiving Party Notice</w:t>
      </w:r>
      <w:r>
        <w:rPr>
          <w:rFonts w:ascii="Times New Roman" w:cs="Times New Roman" w:eastAsia="Times New Roman" w:hAnsi="Times New Roman"/>
          <w:sz w:val="18"/>
          <w:szCs w:val="18"/>
          <w:color w:val="auto"/>
        </w:rPr>
        <w:t>”). Upon receipt of the Receiving Party Notice, the Acquiring Party shall grant (and hereby grants) to the Receiving Party a license or sublicense under the applicable Third Party Technology to use and exploit the same in connection with the Development, Manufacture or Commercialization of the Licensed Compound or a Licensed Product in territories in which the Receiving Party has such rights with respect to the Licensed Compound and Licensed Products, subject to the Pass-Thru Obligations (the “</w:t>
      </w:r>
      <w:r>
        <w:rPr>
          <w:rFonts w:ascii="Times New Roman" w:cs="Times New Roman" w:eastAsia="Times New Roman" w:hAnsi="Times New Roman"/>
          <w:sz w:val="18"/>
          <w:szCs w:val="18"/>
          <w:b w:val="1"/>
          <w:bCs w:val="1"/>
          <w:color w:val="auto"/>
        </w:rPr>
        <w:t>Pass-Thru License</w:t>
      </w:r>
      <w:r>
        <w:rPr>
          <w:rFonts w:ascii="Times New Roman" w:cs="Times New Roman" w:eastAsia="Times New Roman" w:hAnsi="Times New Roman"/>
          <w:sz w:val="18"/>
          <w:szCs w:val="18"/>
          <w:color w:val="auto"/>
        </w:rPr>
        <w:t xml:space="preserve">”). If requested by the Acquiring Party, the Receiving Party and the Acquiring Party shall prepare in good faith and promptly execute a written agreement codifying the terms of the Pass-Thru License or to the extent mutually agreed, work to put in place a separate agreement between the applicable Third Party and the Receiving Party under which the Third Party grants a direct license to the Receiving Party under the Third Party Technology on the same terms and conditions as the Pass-Thru Agreement. The Receiving Party shall [***]. The Receiving Party agrees that it shall enter into a [***] with the Acquiring Party [***]. The Receiving Party shall comply with the Pass-Thru Obligations applicable to such Third Party Technology, in each case to the extent such Pass-Thru Obligations were described in the Pass-Thru Agreement (as redacted). Such compliance by the Receiving Party shall include taking such actions to comply with the Pass-Thru Obligations in such manner and on such timing as may be required to allow the Acquiring Party to comply with its obligations under the license or other agreement with the applicable Third Party Licensor, as such obligations apply to activities of the Receiving Party. To the extent [***]. Any dispute between the Parties regarding the Pass-Thru Obligations or other terms of the Pass-Thru License shall be determined pursuant to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below.</w:t>
      </w:r>
    </w:p>
    <w:p>
      <w:pPr>
        <w:spacing w:after="0" w:line="85"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3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Receiving Party provides a Receiving Party Notice, or to the extent the Receiving Party subsequently notifies the Acquiring Party that it wishes to terminate the applicable Pass-Thru License, [***], as the case may be. In the event the Receiving Party subsequently notifies the Acquiring Party that it wishes to terminate the applicable Pass-Thru License, [***]. To the extent the Receiving Party does not provide a Receiving Party Notice with respect to the Third Party Technology, [***].</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5" w:right="459" w:bottom="1440" w:gutter="0" w:footer="0" w:header="0"/>
        </w:sectPr>
      </w:pPr>
    </w:p>
    <w:bookmarkStart w:id="546" w:name="page547"/>
    <w:bookmarkEnd w:id="546"/>
    <w:p>
      <w:pPr>
        <w:ind w:left="-60" w:firstLine="987"/>
        <w:spacing w:after="0" w:line="256" w:lineRule="auto"/>
        <w:tabs>
          <w:tab w:leader="none" w:pos="118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such time as a Licensed Product has received Regulatory Approval in the United States and one of the EU5, if the Acquiring Party does not have the right to grant to the Receiving Party a Pass-Thru License with respect to a particular Third Party Technology (i.e., as “Available Third Party Technology) with respect to the Development, Manufacture and Commercialization of the Licensed Compound and Licensed Product in the Receiving Party’s territory, [***] territory, then unless otherwise agreed in writing by the Parties, [***]. Notwithstanding the foregoing, in the event that a Third Party Technology with respect to which the Acquiring Party is unable to grant a Pass-Thru License is [***] (such license, a “</w:t>
      </w:r>
      <w:r>
        <w:rPr>
          <w:rFonts w:ascii="Times New Roman" w:cs="Times New Roman" w:eastAsia="Times New Roman" w:hAnsi="Times New Roman"/>
          <w:sz w:val="18"/>
          <w:szCs w:val="18"/>
          <w:b w:val="1"/>
          <w:bCs w:val="1"/>
          <w:color w:val="auto"/>
        </w:rPr>
        <w:t>Direct License</w:t>
      </w:r>
      <w:r>
        <w:rPr>
          <w:rFonts w:ascii="Times New Roman" w:cs="Times New Roman" w:eastAsia="Times New Roman" w:hAnsi="Times New Roman"/>
          <w:sz w:val="18"/>
          <w:szCs w:val="18"/>
          <w:color w:val="auto"/>
        </w:rPr>
        <w:t>”), then to the extent that the Receiving Party actually obtains such Direct License on such terms, the Acquiring Party shall be [***].</w:t>
      </w:r>
    </w:p>
    <w:p>
      <w:pPr>
        <w:spacing w:after="0" w:line="79" w:lineRule="exact"/>
        <w:rPr>
          <w:rFonts w:ascii="Times New Roman" w:cs="Times New Roman" w:eastAsia="Times New Roman" w:hAnsi="Times New Roman"/>
          <w:sz w:val="18"/>
          <w:szCs w:val="18"/>
          <w:color w:val="auto"/>
        </w:rPr>
      </w:pPr>
    </w:p>
    <w:p>
      <w:pPr>
        <w:ind w:left="-60" w:right="40" w:firstLine="987"/>
        <w:spacing w:after="0" w:line="261" w:lineRule="auto"/>
        <w:tabs>
          <w:tab w:leader="none" w:pos="117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pursuant to and in accordance with the provisions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neither Party shall [***]. For clarity,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not apply to Patent Rights or Know-How used by the Acquiring Party (or in the case of Licensee, a Related Party, or in the case of Licensor, an Associated Party acting under authority of Licensor) in connection with the Development, Manufacture or Commercialization of a Licensed Compound or Licensed Product [***].</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Activities Outside Each Party’s Respective Territory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80" w:firstLine="987"/>
        <w:spacing w:after="0" w:line="254" w:lineRule="auto"/>
        <w:tabs>
          <w:tab w:leader="none" w:pos="117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Licensee agrees that (i) neither it, nor any of its Affiliates, will sell or provide the Licensed Product to any Third Party, if Licensee or its relevant Affiliate knows, or has reason to know, that Licensed Products sold or provided to such Third Party by or on behalf of Licensee may be sold or transferred, directly or indirectly, for use outside the Territory; and (ii) if requested by Licensor, Licensee shall provide reasonable assistance to Licensor in taking reasonable action against any Third Party to whom Licensee has sold or provided Licensed Product, or to whom it has granted any rights with respect to the Licensed Product, directly or indirectly, that Licensor becomes aware is engaging in the direct or indirect sale or transfer of such Product for use outside the Territory and use Commercially Reasonable Efforts to cause such Third Party to cease such activities. For clarity, the foregoing shall not be construed to require Licensee to police counterfeit versions of the Licensed Product that are produced by Third Parties in the Territory without license under the Improvements or Licensed IP and imported into [***].</w:t>
      </w:r>
    </w:p>
    <w:p>
      <w:pPr>
        <w:spacing w:after="0" w:line="83" w:lineRule="exact"/>
        <w:rPr>
          <w:rFonts w:ascii="Times New Roman" w:cs="Times New Roman" w:eastAsia="Times New Roman" w:hAnsi="Times New Roman"/>
          <w:sz w:val="18"/>
          <w:szCs w:val="18"/>
          <w:color w:val="auto"/>
        </w:rPr>
      </w:pPr>
    </w:p>
    <w:p>
      <w:pPr>
        <w:ind w:left="-60" w:right="120" w:firstLine="987"/>
        <w:spacing w:after="0" w:line="272" w:lineRule="auto"/>
        <w:tabs>
          <w:tab w:leader="none" w:pos="1186"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under applicable Law, Licensor agrees that (i) neither it, nor any of its Affiliates, will sell or provide the Licensed Product to any Third Party, if Licensor or its relevant Affiliate knows, or has reason to know, that Licensed Products sold or provided to such Third Party by or on behalf of Licensor may be sold or transferred, directly or indirectly, for use in the Territory; and (ii) if requested by Licensee, Licensor shall provide reasonable assistance to Licensee in taking reasonable action against any Third Party to whom Licensor has sold or provided Licensed Product, or to whom it has granted any rights with respect to the Licensed Product, directly or indirectly, that Licensee becomes aware is engaging in the direct or indirect sale or transfer of such Licensed Product for use in the Territory and use Commercially Reasonable Efforts to cause such Third Party to cease such activities. For clarity, the foregoing shall not be construed to require Licensor to police counterfeit versions of the Licensed Product that are produced by Third Parties in [***]without license under the Licensed IP or Improvements and imported into the Territory.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500" w:top="269" w:right="499" w:bottom="1440" w:gutter="0" w:footer="0" w:header="0"/>
        </w:sectPr>
      </w:pPr>
    </w:p>
    <w:bookmarkStart w:id="547" w:name="page548"/>
    <w:bookmarkEnd w:id="547"/>
    <w:p>
      <w:pPr>
        <w:ind w:right="100" w:firstLine="987"/>
        <w:spacing w:after="0" w:line="282" w:lineRule="auto"/>
        <w:tabs>
          <w:tab w:leader="none" w:pos="123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restrictions set forth in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not be construed to limit the sale and/or distribution of goods between member states of the European Union.</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Exclusivity of Efforts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for the rights and licenses expressly granted in this Agreement, each Party retains all rights under its intellectual property, and no additional rights shall be deemed granted to either Party by implication, estoppel or otherwise. For clarity, the licenses and rights granted in this Agreement shall not be construed to convey any licenses or rights under either Party’s Patents with respect to any Other Active Ingredient that is proprietary to the granting Party.</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 Within [***] days after the Effective Date, the Parties shall establish a Joint Steering Committee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to coordinate the Parties’ activities under the Development Plan. The JSC shall include [***] (or such greater or lesser number at the parties may mutually agree from time to time) representatives of each of Licensor and Licensee, with each Party’s members selected by that Party (each member, a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Each JSC Member shall have appropriate expertise to carry out the responsibilities of the JSC. As of the Effective Date, the initial Licensor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JSC Members shall be [***], and the initial Licensee JSC Members shall be [***]. Licensor and Licensee may each replace its JSC representatives at any time, upon written notice to the other Party. From time- to-time, the JSC may establish subcommittees to oversee particular projects or activities, and such subcommittees shall be constituted as the JSC agrees. The Parties may mutually agree to invite non- voting employees and consultants to attend meetings of the JSC, subject to their agreement to be bound to obligations of confidentiality and assignment of inventions at least as stringent as those set forth in this Agreement.</w:t>
      </w:r>
    </w:p>
    <w:p>
      <w:pPr>
        <w:spacing w:after="0" w:line="8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Unless otherwise agreed by the Parties, the JSC shall hold at least [***] at such times as it elects to do so, in person or by audio or video teleconference, so long as at least [***] is in person. Meetings of the JSC shall be effective only if at least [***] of each Party is present or participating. Each Party shall be responsible for all of its own expenses of participating in JSC meetings. The Parties shall endeavor to schedule meetings of the JSC at least [***] in advance. The JSC Members shall agree on the minutes of each meeting promptly, but in no event later than the next meeting of the JSC.</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Responsibilities</w:t>
      </w:r>
      <w:r>
        <w:rPr>
          <w:rFonts w:ascii="Times New Roman" w:cs="Times New Roman" w:eastAsia="Times New Roman" w:hAnsi="Times New Roman"/>
          <w:sz w:val="18"/>
          <w:szCs w:val="18"/>
          <w:color w:val="auto"/>
        </w:rPr>
        <w:t>. The responsibilities of the JSC shall consist of:</w:t>
      </w:r>
    </w:p>
    <w:p>
      <w:pPr>
        <w:spacing w:after="0" w:line="117" w:lineRule="exact"/>
        <w:rPr>
          <w:sz w:val="20"/>
          <w:szCs w:val="20"/>
          <w:color w:val="auto"/>
        </w:rPr>
      </w:pPr>
    </w:p>
    <w:p>
      <w:pPr>
        <w:ind w:right="20" w:firstLine="987"/>
        <w:spacing w:after="0" w:line="282" w:lineRule="auto"/>
        <w:tabs>
          <w:tab w:leader="none" w:pos="123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performance of the Development Plan, reporting progress under the Development Plan, and facilitating the exchange of materials and information between the Parties;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9" w:right="459" w:bottom="1440" w:gutter="0" w:footer="0" w:header="0"/>
        </w:sectPr>
      </w:pPr>
    </w:p>
    <w:bookmarkStart w:id="548" w:name="page549"/>
    <w:bookmarkEnd w:id="548"/>
    <w:p>
      <w:pPr>
        <w:ind w:left="1240" w:hanging="253"/>
        <w:spacing w:after="0"/>
        <w:tabs>
          <w:tab w:leader="none" w:pos="12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Reviewing the Development Plan on at least an annual basis, including the budget, timelines and objectives;</w:t>
      </w:r>
    </w:p>
    <w:p>
      <w:pPr>
        <w:spacing w:after="0" w:line="117"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at such time as Licensor provides Licensee with a Japan Development Plan in accordance with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monitoring Licensor’s performance of such Japan Development Plan and reviewing the timelines and objectives of such Japan Development Plan on at least an annual basis.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proposed publication and presentation plans of the Parties;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informal mediation of any dispute that arises under this Agreement which a Party chooses to refer to the JSC for resolution; and</w:t>
      </w:r>
    </w:p>
    <w:p>
      <w:pPr>
        <w:spacing w:after="0" w:line="128" w:lineRule="exact"/>
        <w:rPr>
          <w:rFonts w:ascii="Times New Roman" w:cs="Times New Roman" w:eastAsia="Times New Roman" w:hAnsi="Times New Roman"/>
          <w:sz w:val="17"/>
          <w:szCs w:val="17"/>
          <w:color w:val="auto"/>
        </w:rPr>
      </w:pPr>
    </w:p>
    <w:p>
      <w:pPr>
        <w:ind w:left="1220" w:hanging="233"/>
        <w:spacing w:after="0"/>
        <w:tabs>
          <w:tab w:leader="none" w:pos="122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responsibilities as both parties may mutually agree to delegate to the JSC.</w:t>
      </w:r>
    </w:p>
    <w:p>
      <w:pPr>
        <w:spacing w:after="0" w:line="225"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Except with respect to matters expressly designated as being subject to JSC approval, the JSC’s role shall be limited to making recommendations to the Parties as to proposed decisions, and such decisions shall be subject to mutual agreement of the Parties.</w:t>
      </w:r>
    </w:p>
    <w:p>
      <w:pPr>
        <w:spacing w:after="0" w:line="54"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Decision-Making</w:t>
      </w:r>
      <w:r>
        <w:rPr>
          <w:rFonts w:ascii="Times New Roman" w:cs="Times New Roman" w:eastAsia="Times New Roman" w:hAnsi="Times New Roman"/>
          <w:sz w:val="18"/>
          <w:szCs w:val="18"/>
          <w:color w:val="auto"/>
        </w:rPr>
        <w:t>. Action by the JSC on matters to be determined by the JSC shall require unanimous approval, with Licensor JSC Members collectively having [***] and Licensee JSC Members collectively having [***]. In the event that the JSC does not unanimously approve any action, the JSC shall take no action on the matter at issue. In the event the JSC fails to reach unanimous agreement with respect to a particular matter within its authority, then either Party may, by written notice to the other Party, have such matter referred to a senior executive officer of each party who is senior in rank and authority to such party’s JSC representatives, holds a title of at least [***] and has the authority to resolve the dispute (“</w:t>
      </w:r>
      <w:r>
        <w:rPr>
          <w:rFonts w:ascii="Times New Roman" w:cs="Times New Roman" w:eastAsia="Times New Roman" w:hAnsi="Times New Roman"/>
          <w:sz w:val="18"/>
          <w:szCs w:val="18"/>
          <w:b w:val="1"/>
          <w:b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Executive(s)</w:t>
      </w:r>
      <w:r>
        <w:rPr>
          <w:rFonts w:ascii="Times New Roman" w:cs="Times New Roman" w:eastAsia="Times New Roman" w:hAnsi="Times New Roman"/>
          <w:sz w:val="18"/>
          <w:szCs w:val="18"/>
          <w:color w:val="auto"/>
        </w:rPr>
        <w:t>”). The Senior Executives shall meet promptly (and in no event more than [***] days after a Party notifies the other Party of the referral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dispute to the Senior Executives) and negotiate in good faith to resolve the dispute. If, despite such good faith efforts, the Senior Executives are unable to resolve such dispute (each, a “</w:t>
      </w:r>
      <w:r>
        <w:rPr>
          <w:rFonts w:ascii="Times New Roman" w:cs="Times New Roman" w:eastAsia="Times New Roman" w:hAnsi="Times New Roman"/>
          <w:sz w:val="18"/>
          <w:szCs w:val="18"/>
          <w:b w:val="1"/>
          <w:bCs w:val="1"/>
          <w:color w:val="auto"/>
        </w:rPr>
        <w:t>Committee Dispute</w:t>
      </w:r>
      <w:r>
        <w:rPr>
          <w:rFonts w:ascii="Times New Roman" w:cs="Times New Roman" w:eastAsia="Times New Roman" w:hAnsi="Times New Roman"/>
          <w:sz w:val="18"/>
          <w:szCs w:val="18"/>
          <w:color w:val="auto"/>
        </w:rPr>
        <w:t xml:space="preserve">”), then: (a) to the extent such Committee Dispute relates to operational matters related solely to the Development, Manufacture or Commercialization of the Licensed Products in the Territory, then Licensee will have final decision-making authority with respect to such Committee Dispute (b) to the extent such Committee Dispute relates to operational matters related solely to the Development, Manufacture or Commercialization of the Licensed Products outside of the Territory, then Licensor will have final decision-making authority with respect to such Committee Dispute and (c) all other Committee Disputes shall be escalated to the dispute resolution mechanism procedures set forth in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9" w:right="499" w:bottom="1440" w:gutter="0" w:footer="0" w:header="0"/>
        </w:sectPr>
      </w:pPr>
    </w:p>
    <w:bookmarkStart w:id="549" w:name="page550"/>
    <w:bookmarkEnd w:id="54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General JSC Authority</w:t>
      </w:r>
      <w:r>
        <w:rPr>
          <w:rFonts w:ascii="Times New Roman" w:cs="Times New Roman" w:eastAsia="Times New Roman" w:hAnsi="Times New Roman"/>
          <w:sz w:val="18"/>
          <w:szCs w:val="18"/>
          <w:color w:val="auto"/>
        </w:rPr>
        <w:t xml:space="preserve">. The JSC has solely the powers expressly assigned to it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The JSC will not have any power to amend, modify, or waive compliance with this Agreement. The JSC will continue to exist until: (a) the Parties mutually agree to disband the JSC (b) such time as there is no further Development of Licensed Products in support of new or existing Regulatory Approvals ongoing or anticipated (excluding investigator initiated trials and post- approval trials) or (c) the expiration of the Royalty Term with respect to all Major Markets in the Territory, provided that following the First Commercial Sale of a Licensed Product in the U.S. and the EU (through the centralized procedure), the frequency of the JSC meetings shall be reduced to [***] per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 Commercialization</w:t>
      </w:r>
    </w:p>
    <w:p>
      <w:pPr>
        <w:spacing w:after="0" w:line="207"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Licensee shall have sole right and responsibility, at its sole cost and expense, to (a) Develop the Licensed Compound and Licensed Products (including obtaining and maintaining Regulatory Approval for such Licensed Products) for use in the Field in the Territory, and (b) Commercialize the Licensed Products in the Field in the Territory.</w:t>
      </w:r>
    </w:p>
    <w:p>
      <w:pPr>
        <w:spacing w:after="0" w:line="68"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Diligence</w:t>
      </w:r>
      <w:r>
        <w:rPr>
          <w:rFonts w:ascii="Times New Roman" w:cs="Times New Roman" w:eastAsia="Times New Roman" w:hAnsi="Times New Roman"/>
          <w:sz w:val="18"/>
          <w:szCs w:val="18"/>
          <w:color w:val="auto"/>
        </w:rPr>
        <w:t xml:space="preserve">. Licensee shall use Commercially Reasonable Efforts (for purposes of clarity, itself or through an Affiliate or Sublicensee) to Develop and to obtain Regulatory Approval of at least one (1) Licensed Product in each of the Major Markets other than Japan. Without limitation to the foregoing, Licensee shall file an IND for a Licensed Product within [***] after receipt from Licensor of the information and materials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shall commence a Phase 1 Clinical Trial for a Licensed Product within [***] after IND acceptance, but in any event no later than [***] after receipt from Licensor of the information and materials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Responsibilities; Ownership of Regulatory Filings and Regulatory Approvals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07"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bear all responsibility for seeking and obtaining all Regulatory Approvals for the Licensed Product in the Field in the Territory. As between the Parties, Licensee will undertake such activities at its sole expense.</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57"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INDs filed by Licensor in the Territory with respect to Clinical Trials to be conducted by Licensor in the Territory for purposes of obtaining Regulatory Approval of the Licensed Product in Japan (which Regulatory Filings, the “</w:t>
      </w:r>
      <w:r>
        <w:rPr>
          <w:rFonts w:ascii="Times New Roman" w:cs="Times New Roman" w:eastAsia="Times New Roman" w:hAnsi="Times New Roman"/>
          <w:sz w:val="18"/>
          <w:szCs w:val="18"/>
          <w:b w:val="1"/>
          <w:bCs w:val="1"/>
          <w:color w:val="auto"/>
        </w:rPr>
        <w:t>Licensor Regulatory Filings</w:t>
      </w:r>
      <w:r>
        <w:rPr>
          <w:rFonts w:ascii="Times New Roman" w:cs="Times New Roman" w:eastAsia="Times New Roman" w:hAnsi="Times New Roman"/>
          <w:sz w:val="18"/>
          <w:szCs w:val="18"/>
          <w:color w:val="auto"/>
        </w:rPr>
        <w:t>”, shall be owned by Licensor), Licensee (or a Sublicensee) shall be responsible, at their expense, for filing, obtaining and maintaining, and shall own, all Regulatory Filings for the Licensed Product in the Territory.</w:t>
      </w:r>
    </w:p>
    <w:p>
      <w:pPr>
        <w:spacing w:after="0" w:line="71" w:lineRule="exact"/>
        <w:rPr>
          <w:rFonts w:ascii="Times New Roman" w:cs="Times New Roman" w:eastAsia="Times New Roman" w:hAnsi="Times New Roman"/>
          <w:sz w:val="18"/>
          <w:szCs w:val="18"/>
          <w:color w:val="auto"/>
        </w:rPr>
      </w:pPr>
    </w:p>
    <w:p>
      <w:pPr>
        <w:jc w:val="both"/>
        <w:ind w:left="980" w:right="60" w:firstLine="408"/>
        <w:spacing w:after="0" w:line="261" w:lineRule="auto"/>
        <w:tabs>
          <w:tab w:leader="none" w:pos="169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Approvals relating to the Licensed Product in the Territory shall be owned by, and shall be the sole property and held in the name of, Licensee, provided that Licensee may transfer Regulatory Approvals for the Product in a given country to its Affiliate or its Sublicensee to the extent, in the case of a Sublicensee, that such Sublicensee has been delegated primary responsibility for the commercialization of the Product in such country.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9" w:right="459" w:bottom="1440" w:gutter="0" w:footer="0" w:header="0"/>
        </w:sectPr>
      </w:pPr>
    </w:p>
    <w:bookmarkStart w:id="550" w:name="page551"/>
    <w:bookmarkEnd w:id="550"/>
    <w:p>
      <w:pPr>
        <w:ind w:left="800" w:hanging="253"/>
        <w:spacing w:after="0"/>
        <w:tabs>
          <w:tab w:leader="none" w:pos="8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Regulatory Cooperation in the Territory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60" w:firstLine="948"/>
        <w:spacing w:after="0" w:line="282" w:lineRule="auto"/>
        <w:tabs>
          <w:tab w:leader="none" w:pos="116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each formal meeting between Licensee (or any Related Party delegated responsibility for Development) and the FDA or EMA, Licensee shall provide Licensor with a copy of the official minutes of such meeting;</w:t>
      </w:r>
    </w:p>
    <w:p>
      <w:pPr>
        <w:spacing w:after="0" w:line="5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provide Licensor with a copy [***]</w:t>
      </w:r>
    </w:p>
    <w:p>
      <w:pPr>
        <w:spacing w:after="0" w:line="117" w:lineRule="exact"/>
        <w:rPr>
          <w:rFonts w:ascii="Times New Roman" w:cs="Times New Roman" w:eastAsia="Times New Roman" w:hAnsi="Times New Roman"/>
          <w:sz w:val="18"/>
          <w:szCs w:val="18"/>
          <w:color w:val="auto"/>
        </w:rPr>
      </w:pPr>
    </w:p>
    <w:p>
      <w:pPr>
        <w:ind w:right="180" w:firstLine="948"/>
        <w:spacing w:after="0" w:line="282" w:lineRule="auto"/>
        <w:tabs>
          <w:tab w:leader="none" w:pos="126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the earlier of [***]. Such meeting shall take place in person or by audio or video teleconference as mutually agreed by Licensor and Licensee, provided that in the absence of such agreement, the meeting shall be by audio teleconference. [***].</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(or if applicable, the Related Party) shall prepare and provide to Licensor, on a rolling basis, [***]; and</w:t>
      </w:r>
    </w:p>
    <w:p>
      <w:pPr>
        <w:spacing w:after="0" w:line="117" w:lineRule="exact"/>
        <w:rPr>
          <w:rFonts w:ascii="Times New Roman" w:cs="Times New Roman" w:eastAsia="Times New Roman" w:hAnsi="Times New Roman"/>
          <w:sz w:val="18"/>
          <w:szCs w:val="18"/>
          <w:color w:val="auto"/>
        </w:rPr>
      </w:pPr>
    </w:p>
    <w:p>
      <w:pPr>
        <w:ind w:right="80" w:firstLine="948"/>
        <w:spacing w:after="0" w:line="266" w:lineRule="auto"/>
        <w:tabs>
          <w:tab w:leader="none" w:pos="120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written request by Licensor, Licensee shall provide to Licensor a copy of the final labeling for the Licensed Product (including the Company Core Data Sheet) in the local language in each Major Market in the Territory in which Licensee or Related Party obtains Regulatory Approvals. Licensee need supply such copy only once.</w:t>
      </w:r>
    </w:p>
    <w:p>
      <w:pPr>
        <w:spacing w:after="0" w:line="67" w:lineRule="exact"/>
        <w:rPr>
          <w:rFonts w:ascii="Times New Roman" w:cs="Times New Roman" w:eastAsia="Times New Roman" w:hAnsi="Times New Roman"/>
          <w:sz w:val="18"/>
          <w:szCs w:val="18"/>
          <w:color w:val="auto"/>
        </w:rPr>
      </w:pPr>
    </w:p>
    <w:p>
      <w:pPr>
        <w:ind w:right="200" w:firstLine="948"/>
        <w:spacing w:after="0" w:line="312" w:lineRule="auto"/>
        <w:tabs>
          <w:tab w:leader="none" w:pos="1257" w:val="left"/>
        </w:tabs>
        <w:numPr>
          <w:ilvl w:val="1"/>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Licensee shall provide to Licensor such information as Licensor may reasonably request from time to time, so that Licensor may keep reasonably informed as to other Development and Regulatory activities and progress with respect to the Licensed Product.</w:t>
      </w:r>
    </w:p>
    <w:p>
      <w:pPr>
        <w:spacing w:after="0" w:line="31"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Cooperation outside the Territory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948"/>
        <w:spacing w:after="0" w:line="277" w:lineRule="auto"/>
        <w:tabs>
          <w:tab w:leader="none" w:pos="1167" w:val="left"/>
        </w:tabs>
        <w:numPr>
          <w:ilvl w:val="1"/>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each formal meeting between Licensor (or any of an Associated Party delegated responsibility for Development) and any Regulatory Authority in Japan, Licensor shall provide Licensee with a copy of the official minutes of such meeting in the language in which they were created (i.e., without translation), unless Licensor has previously had English translations of such minutes made, in which case such translations shall also be provided if in Licensor’s possession. Notwithstanding the foregoing, if an English translation of any such minutes does not exist, upon Licensee’s written request, Licensor will provide Licensee with a brief summary of such minutes in English.</w:t>
      </w:r>
    </w:p>
    <w:p>
      <w:pPr>
        <w:spacing w:after="0" w:line="59" w:lineRule="exact"/>
        <w:rPr>
          <w:rFonts w:ascii="Times New Roman" w:cs="Times New Roman" w:eastAsia="Times New Roman" w:hAnsi="Times New Roman"/>
          <w:sz w:val="17"/>
          <w:szCs w:val="17"/>
          <w:color w:val="auto"/>
        </w:rPr>
      </w:pPr>
    </w:p>
    <w:p>
      <w:pPr>
        <w:ind w:right="240" w:firstLine="948"/>
        <w:spacing w:after="0" w:line="312" w:lineRule="auto"/>
        <w:tabs>
          <w:tab w:leader="none" w:pos="1217" w:val="left"/>
        </w:tabs>
        <w:numPr>
          <w:ilvl w:val="1"/>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after the earlier of [***]. Such meeting shall take place in person or by audio or video teleconference as mutually agreed by Licensor and Licensee, provided that in the absence of such agreement, the meeting shall be by audio teleconference. [***].</w:t>
      </w:r>
    </w:p>
    <w:p>
      <w:pPr>
        <w:spacing w:after="0" w:line="31"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(or its Associated Party) shall prepare and provide to Licensee, on a rolling basis, [***]; and</w:t>
      </w:r>
    </w:p>
    <w:p>
      <w:pPr>
        <w:spacing w:after="0" w:line="117" w:lineRule="exact"/>
        <w:rPr>
          <w:rFonts w:ascii="Times New Roman" w:cs="Times New Roman" w:eastAsia="Times New Roman" w:hAnsi="Times New Roman"/>
          <w:sz w:val="18"/>
          <w:szCs w:val="18"/>
          <w:color w:val="auto"/>
        </w:rPr>
      </w:pPr>
    </w:p>
    <w:p>
      <w:pPr>
        <w:ind w:firstLine="948"/>
        <w:spacing w:after="0" w:line="261" w:lineRule="auto"/>
        <w:tabs>
          <w:tab w:leader="none" w:pos="125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written request by Licensee, Licensor shall provide to Licensee a copy of the final labeling for the Licensed Product (including the Company Core Data Sheet) in the local language in Japan in which Licensor (or its Associated Party) obtains Regulatory Approvals. Licensor need supply such copy only once. If Licensor has previously had English translations of such labeling made, such translations shall also be provided if in Licensor’s possession.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69" w:right="459" w:bottom="1440" w:gutter="0" w:footer="0" w:header="0"/>
        </w:sectPr>
      </w:pPr>
    </w:p>
    <w:bookmarkStart w:id="551" w:name="page552"/>
    <w:bookmarkEnd w:id="551"/>
    <w:p>
      <w:pPr>
        <w:ind w:left="4" w:right="160" w:firstLine="948"/>
        <w:spacing w:after="0" w:line="312" w:lineRule="auto"/>
        <w:tabs>
          <w:tab w:leader="none" w:pos="1210"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Licensor shall provide to Licensee such information as Licensee may reasonably request from time to time, so that Licensee may keep reasonably informed as to other Development and Regulatory activities and progress with respect to the Licensed Product.</w:t>
      </w: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4" w:hanging="253"/>
        <w:spacing w:after="0"/>
        <w:tabs>
          <w:tab w:leader="none" w:pos="804"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 by Licensor in the Territory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48"/>
        <w:spacing w:after="0" w:line="272" w:lineRule="auto"/>
        <w:tabs>
          <w:tab w:leader="none" w:pos="1170" w:val="left"/>
        </w:tabs>
        <w:numPr>
          <w:ilvl w:val="2"/>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Licensor retains the right to perform Development of the Licensed Compound and/or Licensed Product in countries of the Territory solely for purposes of obtaining Regulatory Approval for use of the Licensed Product outside the Territory, in accordance with this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 With respect to any Clinical Trials of the Licensed Product that Licensor or an Associated Party wishes to conduct in the Territory,</w:t>
      </w:r>
    </w:p>
    <w:p>
      <w:pPr>
        <w:spacing w:after="0" w:line="1" w:lineRule="exact"/>
        <w:rPr>
          <w:rFonts w:ascii="Times New Roman" w:cs="Times New Roman" w:eastAsia="Times New Roman" w:hAnsi="Times New Roman"/>
          <w:sz w:val="17"/>
          <w:szCs w:val="17"/>
          <w:color w:val="auto"/>
        </w:rPr>
      </w:pPr>
    </w:p>
    <w:p>
      <w:pPr>
        <w:ind w:left="4" w:right="180" w:hanging="4"/>
        <w:spacing w:after="0" w:line="260" w:lineRule="auto"/>
        <w:tabs>
          <w:tab w:leader="none" w:pos="43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listed on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Licensor (and if applicable, its Associated Party) shall comply with the terms of </w:t>
      </w:r>
      <w:r>
        <w:rPr>
          <w:rFonts w:ascii="Times New Roman" w:cs="Times New Roman" w:eastAsia="Times New Roman" w:hAnsi="Times New Roman"/>
          <w:sz w:val="18"/>
          <w:szCs w:val="18"/>
          <w:u w:val="single" w:color="auto"/>
          <w:color w:val="auto"/>
        </w:rPr>
        <w:t>Section 4.4(a)(ii)</w:t>
      </w:r>
      <w:r>
        <w:rPr>
          <w:rFonts w:ascii="Times New Roman" w:cs="Times New Roman" w:eastAsia="Times New Roman" w:hAnsi="Times New Roman"/>
          <w:sz w:val="18"/>
          <w:szCs w:val="18"/>
          <w:color w:val="auto"/>
        </w:rPr>
        <w:t xml:space="preserve"> in connection with any such Clinical Trial.</w:t>
      </w:r>
    </w:p>
    <w:p>
      <w:pPr>
        <w:spacing w:after="0" w:line="73" w:lineRule="exact"/>
        <w:rPr>
          <w:rFonts w:ascii="Times New Roman" w:cs="Times New Roman" w:eastAsia="Times New Roman" w:hAnsi="Times New Roman"/>
          <w:sz w:val="18"/>
          <w:szCs w:val="18"/>
          <w:color w:val="auto"/>
        </w:rPr>
      </w:pPr>
    </w:p>
    <w:p>
      <w:pPr>
        <w:ind w:left="4" w:right="60" w:firstLine="948"/>
        <w:spacing w:after="0" w:line="261" w:lineRule="auto"/>
        <w:tabs>
          <w:tab w:leader="none" w:pos="1220"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Clinical Trial to be conducted by Licensor or its Associated Party in the Territory as contemplated under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 Licensor shall provide [***]. Licensor shall notify Licensee when the final IND has passed validation testing and is ready for submission to the applicable Regulatory Authority. Licensor shall notify the Licensee at least [***] prior to submission of such final IND to the applicable Regulatory Authority.</w:t>
      </w:r>
    </w:p>
    <w:p>
      <w:pPr>
        <w:spacing w:after="0" w:line="71"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 by Licensee outside the Territory.</w:t>
      </w:r>
    </w:p>
    <w:p>
      <w:pPr>
        <w:spacing w:after="0" w:line="117" w:lineRule="exact"/>
        <w:rPr>
          <w:rFonts w:ascii="Times New Roman" w:cs="Times New Roman" w:eastAsia="Times New Roman" w:hAnsi="Times New Roman"/>
          <w:sz w:val="18"/>
          <w:szCs w:val="18"/>
          <w:color w:val="auto"/>
        </w:rPr>
      </w:pPr>
    </w:p>
    <w:p>
      <w:pPr>
        <w:ind w:left="4" w:right="40" w:firstLine="948"/>
        <w:spacing w:after="0" w:line="261" w:lineRule="auto"/>
        <w:tabs>
          <w:tab w:leader="none" w:pos="1170" w:val="left"/>
        </w:tabs>
        <w:numPr>
          <w:ilvl w:val="2"/>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has been granted the right and license under Section 2.1(a) to perform Development of the Licensed Compound and/or Licensed Product outside the Territory solely for purposes of obtaining Regulatory Approval for use of the Licensed Product in the Field in the Territory, in accordance with this Section 4.4(b). To the extent any such Development consists of conducting Clinical Trials outside the Territory, Licensee’s right to conduct such Clinical Trials outside the Territory shall be subject to [***].</w:t>
      </w:r>
    </w:p>
    <w:p>
      <w:pPr>
        <w:spacing w:after="0" w:line="71" w:lineRule="exact"/>
        <w:rPr>
          <w:rFonts w:ascii="Times New Roman" w:cs="Times New Roman" w:eastAsia="Times New Roman" w:hAnsi="Times New Roman"/>
          <w:sz w:val="18"/>
          <w:szCs w:val="18"/>
          <w:color w:val="auto"/>
        </w:rPr>
      </w:pPr>
    </w:p>
    <w:p>
      <w:pPr>
        <w:ind w:left="4" w:firstLine="948"/>
        <w:spacing w:after="0" w:line="256" w:lineRule="auto"/>
        <w:tabs>
          <w:tab w:leader="none" w:pos="1220" w:val="left"/>
        </w:tabs>
        <w:numPr>
          <w:ilvl w:val="2"/>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Clinical Trial to be conducted by or on behalf of Licensee or a Related Party outside the Territory as contemplated under Section 4.4(b)(i), Licensee shall [***]. Licensee shall notify Licensor when the final IND has passed validation testing and is ready for submission to the applicable Regulatory Authority. Licensee shall notify the Licensor at least [***] prior to submission of such final IND to the applicable Regulatory Authority. Upon Licensee’s request, Licensor agrees to provide Licensee with reasonable assistance in its interactions with the Regulatory Authorities in Japan in connection with filing of an IND to conduct Clinical Trials in Japan as contemplated in this </w:t>
      </w:r>
      <w:r>
        <w:rPr>
          <w:rFonts w:ascii="Times New Roman" w:cs="Times New Roman" w:eastAsia="Times New Roman" w:hAnsi="Times New Roman"/>
          <w:sz w:val="18"/>
          <w:szCs w:val="18"/>
          <w:u w:val="single" w:color="auto"/>
          <w:color w:val="auto"/>
        </w:rPr>
        <w:t>Section 4.4(b)(ii)</w:t>
      </w:r>
      <w:r>
        <w:rPr>
          <w:rFonts w:ascii="Times New Roman" w:cs="Times New Roman" w:eastAsia="Times New Roman" w:hAnsi="Times New Roman"/>
          <w:sz w:val="18"/>
          <w:szCs w:val="18"/>
          <w:color w:val="auto"/>
        </w:rPr>
        <w:t>, subject to Licensee’s reimbursement of Licensor’s out-of-pocket costs incurred in providing such assistance.</w:t>
      </w:r>
    </w:p>
    <w:p>
      <w:pPr>
        <w:spacing w:after="0" w:line="120"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84"/>
          </w:cols>
          <w:pgMar w:left="876" w:top="269" w:right="539" w:bottom="1440" w:gutter="0" w:footer="0" w:header="0"/>
        </w:sectPr>
      </w:pPr>
    </w:p>
    <w:bookmarkStart w:id="552" w:name="page553"/>
    <w:bookmarkEnd w:id="552"/>
    <w:p>
      <w:pPr>
        <w:ind w:left="420" w:right="80" w:firstLine="948"/>
        <w:spacing w:after="0" w:line="266" w:lineRule="auto"/>
        <w:tabs>
          <w:tab w:leader="none" w:pos="1687"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Licensor elects to utilize in a Clinical Trial of the Licensed Product that it is conducting outside the Territory one or more clinical sites that Licensee is using in Clinical Trial(s) of the Licensed Product that Licensee (or a Related Party) has been authorized to conduct pursuant to </w:t>
      </w:r>
      <w:r>
        <w:rPr>
          <w:rFonts w:ascii="Times New Roman" w:cs="Times New Roman" w:eastAsia="Times New Roman" w:hAnsi="Times New Roman"/>
          <w:sz w:val="18"/>
          <w:szCs w:val="18"/>
          <w:u w:val="single" w:color="auto"/>
          <w:color w:val="auto"/>
        </w:rPr>
        <w:t>Section 4.4(b)(ii)</w:t>
      </w:r>
      <w:r>
        <w:rPr>
          <w:rFonts w:ascii="Times New Roman" w:cs="Times New Roman" w:eastAsia="Times New Roman" w:hAnsi="Times New Roman"/>
          <w:sz w:val="18"/>
          <w:szCs w:val="18"/>
          <w:color w:val="auto"/>
        </w:rPr>
        <w:t>, Licensor shall [***].</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Progress 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40" w:firstLine="987"/>
        <w:spacing w:after="0" w:line="261" w:lineRule="auto"/>
        <w:tabs>
          <w:tab w:leader="none" w:pos="121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Commercial Sale of a Licensed Product, Licensee shall provide on a [***], a reasonably detailed progress report to Licensor that summarizes the status of the Development efforts with respect to Licensed Products for the Territory, on a Licensed Product-by-Licensed Product basis, during such Calendar Year. Notwithstanding the foregoing, following the First Commercial Sale of a Licensed Product, for so long as Licensee or any Related Party is Developing Licensed Products, Licensee shall provide such progress reports on Development efforts [***].</w:t>
      </w:r>
    </w:p>
    <w:p>
      <w:pPr>
        <w:spacing w:after="0" w:line="71" w:lineRule="exact"/>
        <w:rPr>
          <w:rFonts w:ascii="Times New Roman" w:cs="Times New Roman" w:eastAsia="Times New Roman" w:hAnsi="Times New Roman"/>
          <w:sz w:val="18"/>
          <w:szCs w:val="18"/>
          <w:color w:val="auto"/>
        </w:rPr>
      </w:pPr>
    </w:p>
    <w:p>
      <w:pPr>
        <w:ind w:left="-20" w:right="300" w:firstLine="987"/>
        <w:spacing w:after="0" w:line="256" w:lineRule="auto"/>
        <w:tabs>
          <w:tab w:leader="none" w:pos="122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in the Calendar Year in which Licensor (or its Associated Party) initiates the first Clinical Trial of a Licensed Product outside the Territory (or pursuant to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above, in the Territory) and continuing until the First Commercial Sale of a Licensed Product, Licensor shall provide [***], a reasonably detailed progress report to Licensee that summarizes the status of the Development efforts with respect to Licensed Products for use outside the Territory, on a Licensed Product-by-Licensed Product basis, during such Calendar Year. Notwithstanding the foregoing, following the First Commercial Sale of a Licensed Product outside the Territory, for so long as Licensor or any Associated Party is Developing Licensed Products, Licensor shall provide such progress reports on Development efforts [***].</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Pharmacovigilance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3" w:lineRule="auto"/>
        <w:tabs>
          <w:tab w:leader="none" w:pos="1216"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 responsible for all pharmacovigilance activities associated with the Licensed Product in its respective territory, including filing all reports required to be filed in order to maintain any IND for the Licensed Product filed by or under the authority of such Party, and/or any Regulatory Approvals granted for the Licensed Product, in its territory (including reporting of adverse drug experiences, product quality complaints and safety data relating to the Licensed Product in its territory). Each Party shall promptly notify the other Party with respect to any material safety changes or material safety issues that may arise in connection with any IND for the Licensed Product filed by or under the authority of the first Party, and/or any Regulatory Approvals for the Licensed Product, in any country within its territory. Each Party shall ensure that its Affiliates and licensees (and, in the case of Licensee, all Related Parties) comply with such reporting obligations. Licensee shall be responsible for core safety management of the Licensed Product on a global basis; and Licensor shall cooperate with and assist Licensee, as provided in any pharmacovigilance agreement executed by the Parties pursuant to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below, to enable Licensee to meet its regulatory reporting requirements with respect to the core safety management for the Licensed Product on a global basis.</w:t>
      </w:r>
    </w:p>
    <w:p>
      <w:pPr>
        <w:spacing w:after="0" w:line="86" w:lineRule="exact"/>
        <w:rPr>
          <w:rFonts w:ascii="Times New Roman" w:cs="Times New Roman" w:eastAsia="Times New Roman" w:hAnsi="Times New Roman"/>
          <w:sz w:val="18"/>
          <w:szCs w:val="18"/>
          <w:color w:val="auto"/>
        </w:rPr>
      </w:pPr>
    </w:p>
    <w:p>
      <w:pPr>
        <w:jc w:val="both"/>
        <w:ind w:left="-20" w:right="280" w:firstLine="987"/>
        <w:spacing w:after="0" w:line="312" w:lineRule="auto"/>
        <w:tabs>
          <w:tab w:leader="none" w:pos="1226" w:val="left"/>
        </w:tabs>
        <w:numPr>
          <w:ilvl w:val="0"/>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Effective Date, with the precise timing to be mutually agreed upon by the Parties, but in any event prior to [***], the Parties shall enter into a pharmacovigilance agreement on terms no less stringent than those required by applicable ICH Guidelines, including: [***].</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69" w:right="459" w:bottom="1440" w:gutter="0" w:footer="0" w:header="0"/>
        </w:sectPr>
      </w:pPr>
    </w:p>
    <w:bookmarkStart w:id="553" w:name="page554"/>
    <w:bookmarkEnd w:id="553"/>
    <w:p>
      <w:pPr>
        <w:ind w:firstLine="987"/>
        <w:spacing w:after="0" w:line="258" w:lineRule="auto"/>
        <w:tabs>
          <w:tab w:leader="none" w:pos="123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limiting </w:t>
      </w:r>
      <w:r>
        <w:rPr>
          <w:rFonts w:ascii="Times New Roman" w:cs="Times New Roman" w:eastAsia="Times New Roman" w:hAnsi="Times New Roman"/>
          <w:sz w:val="18"/>
          <w:szCs w:val="18"/>
          <w:u w:val="single" w:color="auto"/>
          <w:color w:val="auto"/>
        </w:rPr>
        <w:t>Sections 4.5(a)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within a reasonable period of time following the Effective Date (with the precise timing to be mutually agreed upon by the Parties, but in any event prior to [***]), each Party shall establish and thereafter maintain a safety database with respect to the Licensed Product in such Party’s Territory, and shall exchange any safety data timely as established in the pharmacovigilance agreement between the Parties. The pharmacovigilance agreement shall include provisions to facilitate and ensure that each Party has sufficient information to maintain such a database.</w:t>
      </w:r>
    </w:p>
    <w:p>
      <w:pPr>
        <w:spacing w:after="0" w:line="7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Licensee shall, and shall ensure that all Related Parties, and its and their subcontractors, conduct all Development, Manufacture and Commercialization of Licensed Products in compliance with all applicable Law.</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Development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8" w:lineRule="auto"/>
        <w:tabs>
          <w:tab w:leader="none" w:pos="123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Development activities to be conducted by Licensee or any Related Party in connection with any Licensed Compound or Licensed Product will be performed in accordance with the terms and conditions set forth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and the target product profile (“</w:t>
      </w:r>
      <w:r>
        <w:rPr>
          <w:rFonts w:ascii="Times New Roman" w:cs="Times New Roman" w:eastAsia="Times New Roman" w:hAnsi="Times New Roman"/>
          <w:sz w:val="18"/>
          <w:szCs w:val="18"/>
          <w:b w:val="1"/>
          <w:bCs w:val="1"/>
          <w:color w:val="auto"/>
        </w:rPr>
        <w:t>TPP</w:t>
      </w:r>
      <w:r>
        <w:rPr>
          <w:rFonts w:ascii="Times New Roman" w:cs="Times New Roman" w:eastAsia="Times New Roman" w:hAnsi="Times New Roman"/>
          <w:sz w:val="18"/>
          <w:szCs w:val="18"/>
          <w:color w:val="auto"/>
        </w:rPr>
        <w:t xml:space="preserve">”) and Development Plan. It is understood that [***]. An initial development plan setting out [***] is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Initial Development Plan</w:t>
      </w:r>
      <w:r>
        <w:rPr>
          <w:rFonts w:ascii="Times New Roman" w:cs="Times New Roman" w:eastAsia="Times New Roman" w:hAnsi="Times New Roman"/>
          <w:sz w:val="18"/>
          <w:szCs w:val="18"/>
          <w:color w:val="auto"/>
        </w:rPr>
        <w:t>”). Licensee shall be entitled, from time to time, to [***]; provided that Licensee shall promptly notify Licensor of [***] and will [***] within [***] after [***]. Licensee shall have no obligation to [***].</w:t>
      </w:r>
    </w:p>
    <w:p>
      <w:pPr>
        <w:spacing w:after="0" w:line="7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 prior to [***] outside the Territory (or pursuant to </w:t>
      </w:r>
      <w:r>
        <w:rPr>
          <w:rFonts w:ascii="Times New Roman" w:cs="Times New Roman" w:eastAsia="Times New Roman" w:hAnsi="Times New Roman"/>
          <w:sz w:val="18"/>
          <w:szCs w:val="18"/>
          <w:u w:val="single" w:color="auto"/>
          <w:color w:val="auto"/>
        </w:rPr>
        <w:t>Section 4.4(a) above</w:t>
      </w:r>
      <w:r>
        <w:rPr>
          <w:rFonts w:ascii="Times New Roman" w:cs="Times New Roman" w:eastAsia="Times New Roman" w:hAnsi="Times New Roman"/>
          <w:sz w:val="18"/>
          <w:szCs w:val="18"/>
          <w:color w:val="auto"/>
        </w:rPr>
        <w:t>, in the Territory) Licensor will prepare and provide to Licensee an [***] (“</w:t>
      </w:r>
      <w:r>
        <w:rPr>
          <w:rFonts w:ascii="Times New Roman" w:cs="Times New Roman" w:eastAsia="Times New Roman" w:hAnsi="Times New Roman"/>
          <w:sz w:val="18"/>
          <w:szCs w:val="18"/>
          <w:b w:val="1"/>
          <w:bCs w:val="1"/>
          <w:color w:val="auto"/>
        </w:rPr>
        <w:t>Japan Development Plan</w:t>
      </w:r>
      <w:r>
        <w:rPr>
          <w:rFonts w:ascii="Times New Roman" w:cs="Times New Roman" w:eastAsia="Times New Roman" w:hAnsi="Times New Roman"/>
          <w:sz w:val="18"/>
          <w:szCs w:val="18"/>
          <w:color w:val="auto"/>
        </w:rPr>
        <w:t>”). Licensor shall [***] and agrees that [***] and will [***] within [***] after [***]. Licensor shall have no obligation to [***].</w:t>
      </w:r>
    </w:p>
    <w:p>
      <w:pPr>
        <w:spacing w:after="0" w:line="67"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automatically expire on a Licensed Product-by-Licensed Product basis upon [***] in the case of Licensee, and [***] in the case of Licensor.</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Right of Negotiation.</w:t>
      </w:r>
    </w:p>
    <w:p>
      <w:pPr>
        <w:spacing w:after="0" w:line="117" w:lineRule="exact"/>
        <w:rPr>
          <w:sz w:val="20"/>
          <w:szCs w:val="20"/>
          <w:color w:val="auto"/>
        </w:rPr>
      </w:pPr>
    </w:p>
    <w:p>
      <w:pPr>
        <w:ind w:firstLine="987"/>
        <w:spacing w:after="0" w:line="261" w:lineRule="auto"/>
        <w:tabs>
          <w:tab w:leader="none" w:pos="123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decides to commence negotiations of, or if Licensee receives a bona fide term sheet from a Third Party with respect to, any transaction or series of transactions involving any license, sale, assignment, transfer or material disposition by Licensee to a non- Affiliate of Licensee of rights with respect to the Licensed Product, whether directly or indirectly by Change of Control of Licensee (“Transaction”), Licensee shall promptly provide Licensor with written notice (the “</w:t>
      </w:r>
      <w:r>
        <w:rPr>
          <w:rFonts w:ascii="Times New Roman" w:cs="Times New Roman" w:eastAsia="Times New Roman" w:hAnsi="Times New Roman"/>
          <w:sz w:val="18"/>
          <w:szCs w:val="18"/>
          <w:b w:val="1"/>
          <w:bCs w:val="1"/>
          <w:color w:val="auto"/>
        </w:rPr>
        <w:t>Transaction Notice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540" w:firstLine="987"/>
        <w:spacing w:after="0" w:line="286" w:lineRule="auto"/>
        <w:tabs>
          <w:tab w:leader="none" w:pos="124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 of providing the Transaction Notice to Licensor, Licensor provides a written indication of interest (the “</w:t>
      </w:r>
      <w:r>
        <w:rPr>
          <w:rFonts w:ascii="Times New Roman" w:cs="Times New Roman" w:eastAsia="Times New Roman" w:hAnsi="Times New Roman"/>
          <w:sz w:val="18"/>
          <w:szCs w:val="18"/>
          <w:b w:val="1"/>
          <w:bCs w:val="1"/>
          <w:color w:val="auto"/>
        </w:rPr>
        <w:t>IOI</w:t>
      </w:r>
      <w:r>
        <w:rPr>
          <w:rFonts w:ascii="Times New Roman" w:cs="Times New Roman" w:eastAsia="Times New Roman" w:hAnsi="Times New Roman"/>
          <w:sz w:val="18"/>
          <w:szCs w:val="18"/>
          <w:color w:val="auto"/>
        </w:rPr>
        <w:t>”) to Licensee regarding Licensor’s interest in negotiating the terms of [***] (the “</w:t>
      </w:r>
      <w:r>
        <w:rPr>
          <w:rFonts w:ascii="Times New Roman" w:cs="Times New Roman" w:eastAsia="Times New Roman" w:hAnsi="Times New Roman"/>
          <w:sz w:val="18"/>
          <w:szCs w:val="18"/>
          <w:b w:val="1"/>
          <w:bCs w:val="1"/>
          <w:color w:val="auto"/>
        </w:rPr>
        <w:t>Right of Negotiation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RON</w:t>
      </w:r>
      <w:r>
        <w:rPr>
          <w:rFonts w:ascii="Times New Roman" w:cs="Times New Roman" w:eastAsia="Times New Roman" w:hAnsi="Times New Roman"/>
          <w:sz w:val="18"/>
          <w:szCs w:val="18"/>
          <w:color w:val="auto"/>
        </w:rPr>
        <w:t>”) [***].</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9" w:right="459" w:bottom="1440" w:gutter="0" w:footer="0" w:header="0"/>
        </w:sectPr>
      </w:pPr>
    </w:p>
    <w:bookmarkStart w:id="554" w:name="page555"/>
    <w:bookmarkEnd w:id="554"/>
    <w:p>
      <w:pPr>
        <w:ind w:right="60" w:firstLine="987"/>
        <w:spacing w:after="0" w:line="256" w:lineRule="auto"/>
        <w:tabs>
          <w:tab w:leader="none" w:pos="12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RON, and the terms of </w:t>
      </w:r>
      <w:r>
        <w:rPr>
          <w:rFonts w:ascii="Times New Roman" w:cs="Times New Roman" w:eastAsia="Times New Roman" w:hAnsi="Times New Roman"/>
          <w:sz w:val="18"/>
          <w:szCs w:val="18"/>
          <w:u w:val="single" w:color="auto"/>
          <w:color w:val="auto"/>
        </w:rPr>
        <w:t>Sections 4.9(a)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4.9(b)</w:t>
      </w:r>
      <w:r>
        <w:rPr>
          <w:rFonts w:ascii="Times New Roman" w:cs="Times New Roman" w:eastAsia="Times New Roman" w:hAnsi="Times New Roman"/>
          <w:sz w:val="18"/>
          <w:szCs w:val="18"/>
          <w:color w:val="auto"/>
        </w:rPr>
        <w:t>, shall expire and be of no further force or effect from and after the closing of a Transaction with one or more non-Affiliate Third Parties involving any license, sale, assignment, transfer or material disposition by Cullinan Pearl, Inc., as Licensee, of all or substantially all of Licensee’s rights with respect to the Licensed Product. No Transaction Revenue Sharing shall be applicable to any further license, sale, assignment, transfer or other disposition of rights by the Non-Affiliate Sublicensee or counter-party in such Transaction or any successor thereto or assignee thereof with respect to the Licensed Product after the closing of such Transaction. The RON shall expire and be of no further force or effect from and after the consummation of an IPO of Licensee.</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if Licensee wishes to [***].</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4.9(d)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in the event an Affiliate of Licensor (i) is granted equity ownership representing [***] of [***] (the “[***] Share Threshold”), calculated on a fully diluted basis, as of the effective date of Licensee’s Transaction with [***], with anti-dilution protection sufficient to maintain Licensor at the [***]Share Threshold [***] in financing by [***](the “[***]</w:t>
      </w:r>
      <w:r>
        <w:rPr>
          <w:rFonts w:ascii="Times New Roman" w:cs="Times New Roman" w:eastAsia="Times New Roman" w:hAnsi="Times New Roman"/>
          <w:sz w:val="18"/>
          <w:szCs w:val="18"/>
          <w:b w:val="1"/>
          <w:bCs w:val="1"/>
          <w:color w:val="auto"/>
        </w:rPr>
        <w:t>Threshold Financing</w:t>
      </w:r>
      <w:r>
        <w:rPr>
          <w:rFonts w:ascii="Times New Roman" w:cs="Times New Roman" w:eastAsia="Times New Roman" w:hAnsi="Times New Roman"/>
          <w:sz w:val="18"/>
          <w:szCs w:val="18"/>
          <w:color w:val="auto"/>
        </w:rPr>
        <w:t>”), (ii) is granted rights to purchase the same class and series of shares sold to investors through the completion of the [***]Threshold Financing, representing up to an additional [***] of [***]capitalization, calculated on a fully diluted basis, immediately following the completion of the [***]Threshold Financing, on the same terms and conditions as the other investors in [***], and (iii) is granted the right to obtain a seat on the board of directors or equivalent managing body of [***]and to appoint a board observer, all on the terms substantially identical to the rights that Licensor enjoys with respect to Licensee as described in the Equity Documents, then Transaction Revenue to be shared with Licensor shall exclude payments in connection with such sublicense by Licensee of exclusive commercialization rights in [***], and the definitive agreements relating to [***]shall not include terms relating to a right of negotiation or transaction revenue sharing equivalent to the RON or Transaction Revenue Sharing terms, respectively, found in this Agreement, nor any similar concepts, with respect to any further license, sale, assignment, transfer or other disposition of rights by [***]. Licensor’s equity ownership in [***]shall be subject to other terms comparable (to the extent practicable under the laws governing [***]) to those applicable to Licensor’s equity ownership in Licensee.</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81" w:lineRule="auto"/>
        <w:tabs>
          <w:tab w:leader="none" w:pos="1236"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Sales and Distribution</w:t>
      </w:r>
      <w:r>
        <w:rPr>
          <w:rFonts w:ascii="Times New Roman" w:cs="Times New Roman" w:eastAsia="Times New Roman" w:hAnsi="Times New Roman"/>
          <w:sz w:val="17"/>
          <w:szCs w:val="17"/>
          <w:color w:val="auto"/>
        </w:rPr>
        <w:t>. Licensee shall be solely responsible for invoicing and booking sales, establishing all terms of sale (including pricing and discounts), warehousing and distributing the Licensed Products in the Field in the Territory and performing all related services, in each case, in a manner consistent with the terms and conditions of this Agreement. Licensee shall be solely responsible for handling all returns, recalls and withdrawals, order processing, invoicing and collection, distribution and inventory and receivables with respect to the Licensed Product in the Territory.</w:t>
      </w:r>
    </w:p>
    <w:p>
      <w:pPr>
        <w:spacing w:after="0" w:line="56" w:lineRule="exact"/>
        <w:rPr>
          <w:rFonts w:ascii="Times New Roman" w:cs="Times New Roman" w:eastAsia="Times New Roman" w:hAnsi="Times New Roman"/>
          <w:sz w:val="17"/>
          <w:szCs w:val="17"/>
          <w:color w:val="auto"/>
        </w:rPr>
      </w:pPr>
    </w:p>
    <w:p>
      <w:pPr>
        <w:ind w:right="640" w:firstLine="987"/>
        <w:spacing w:after="0" w:line="282" w:lineRule="auto"/>
        <w:tabs>
          <w:tab w:leader="none" w:pos="124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Trademarks</w:t>
      </w:r>
      <w:r>
        <w:rPr>
          <w:rFonts w:ascii="Times New Roman" w:cs="Times New Roman" w:eastAsia="Times New Roman" w:hAnsi="Times New Roman"/>
          <w:sz w:val="18"/>
          <w:szCs w:val="18"/>
          <w:color w:val="auto"/>
        </w:rPr>
        <w:t>. Licensee shall have the right to determine and own the Product Trademarks to be used with respect to the Commercialization of the Licensed Products in the Field in the Territory.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9" w:right="459" w:bottom="1440" w:gutter="0" w:footer="0" w:header="0"/>
        </w:sectPr>
      </w:pPr>
    </w:p>
    <w:bookmarkStart w:id="555" w:name="page556"/>
    <w:bookmarkEnd w:id="555"/>
    <w:p>
      <w:pPr>
        <w:ind w:left="-20" w:right="80" w:firstLine="987"/>
        <w:spacing w:after="0" w:line="266" w:lineRule="auto"/>
        <w:tabs>
          <w:tab w:leader="none" w:pos="121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Markings</w:t>
      </w:r>
      <w:r>
        <w:rPr>
          <w:rFonts w:ascii="Times New Roman" w:cs="Times New Roman" w:eastAsia="Times New Roman" w:hAnsi="Times New Roman"/>
          <w:sz w:val="18"/>
          <w:szCs w:val="18"/>
          <w:color w:val="auto"/>
        </w:rPr>
        <w:t>. All packaging materials, labels and promotional materials for Licensed Products in the Field in the Territory shall, to the extent legally permitted, include a statement acknowledging that each Licensed Product is sold under license from Licensee, in each case, in reasonable size and prominence.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Manufacture and Supply of Product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Transferred Quantities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80" w:firstLine="987"/>
        <w:spacing w:after="0" w:line="282" w:lineRule="auto"/>
        <w:tabs>
          <w:tab w:leader="none" w:pos="121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Quantities</w:t>
      </w:r>
      <w:r>
        <w:rPr>
          <w:rFonts w:ascii="Times New Roman" w:cs="Times New Roman" w:eastAsia="Times New Roman" w:hAnsi="Times New Roman"/>
          <w:sz w:val="18"/>
          <w:szCs w:val="18"/>
          <w:color w:val="auto"/>
        </w:rPr>
        <w:t>. Licensor will transfer to Licensee the Initial Quantities in accordance with the terms and timelines set forth in the Initial Development Plan.</w:t>
      </w:r>
    </w:p>
    <w:p>
      <w:pPr>
        <w:spacing w:after="0" w:line="5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Quantities</w:t>
      </w:r>
      <w:r>
        <w:rPr>
          <w:rFonts w:ascii="Times New Roman" w:cs="Times New Roman" w:eastAsia="Times New Roman" w:hAnsi="Times New Roman"/>
          <w:sz w:val="18"/>
          <w:szCs w:val="18"/>
          <w:color w:val="auto"/>
        </w:rPr>
        <w:t xml:space="preserve">. Transfer of Additional Quantities to Licensee will occur in accordance with </w:t>
      </w:r>
      <w:r>
        <w:rPr>
          <w:rFonts w:ascii="Times New Roman" w:cs="Times New Roman" w:eastAsia="Times New Roman" w:hAnsi="Times New Roman"/>
          <w:sz w:val="18"/>
          <w:szCs w:val="18"/>
          <w:u w:val="single" w:color="auto"/>
          <w:color w:val="auto"/>
        </w:rPr>
        <w:t>Schedule 1.75(b)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1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w:t>
      </w:r>
      <w:r>
        <w:rPr>
          <w:rFonts w:ascii="Times New Roman" w:cs="Times New Roman" w:eastAsia="Times New Roman" w:hAnsi="Times New Roman"/>
          <w:sz w:val="18"/>
          <w:szCs w:val="18"/>
          <w:color w:val="auto"/>
        </w:rPr>
        <w:t>. Licensee will pay Licensor for the Transferred Quantities a price equal to Licensor’s [***]; provided, that in the event Licensor elects to outsource the manufacture of the Additional Quantities to a CMO, [***].</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Responsibility for Supply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6" w:lineRule="auto"/>
        <w:tabs>
          <w:tab w:leader="none" w:pos="121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Transferred Quantities to be supplied to Licensee by Licensor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above, Licensee shall be responsible for manufacturing (or having manufactured) its requirements (and the requirements of all Related Parties) for Licensed Product in final finished form (including any intermediates or components thereof (including the Licensed Compound, drug product, fill/finish and any related packaging), collectively “</w:t>
      </w:r>
      <w:r>
        <w:rPr>
          <w:rFonts w:ascii="Times New Roman" w:cs="Times New Roman" w:eastAsia="Times New Roman" w:hAnsi="Times New Roman"/>
          <w:sz w:val="18"/>
          <w:szCs w:val="18"/>
          <w:b w:val="1"/>
          <w:bCs w:val="1"/>
          <w:color w:val="auto"/>
        </w:rPr>
        <w:t>Product Materials</w:t>
      </w:r>
      <w:r>
        <w:rPr>
          <w:rFonts w:ascii="Times New Roman" w:cs="Times New Roman" w:eastAsia="Times New Roman" w:hAnsi="Times New Roman"/>
          <w:sz w:val="18"/>
          <w:szCs w:val="18"/>
          <w:color w:val="auto"/>
        </w:rPr>
        <w:t>”), including all Licensed Product needed to carry out the Clinical Trials (and any non-clinical studies) necessary to obtain Regulatory Approval for the Licensed Product in the Territory, and following receipt of Regulatory Approval, for commercial sale in the Territory.</w:t>
      </w:r>
    </w:p>
    <w:p>
      <w:pPr>
        <w:spacing w:after="0" w:line="79" w:lineRule="exact"/>
        <w:rPr>
          <w:rFonts w:ascii="Times New Roman" w:cs="Times New Roman" w:eastAsia="Times New Roman" w:hAnsi="Times New Roman"/>
          <w:sz w:val="18"/>
          <w:szCs w:val="18"/>
          <w:color w:val="auto"/>
        </w:rPr>
      </w:pPr>
    </w:p>
    <w:p>
      <w:pPr>
        <w:ind w:left="-20" w:right="40" w:firstLine="987"/>
        <w:spacing w:after="0" w:line="255" w:lineRule="auto"/>
        <w:tabs>
          <w:tab w:leader="none" w:pos="122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above, until such time as first Regulatory Approval has been obtained for the Licensed Product in both the US and the EU (via the EMA centralized procedure), all manufacturing of Product Materials for use in connection with Pivotal Clinical Trials (and for any related non-clinical activities, including ongoing toxicology and stability studies) for the United States or EU (whether such Pivotal Clinical Trials are conducted by Licensee or a Related Party) shall be performed by one or more Qualified CMOs. Licensee and any such Related Party shall obtain such supply pursuant to a written agreement entered into by Licensee or such Related Party (“</w:t>
      </w:r>
      <w:r>
        <w:rPr>
          <w:rFonts w:ascii="Times New Roman" w:cs="Times New Roman" w:eastAsia="Times New Roman" w:hAnsi="Times New Roman"/>
          <w:sz w:val="18"/>
          <w:szCs w:val="18"/>
          <w:b w:val="1"/>
          <w:bCs w:val="1"/>
          <w:color w:val="auto"/>
        </w:rPr>
        <w:t>Contracting Party</w:t>
      </w:r>
      <w:r>
        <w:rPr>
          <w:rFonts w:ascii="Times New Roman" w:cs="Times New Roman" w:eastAsia="Times New Roman" w:hAnsi="Times New Roman"/>
          <w:sz w:val="18"/>
          <w:szCs w:val="18"/>
          <w:color w:val="auto"/>
        </w:rPr>
        <w:t>”) with such Qualified CMO (“</w:t>
      </w:r>
      <w:r>
        <w:rPr>
          <w:rFonts w:ascii="Times New Roman" w:cs="Times New Roman" w:eastAsia="Times New Roman" w:hAnsi="Times New Roman"/>
          <w:sz w:val="18"/>
          <w:szCs w:val="18"/>
          <w:b w:val="1"/>
          <w:bCs w:val="1"/>
          <w:color w:val="auto"/>
        </w:rPr>
        <w:t>Qualified CMO Supply Agreement</w:t>
      </w:r>
      <w:r>
        <w:rPr>
          <w:rFonts w:ascii="Times New Roman" w:cs="Times New Roman" w:eastAsia="Times New Roman" w:hAnsi="Times New Roman"/>
          <w:sz w:val="18"/>
          <w:szCs w:val="18"/>
          <w:color w:val="auto"/>
        </w:rPr>
        <w:t>”), which agreement shall include reasonable technology transfer provisions to permit the Contracting Party to produce such Product Materials itself or through a designee of its choosing.</w:t>
      </w:r>
    </w:p>
    <w:p>
      <w:pPr>
        <w:spacing w:after="0" w:line="80"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1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Licensee or a Related Party desires to produce Product Materials itself (i.e., in-house) and use such Product Materials in such Pivotal Clinical Trials, from and after such time as Licensor has entered into a mutually agreed supply agreement with Licensee or such Related Party for the supply of such Product Materials to Licensor, the same may be produced in-house by Licensee or such Related Party, as the case may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69" w:right="479" w:bottom="1440" w:gutter="0" w:footer="0" w:header="0"/>
        </w:sectPr>
      </w:pPr>
    </w:p>
    <w:bookmarkStart w:id="556" w:name="page557"/>
    <w:bookmarkEnd w:id="556"/>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used in such Pivotal Clinical Trials. For clarity, Licensee or a Related Party may take any and all actions necessary or desirable to establish such manufacturing of Product Materials itself (i.e., in- house) for use in in connection with Pivotal Clinical Trials or Commercialization, provided that Licensee or such Related Party shall not actually use such Product Materials in such Pivotal Clinical Trials unless and until Licensee or such Related Party has entered into a mutually agreed supply agreement with Licensor for the supply of such Product Materials to Licensor.</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Manufacturing Technology Transfer Plan; Development of Manufacturing Process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6" w:lineRule="auto"/>
        <w:tabs>
          <w:tab w:leader="none" w:pos="12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(directly or through the use of one or more contractors) shall, at Licensee’s expense, transfer, disclose or otherwise make available to the Qualified CMO selected by Licensee the Licensed Know-How relating to [***], all as further described in, and in accordance with, the 2011 Annex 7 WHO guidelines for transfer of technology in pharmaceutical manufacturing and the technology transfer plan to be mutually agreed upon by the Parties (“</w:t>
      </w:r>
      <w:r>
        <w:rPr>
          <w:rFonts w:ascii="Times New Roman" w:cs="Times New Roman" w:eastAsia="Times New Roman" w:hAnsi="Times New Roman"/>
          <w:sz w:val="18"/>
          <w:szCs w:val="18"/>
          <w:b w:val="1"/>
          <w:bCs w:val="1"/>
          <w:color w:val="auto"/>
        </w:rPr>
        <w:t>Manufacturing Technology Transfer Plan</w:t>
      </w:r>
      <w:r>
        <w:rPr>
          <w:rFonts w:ascii="Times New Roman" w:cs="Times New Roman" w:eastAsia="Times New Roman" w:hAnsi="Times New Roman"/>
          <w:sz w:val="18"/>
          <w:szCs w:val="18"/>
          <w:color w:val="auto"/>
        </w:rPr>
        <w:t>”). For clarity, Licensor’s transfer obligations shall be [***]. To the extent not specified in the Manufacturing Technology Transfer Plan, the Parties shall cooperate and reasonably agree upon formats and procedures to facilitate the orderly and efficient of such Licensed Know-How.</w:t>
      </w:r>
    </w:p>
    <w:p>
      <w:pPr>
        <w:spacing w:after="0" w:line="79"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acknowledged that Licensor currently [***]. Without limiting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above, upon Licensee’s request, Licensor shall assist Licensee in[***].</w:t>
      </w:r>
    </w:p>
    <w:p>
      <w:pPr>
        <w:spacing w:after="0" w:line="67" w:lineRule="exact"/>
        <w:rPr>
          <w:sz w:val="20"/>
          <w:szCs w:val="20"/>
          <w:color w:val="auto"/>
        </w:rPr>
      </w:pPr>
    </w:p>
    <w:p>
      <w:pPr>
        <w:ind w:left="1200"/>
        <w:spacing w:after="0"/>
        <w:tabs>
          <w:tab w:leader="none" w:pos="17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Licensor’s Right to Take Supply of Product Materials from Qualified CMO(s)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987"/>
        <w:spacing w:after="0" w:line="282" w:lineRule="auto"/>
        <w:tabs>
          <w:tab w:leader="none" w:pos="123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Party shall provide to Licensor a complete and correct copy of each Qualified CMO Supply Agreement within [***] after the execution thereof. For clarity, a Qualified CMO Supply Agreement shall refer to [***].</w:t>
      </w:r>
    </w:p>
    <w:p>
      <w:pPr>
        <w:spacing w:after="0" w:line="53" w:lineRule="exact"/>
        <w:rPr>
          <w:rFonts w:ascii="Times New Roman" w:cs="Times New Roman" w:eastAsia="Times New Roman" w:hAnsi="Times New Roman"/>
          <w:sz w:val="18"/>
          <w:szCs w:val="18"/>
          <w:color w:val="auto"/>
        </w:rPr>
      </w:pPr>
    </w:p>
    <w:p>
      <w:pPr>
        <w:ind w:left="440" w:firstLine="948"/>
        <w:spacing w:after="0" w:line="254" w:lineRule="auto"/>
        <w:tabs>
          <w:tab w:leader="none" w:pos="1607"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the Contracting Party shall cooperate fully and reasonably with Licensor to enable and facilitate the negotiation and execution by Licensor of a reasonable and customary supply agreement directly between Licensor and each Qualified CMO for the timely supply to Licensor of the same Product Materials from such Qualified CMO on terms no less favorable than those in the applicable Qualified CMO Supply Agreement (including reasonable technology transfer provisions, to permit Licensor or its designated supplier to produce such Product Materials). Licensee shall ensure that the Contracting Party authorizes the Qualified CMO to utilize on Licensor’s behalf (and as needed, to make available to Licensor) all information of Licensee and its Related Parties in the Qualified CMO’s possession necessary for the production of Product Materials identical to those being produced under the applicable Qualified CMO Supply Agreements. In no event shall the Licensee nor a Related Party seek to restrict, impede or discourage any Qualified CMO from manufacturing Licensed Product for Licensor.</w:t>
      </w:r>
    </w:p>
    <w:p>
      <w:pPr>
        <w:spacing w:after="0" w:line="83" w:lineRule="exact"/>
        <w:rPr>
          <w:rFonts w:ascii="Times New Roman" w:cs="Times New Roman" w:eastAsia="Times New Roman" w:hAnsi="Times New Roman"/>
          <w:sz w:val="18"/>
          <w:szCs w:val="18"/>
          <w:color w:val="auto"/>
        </w:rPr>
      </w:pPr>
    </w:p>
    <w:p>
      <w:pPr>
        <w:jc w:val="both"/>
        <w:ind w:right="220" w:firstLine="987"/>
        <w:spacing w:after="0" w:line="261" w:lineRule="auto"/>
        <w:tabs>
          <w:tab w:leader="none" w:pos="124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and without limiting any of the foregoing, it is understood that Licensor may manufacture, or obtain from another source supply of, some or all of its requirements of a Licensed Product (including, for clarity any modified formulation or dosage form of or packaging for a Licensed Product), or any Product Materials at any time and from time to time. If Licensor wishes to manufacture itself, or have manufactured, a Licensed Product and/or Product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9" w:right="479" w:bottom="1440" w:gutter="0" w:footer="0" w:header="0"/>
        </w:sectPr>
      </w:pPr>
    </w:p>
    <w:bookmarkStart w:id="557" w:name="page558"/>
    <w:bookmarkEnd w:id="5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Materials, in no event shall Licensee nor any Related Party attempt to limit the transfer to Licensor or its designee of the production process for the manufacture of such Licensed Product or Product Material, as applicable, including without limitation the manufacturing methods, test methods, specifications, materials, and other procedures, directions and controls associated with the manufacture and testing of such Licensed Product or Product Material, as the case may be, used by the Qualified CMO, to the extent the Licensee, such Related Party and/or such Qualified CMO Controls such parts of such production process.</w:t>
      </w:r>
    </w:p>
    <w:p>
      <w:pPr>
        <w:spacing w:after="0" w:line="75" w:lineRule="exact"/>
        <w:rPr>
          <w:sz w:val="20"/>
          <w:szCs w:val="20"/>
          <w:color w:val="auto"/>
        </w:rPr>
      </w:pPr>
    </w:p>
    <w:p>
      <w:pPr>
        <w:ind w:right="40" w:firstLine="987"/>
        <w:spacing w:after="0" w:line="258" w:lineRule="auto"/>
        <w:tabs>
          <w:tab w:leader="none" w:pos="1236"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intent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is that Licensor be able to obtain supply of Product Materials produced by the Qualified CMO(s) in sufficient quantities, on such timelines and otherwise as is reasonably necessary and customary for Licensor to Develop and Commercialize the Licensed Product outside the Territory without delay, and Licensee shall cooperate fully and reasonably and take such further actions as Licensor may reasonably request to achieve such objective, provided that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xml:space="preserve"> shall not be construed to materially expand or alter Licensee’s obligations under </w:t>
      </w:r>
      <w:r>
        <w:rPr>
          <w:rFonts w:ascii="Times New Roman" w:cs="Times New Roman" w:eastAsia="Times New Roman" w:hAnsi="Times New Roman"/>
          <w:sz w:val="18"/>
          <w:szCs w:val="18"/>
          <w:u w:val="single" w:color="auto"/>
          <w:color w:val="auto"/>
        </w:rPr>
        <w:t>Sections 5.4(a)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Royalties and Payment Terms</w:t>
      </w:r>
    </w:p>
    <w:p>
      <w:pPr>
        <w:spacing w:after="0" w:line="207"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Initial Payment</w:t>
      </w:r>
      <w:r>
        <w:rPr>
          <w:rFonts w:ascii="Times New Roman" w:cs="Times New Roman" w:eastAsia="Times New Roman" w:hAnsi="Times New Roman"/>
          <w:sz w:val="17"/>
          <w:szCs w:val="17"/>
          <w:color w:val="auto"/>
        </w:rPr>
        <w:t>. Licensee shall pay to Licensor an initial, non-refundable, non- creditable, license fee of Two Million, Five Hundred Thousand U.S. Dollars ($2,500,000.00) within thirty (30) days following the Effective Date, which may be provided by Licensor no earlier than the Effective Date.</w:t>
      </w:r>
    </w:p>
    <w:p>
      <w:pPr>
        <w:spacing w:after="0" w:line="2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6.2 Equity. In accordance with the terms of the Stock Subscription Agreement and other related documents (the “</w:t>
      </w:r>
      <w:r>
        <w:rPr>
          <w:rFonts w:ascii="Times New Roman" w:cs="Times New Roman" w:eastAsia="Times New Roman" w:hAnsi="Times New Roman"/>
          <w:sz w:val="18"/>
          <w:szCs w:val="18"/>
          <w:b w:val="1"/>
          <w:bCs w:val="1"/>
          <w:color w:val="auto"/>
        </w:rPr>
        <w:t>Equity Documents</w:t>
      </w:r>
      <w:r>
        <w:rPr>
          <w:rFonts w:ascii="Times New Roman" w:cs="Times New Roman" w:eastAsia="Times New Roman" w:hAnsi="Times New Roman"/>
          <w:sz w:val="18"/>
          <w:szCs w:val="18"/>
          <w:color w:val="auto"/>
        </w:rPr>
        <w:t>”), Licensee will issue to Licensor, on the Effective Date and as partial consideration for the licenses granted hereunder 1,860,000 shares of common stock of Licensee, representing ten percent (10%) of Licensee’s outstanding capital stock on a Fully-Diluted Basis as of the date of such issuance after giving effect to such issuance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Equity Documents set forth all other terms applicable to the Shares, including rights relating to anti-dilution protection and restrictions on transfer.</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Development and Regulatory Approval Milestone Payments</w:t>
      </w:r>
      <w:r>
        <w:rPr>
          <w:rFonts w:ascii="Times New Roman" w:cs="Times New Roman" w:eastAsia="Times New Roman" w:hAnsi="Times New Roman"/>
          <w:sz w:val="18"/>
          <w:szCs w:val="18"/>
          <w:color w:val="auto"/>
        </w:rPr>
        <w:t>. Licensee shall pay Licensor the applicable, non-refundable, non-creditable, milestone payment set forth below within [***] after the first achievement of each milestone event set forth below by or on behalf of Licensee or a Related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9" w:right="459" w:bottom="1440" w:gutter="0" w:footer="0" w:header="0"/>
        </w:sectPr>
      </w:pPr>
    </w:p>
    <w:bookmarkStart w:id="558" w:name="page559"/>
    <w:bookmarkEnd w:id="558"/>
    <w:tbl>
      <w:tblPr>
        <w:tblLayout w:type="fixed"/>
        <w:tblInd w:w="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880" w:type="dxa"/>
            <w:vAlign w:val="bottom"/>
            <w:gridSpan w:val="4"/>
          </w:tcPr>
          <w:p>
            <w:pPr>
              <w:jc w:val="right"/>
              <w:ind w:right="5079"/>
              <w:spacing w:after="0"/>
              <w:rPr>
                <w:sz w:val="20"/>
                <w:szCs w:val="20"/>
                <w:color w:val="auto"/>
              </w:rPr>
            </w:pPr>
            <w:r>
              <w:rPr>
                <w:rFonts w:ascii="Times New Roman" w:cs="Times New Roman" w:eastAsia="Times New Roman" w:hAnsi="Times New Roman"/>
                <w:sz w:val="14"/>
                <w:szCs w:val="14"/>
                <w:b w:val="1"/>
                <w:bCs w:val="1"/>
                <w:color w:val="auto"/>
                <w:w w:val="97"/>
              </w:rPr>
              <w:t>Table 6.3(a)</w:t>
            </w:r>
          </w:p>
        </w:tc>
        <w:tc>
          <w:tcPr>
            <w:tcW w:w="0" w:type="dxa"/>
            <w:vAlign w:val="bottom"/>
          </w:tcPr>
          <w:p>
            <w:pPr>
              <w:spacing w:after="0"/>
              <w:rPr>
                <w:sz w:val="1"/>
                <w:szCs w:val="1"/>
                <w:color w:val="auto"/>
              </w:rPr>
            </w:pPr>
          </w:p>
        </w:tc>
      </w:tr>
      <w:tr>
        <w:trPr>
          <w:trHeight w:val="155"/>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w:t>
            </w:r>
          </w:p>
        </w:tc>
        <w:tc>
          <w:tcPr>
            <w:tcW w:w="44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Development and Regulatory Approval Milestone Event</w:t>
            </w:r>
          </w:p>
        </w:tc>
        <w:tc>
          <w:tcPr>
            <w:tcW w:w="7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80" w:type="dxa"/>
            <w:vAlign w:val="bottom"/>
            <w:tcBorders>
              <w:bottom w:val="single" w:sz="8" w:color="auto"/>
            </w:tcBorders>
          </w:tcPr>
          <w:p>
            <w:pPr>
              <w:jc w:val="right"/>
              <w:ind w:right="1899"/>
              <w:spacing w:after="0" w:line="155" w:lineRule="exact"/>
              <w:rPr>
                <w:sz w:val="20"/>
                <w:szCs w:val="20"/>
                <w:color w:val="auto"/>
              </w:rPr>
            </w:pPr>
            <w:r>
              <w:rPr>
                <w:rFonts w:ascii="Times New Roman" w:cs="Times New Roman" w:eastAsia="Times New Roman" w:hAnsi="Times New Roman"/>
                <w:sz w:val="14"/>
                <w:szCs w:val="14"/>
                <w:color w:val="auto"/>
              </w:rPr>
              <w:t>Milestone Payment</w:t>
            </w:r>
          </w:p>
        </w:tc>
        <w:tc>
          <w:tcPr>
            <w:tcW w:w="0" w:type="dxa"/>
            <w:vAlign w:val="bottom"/>
          </w:tcPr>
          <w:p>
            <w:pPr>
              <w:spacing w:after="0"/>
              <w:rPr>
                <w:sz w:val="1"/>
                <w:szCs w:val="1"/>
                <w:color w:val="auto"/>
              </w:rPr>
            </w:pPr>
          </w:p>
        </w:tc>
      </w:tr>
      <w:tr>
        <w:trPr>
          <w:trHeight w:val="228"/>
        </w:trPr>
        <w:tc>
          <w:tcPr>
            <w:tcW w:w="68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5080" w:type="dxa"/>
            <w:vAlign w:val="bottom"/>
          </w:tcPr>
          <w:p>
            <w:pPr>
              <w:jc w:val="right"/>
              <w:ind w:right="4599"/>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4"/>
          </w:tcPr>
          <w:p>
            <w:pPr>
              <w:jc w:val="right"/>
              <w:ind w:right="45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4"/>
          </w:tcPr>
          <w:p>
            <w:pPr>
              <w:jc w:val="right"/>
              <w:ind w:right="45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4"/>
          </w:tcPr>
          <w:p>
            <w:pPr>
              <w:jc w:val="right"/>
              <w:ind w:right="45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4"/>
          </w:tcPr>
          <w:p>
            <w:pPr>
              <w:jc w:val="right"/>
              <w:ind w:right="45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(i) With respect to milestone events (C) and (E) in Table 6.3(a) above, [***]. Without limiting the foregoing, it is understood that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60" w:hanging="272"/>
        <w:spacing w:after="0"/>
        <w:tabs>
          <w:tab w:leader="none" w:pos="166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milestone events (D) and (E) in Table 6.3(a) above, such milestone event shall be achieved [***].</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707"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milestone payments set forth in above in Table 6.3(a) above is payable only once under this Agreement regardless of how many times the corresponding milestone event is achieved by or on behalf of Licensee or a Related Party with respect to one or more Licensed Products. For the avoidance of doubt, in no event shall Licensee be required to pay Licensor more than an aggregate of [***] in milestone payments under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Milestone Payments</w:t>
      </w:r>
      <w:r>
        <w:rPr>
          <w:rFonts w:ascii="Times New Roman" w:cs="Times New Roman" w:eastAsia="Times New Roman" w:hAnsi="Times New Roman"/>
          <w:sz w:val="18"/>
          <w:szCs w:val="18"/>
          <w:color w:val="auto"/>
        </w:rPr>
        <w:t>. Licensee shall pay Licensor the applicable, non- refundable, non-creditable, milestone payment set forth below within [***] after the first achievement of each milestone event set forth below by or on behalf of Licensee or a Related Party.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5200" w:type="dxa"/>
            <w:vAlign w:val="bottom"/>
            <w:gridSpan w:val="3"/>
          </w:tcPr>
          <w:p>
            <w:pPr>
              <w:ind w:left="4460"/>
              <w:spacing w:after="0"/>
              <w:rPr>
                <w:sz w:val="20"/>
                <w:szCs w:val="20"/>
                <w:color w:val="auto"/>
              </w:rPr>
            </w:pPr>
            <w:r>
              <w:rPr>
                <w:rFonts w:ascii="Times New Roman" w:cs="Times New Roman" w:eastAsia="Times New Roman" w:hAnsi="Times New Roman"/>
                <w:sz w:val="14"/>
                <w:szCs w:val="14"/>
                <w:b w:val="1"/>
                <w:bCs w:val="1"/>
                <w:color w:val="auto"/>
                <w:w w:val="99"/>
              </w:rPr>
              <w:t>Table 6.3(b)</w:t>
            </w:r>
          </w:p>
        </w:tc>
        <w:tc>
          <w:tcPr>
            <w:tcW w:w="6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156"/>
        </w:trPr>
        <w:tc>
          <w:tcPr>
            <w:tcW w:w="680" w:type="dxa"/>
            <w:vAlign w:val="bottom"/>
          </w:tcPr>
          <w:p>
            <w:pPr>
              <w:spacing w:after="0"/>
              <w:rPr>
                <w:sz w:val="13"/>
                <w:szCs w:val="13"/>
                <w:color w:val="auto"/>
              </w:rPr>
            </w:pPr>
          </w:p>
        </w:tc>
        <w:tc>
          <w:tcPr>
            <w:tcW w:w="4460" w:type="dxa"/>
            <w:vAlign w:val="bottom"/>
            <w:tcBorders>
              <w:bottom w:val="single" w:sz="8" w:color="auto"/>
            </w:tcBorders>
          </w:tcPr>
          <w:p>
            <w:pPr>
              <w:ind w:left="1940"/>
              <w:spacing w:after="0" w:line="155" w:lineRule="exact"/>
              <w:rPr>
                <w:sz w:val="20"/>
                <w:szCs w:val="20"/>
                <w:color w:val="auto"/>
              </w:rPr>
            </w:pPr>
            <w:r>
              <w:rPr>
                <w:rFonts w:ascii="Times New Roman" w:cs="Times New Roman" w:eastAsia="Times New Roman" w:hAnsi="Times New Roman"/>
                <w:sz w:val="14"/>
                <w:szCs w:val="14"/>
                <w:color w:val="auto"/>
              </w:rPr>
              <w:t>Sales Milestone Event</w:t>
            </w:r>
          </w:p>
        </w:tc>
        <w:tc>
          <w:tcPr>
            <w:tcW w:w="7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80" w:type="dxa"/>
            <w:vAlign w:val="bottom"/>
            <w:tcBorders>
              <w:bottom w:val="single" w:sz="8" w:color="auto"/>
            </w:tcBorders>
          </w:tcPr>
          <w:p>
            <w:pPr>
              <w:jc w:val="right"/>
              <w:ind w:right="1908"/>
              <w:spacing w:after="0" w:line="155" w:lineRule="exact"/>
              <w:rPr>
                <w:sz w:val="20"/>
                <w:szCs w:val="20"/>
                <w:color w:val="auto"/>
              </w:rPr>
            </w:pPr>
            <w:r>
              <w:rPr>
                <w:rFonts w:ascii="Times New Roman" w:cs="Times New Roman" w:eastAsia="Times New Roman" w:hAnsi="Times New Roman"/>
                <w:sz w:val="14"/>
                <w:szCs w:val="14"/>
                <w:color w:val="auto"/>
              </w:rPr>
              <w:t>Milestone Payment</w:t>
            </w:r>
          </w:p>
        </w:tc>
      </w:tr>
      <w:tr>
        <w:trPr>
          <w:trHeight w:val="286"/>
        </w:trPr>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5"/>
              </w:rPr>
              <w:t>(1)</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Single Calendar Year Net Sales in the Territory of a</w:t>
            </w:r>
          </w:p>
        </w:tc>
        <w:tc>
          <w:tcPr>
            <w:tcW w:w="5140" w:type="dxa"/>
            <w:vAlign w:val="bottom"/>
            <w:gridSpan w:val="2"/>
          </w:tcPr>
          <w:p>
            <w:pPr>
              <w:jc w:val="right"/>
              <w:ind w:right="4608"/>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Licensed Product [***]</w:t>
            </w: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06"/>
        </w:trPr>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5"/>
              </w:rPr>
              <w:t>(2)</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Single Calendar Year Net Sales in the Territory of a</w:t>
            </w:r>
          </w:p>
        </w:tc>
        <w:tc>
          <w:tcPr>
            <w:tcW w:w="5140" w:type="dxa"/>
            <w:vAlign w:val="bottom"/>
            <w:gridSpan w:val="2"/>
          </w:tcPr>
          <w:p>
            <w:pPr>
              <w:jc w:val="right"/>
              <w:ind w:right="4608"/>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Licensed Product [***]</w:t>
            </w: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06"/>
        </w:trPr>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5"/>
              </w:rPr>
              <w:t>(3)</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Single Calendar Year Net Sales in the Territory of a</w:t>
            </w:r>
          </w:p>
        </w:tc>
        <w:tc>
          <w:tcPr>
            <w:tcW w:w="5140" w:type="dxa"/>
            <w:vAlign w:val="bottom"/>
            <w:gridSpan w:val="2"/>
          </w:tcPr>
          <w:p>
            <w:pPr>
              <w:jc w:val="right"/>
              <w:ind w:right="460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Licensed Product</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516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559" w:name="page560"/>
    <w:bookmarkEnd w:id="559"/>
    <w:p>
      <w:pPr>
        <w:ind w:left="440" w:right="200" w:firstLine="948"/>
        <w:spacing w:after="0" w:line="261" w:lineRule="auto"/>
        <w:tabs>
          <w:tab w:leader="none" w:pos="1607"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of the milestone payments set forth in Table 6.3(b) above is payable only once and only upon the first achievement of the applicable Sales Milestone Event in the Territory, and no amounts would be due for subsequent or repeated achievements. For clarity, more than one Sales Milestone Event may occur in a single Calendar Year. For further clarity, in no event shall Licensee be required to pay Licensor more than an aggregate of [***] in milestone payments under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Milestone Event Notice</w:t>
      </w:r>
      <w:r>
        <w:rPr>
          <w:rFonts w:ascii="Times New Roman" w:cs="Times New Roman" w:eastAsia="Times New Roman" w:hAnsi="Times New Roman"/>
          <w:sz w:val="18"/>
          <w:szCs w:val="18"/>
          <w:color w:val="auto"/>
        </w:rPr>
        <w:t>. Within [***] after Licensee becomes aware that a Development and Regulatory Approval Milestone Event or Sales Milestone Event was achieved, Licensee shall notify Licensor thereof in writing, including identifying the event and the date of its achievement. Without limiting the foregoing, Licensee further agrees to inform Licensor by [***] if it believes that it is likely that any Sales Milestone Events that have not already been reported to Licensor are likely to be achieved in the current Calendar Year.</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61" w:lineRule="auto"/>
        <w:tabs>
          <w:tab w:leader="none" w:pos="1236"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Royalties on Net Sales of Licensed Products</w:t>
      </w:r>
      <w:r>
        <w:rPr>
          <w:rFonts w:ascii="Times New Roman" w:cs="Times New Roman" w:eastAsia="Times New Roman" w:hAnsi="Times New Roman"/>
          <w:sz w:val="18"/>
          <w:szCs w:val="18"/>
          <w:color w:val="auto"/>
        </w:rPr>
        <w:t>. Licensee shall pay running royalties, on a country-by-country and Licensed Product-by-Licensed Product basis, to Licensor on the annual, aggregate Net Sales of each Licensed Product in the Territory during the applicable Royalty Term (such Royalty Term determined on a Licensed Product-by-Licensed Product and country-by-country basis) at the applicable royalty rates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Annual Aggregated Net Sales of a Licensed Product</w:t>
            </w:r>
          </w:p>
        </w:tc>
        <w:tc>
          <w:tcPr>
            <w:tcW w:w="65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Royalty Rate</w:t>
            </w:r>
          </w:p>
        </w:tc>
      </w:tr>
      <w:tr>
        <w:trPr>
          <w:trHeight w:val="221"/>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portion of annual Net Sales less than [***]</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portion of annual Net Sales equal to or greater than [***]</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portion of annual Net Sales equal to or greater than [***]</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portion of annual Net Sales greater than [***]</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right="260" w:firstLine="987"/>
        <w:spacing w:after="0" w:line="266" w:lineRule="auto"/>
        <w:tabs>
          <w:tab w:leader="none" w:pos="1246"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Multiple Royalties</w:t>
      </w:r>
      <w:r>
        <w:rPr>
          <w:rFonts w:ascii="Times New Roman" w:cs="Times New Roman" w:eastAsia="Times New Roman" w:hAnsi="Times New Roman"/>
          <w:sz w:val="18"/>
          <w:szCs w:val="18"/>
          <w:color w:val="auto"/>
        </w:rPr>
        <w:t xml:space="preserve">. The obligation to pay royalties is imposed only once with respect to Net Sales of the same unit of a Licensed Product. If the Manufacture, use, sale or import of any Licensed Product is Covered by more than one Valid Claim of the Licensed Patent Rights, multiple royalties shall not be due. Solely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9" w:right="439" w:bottom="1440" w:gutter="0" w:footer="0" w:header="0"/>
        </w:sectPr>
      </w:pPr>
    </w:p>
    <w:bookmarkStart w:id="560" w:name="page561"/>
    <w:bookmarkEnd w:id="560"/>
    <w:p>
      <w:pPr>
        <w:ind w:right="20" w:firstLine="987"/>
        <w:spacing w:after="0" w:line="274" w:lineRule="auto"/>
        <w:tabs>
          <w:tab w:leader="none" w:pos="1236"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Valid Claim</w:t>
      </w:r>
      <w:r>
        <w:rPr>
          <w:rFonts w:ascii="Times New Roman" w:cs="Times New Roman" w:eastAsia="Times New Roman" w:hAnsi="Times New Roman"/>
          <w:sz w:val="17"/>
          <w:szCs w:val="17"/>
          <w:color w:val="auto"/>
        </w:rPr>
        <w:t>. The royalties owing under this Agreement are attributable independently but concurrently to the Licensed Patent Rights as well as the grant of other rights and undertakings of Licensor in this Agreement (including the grant of rights to Licensed Know-How). However, if at any time during the Royalty Term a Third Party with respect to whom a Party or its designee has filed an Infringement Action asserts as a defense to such claim that the failure of the Parties to provide for a reduction in the royalty rate for Licensed Products that are not covered by a Licensed Patent constitutes patent misuse (or a violation of a comparable legal doctrine) which would render the Licensed Patent Rights unenforceable or invalid, then the royalty rate shall thereafter be reduced to the extent necessary to maintain the enforceability and/or validity of the Licensed Patent Rights.</w:t>
      </w:r>
    </w:p>
    <w:p>
      <w:pPr>
        <w:spacing w:after="0" w:line="64" w:lineRule="exact"/>
        <w:rPr>
          <w:rFonts w:ascii="Times New Roman" w:cs="Times New Roman" w:eastAsia="Times New Roman" w:hAnsi="Times New Roman"/>
          <w:sz w:val="17"/>
          <w:szCs w:val="17"/>
          <w:color w:val="auto"/>
        </w:rPr>
      </w:pPr>
    </w:p>
    <w:p>
      <w:pPr>
        <w:ind w:firstLine="987"/>
        <w:spacing w:after="0" w:line="254" w:lineRule="auto"/>
        <w:tabs>
          <w:tab w:leader="none" w:pos="124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Royalty Offset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if Licensee becomes obligated to pay a royalty to a Third Party with respect to any Blocking Patent (as defined below), [***], Licensee, subject to the proviso to this sentence, may offset [***] of any royalty payments payable by Licensee to such Third Party(ies) under such license(s) with respect to sales of such Licensed Product(s) in such country against the royalty payments that are due to Licensor with respect to Net Sales of such Licensed Products in such country. As used herein, “</w:t>
      </w:r>
      <w:r>
        <w:rPr>
          <w:rFonts w:ascii="Times New Roman" w:cs="Times New Roman" w:eastAsia="Times New Roman" w:hAnsi="Times New Roman"/>
          <w:sz w:val="18"/>
          <w:szCs w:val="18"/>
          <w:b w:val="1"/>
          <w:bCs w:val="1"/>
          <w:u w:val="single" w:color="auto"/>
          <w:color w:val="auto"/>
        </w:rPr>
        <w:t>Blocking Patent</w:t>
      </w:r>
      <w:r>
        <w:rPr>
          <w:rFonts w:ascii="Times New Roman" w:cs="Times New Roman" w:eastAsia="Times New Roman" w:hAnsi="Times New Roman"/>
          <w:sz w:val="18"/>
          <w:szCs w:val="18"/>
          <w:color w:val="auto"/>
        </w:rPr>
        <w:t>” shall mean a Patent owned or controlled by a Third Party that is not a Related Party, which Patent covers the composition of matter of the Licensed Compound in the applicable country. For clarity, Licensee shall be responsible for making all payments to Third Parties in respect of intellectual property rights hereunder, except that Licensor shall be responsible for all payments to Third Parties in connection with any agreement between Licensor and any Third Party in effect as of the Effective Date.</w:t>
      </w:r>
    </w:p>
    <w:p>
      <w:pPr>
        <w:spacing w:after="0" w:line="83"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Generic Competition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at any time during the Royalty Term, Generic Competition exists in a given country in the Territory when a Licensed Product is sold in such country by Licensee or a Related Party, then Licensee shall be entitled to reduce the royalties due to Licensor for such Licensed Product on a form by form and strength by strength basis in such country by [***] for so long as such Generic Competition exists.</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Deductions</w:t>
      </w:r>
      <w:r>
        <w:rPr>
          <w:rFonts w:ascii="Times New Roman" w:cs="Times New Roman" w:eastAsia="Times New Roman" w:hAnsi="Times New Roman"/>
          <w:sz w:val="18"/>
          <w:szCs w:val="18"/>
          <w:color w:val="auto"/>
        </w:rPr>
        <w:t xml:space="preserve">. Notwithstanding anything in this Agreement to the contrary, under no circumstances shall the reductions set forth in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6.4(e)</w:t>
      </w:r>
      <w:r>
        <w:rPr>
          <w:rFonts w:ascii="Times New Roman" w:cs="Times New Roman" w:eastAsia="Times New Roman" w:hAnsi="Times New Roman"/>
          <w:sz w:val="18"/>
          <w:szCs w:val="18"/>
          <w:color w:val="auto"/>
        </w:rPr>
        <w:t xml:space="preserve"> cause the royalties payable to Licensor with respect to a given Licensed Product in any country in any Calendar Quarter to be reduced to less than [***] of the amount that would otherwise be due (i.e., without giving effect to the reductions specified in these sections) with respect to such Licensed Product in such country in such Calendar Quarter and provided further that in no event shall the royalty rate with respect to any Product in any country ever be reduced to less than [***]; provided that any amounts that are not offset during a Calendar Quarter shall be creditable against payments arising in subsequent Calendar Quarters.</w:t>
      </w:r>
    </w:p>
    <w:p>
      <w:pPr>
        <w:spacing w:after="0" w:line="75" w:lineRule="exact"/>
        <w:rPr>
          <w:rFonts w:ascii="Times New Roman" w:cs="Times New Roman" w:eastAsia="Times New Roman" w:hAnsi="Times New Roman"/>
          <w:sz w:val="18"/>
          <w:szCs w:val="18"/>
          <w:color w:val="auto"/>
        </w:rPr>
      </w:pPr>
    </w:p>
    <w:p>
      <w:pPr>
        <w:ind w:right="100" w:firstLine="987"/>
        <w:spacing w:after="0" w:line="259" w:lineRule="auto"/>
        <w:tabs>
          <w:tab w:leader="none" w:pos="124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Discounting</w:t>
      </w:r>
      <w:r>
        <w:rPr>
          <w:rFonts w:ascii="Times New Roman" w:cs="Times New Roman" w:eastAsia="Times New Roman" w:hAnsi="Times New Roman"/>
          <w:sz w:val="18"/>
          <w:szCs w:val="18"/>
          <w:color w:val="auto"/>
        </w:rPr>
        <w:t>. In the event that Licensee or a Related Party (each, a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sell Licensed Product to a Third Party who also purchases other products or services from Licensee or such Related Party, and for the purpose of promoting the sale of such other products or services, such Selling Party discounts the purchase price of the Licensed Product to a greater degree than such Selling Party generally discounts the price of their other products or services to such customer then, in such case, for purposes of calculating the royalty owing to Licensor, the purchase price of the Licensed Product by Third Party shall be deemed to [***].</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9" w:right="459" w:bottom="1440" w:gutter="0" w:footer="0" w:header="0"/>
        </w:sectPr>
      </w:pPr>
    </w:p>
    <w:bookmarkStart w:id="561" w:name="page562"/>
    <w:bookmarkEnd w:id="561"/>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Transaction Revenue</w:t>
      </w:r>
      <w:r>
        <w:rPr>
          <w:rFonts w:ascii="Times New Roman" w:cs="Times New Roman" w:eastAsia="Times New Roman" w:hAnsi="Times New Roman"/>
          <w:sz w:val="18"/>
          <w:szCs w:val="18"/>
          <w:color w:val="auto"/>
        </w:rPr>
        <w:t>. In the event (i) Licensor does not exercise its Right of Negotiation under Section 4.9 with respect to a Licensed Product, or (ii) Licensor does exercise its Right of Negotiation, but the Parties do not consummate a Transaction with respect to a Licensed Product, and, in either case (i) or (ii):</w:t>
      </w:r>
    </w:p>
    <w:p>
      <w:pPr>
        <w:spacing w:after="0" w:line="68" w:lineRule="exact"/>
        <w:rPr>
          <w:sz w:val="20"/>
          <w:szCs w:val="20"/>
          <w:color w:val="auto"/>
        </w:rPr>
      </w:pPr>
    </w:p>
    <w:p>
      <w:pPr>
        <w:ind w:firstLine="436"/>
        <w:spacing w:after="0" w:line="261" w:lineRule="auto"/>
        <w:tabs>
          <w:tab w:leader="none" w:pos="6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subsequently enters into a Transaction with one or more Third Parties for less than all or substantially all of Licensee’s rights in such Licensed Product, Licensee shall pay to Licensor a portion of the Transaction Revenue for such Transaction at the percentage rate and under the terms set forth below based on the stage of development of such Licensed Product as of the date such Transaction first becomes effective (the resulting amount to be “</w:t>
      </w:r>
      <w:r>
        <w:rPr>
          <w:rFonts w:ascii="Times New Roman" w:cs="Times New Roman" w:eastAsia="Times New Roman" w:hAnsi="Times New Roman"/>
          <w:sz w:val="18"/>
          <w:szCs w:val="18"/>
          <w:b w:val="1"/>
          <w:bCs w:val="1"/>
          <w:color w:val="auto"/>
        </w:rPr>
        <w:t>Transaction Revenue Sharing</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Effective Date of Transaction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Table 6.5(a)</w:t>
            </w:r>
          </w:p>
        </w:tc>
        <w:tc>
          <w:tcPr>
            <w:tcW w:w="0" w:type="dxa"/>
            <w:vAlign w:val="bottom"/>
          </w:tcPr>
          <w:p>
            <w:pPr>
              <w:spacing w:after="0"/>
              <w:rPr>
                <w:sz w:val="1"/>
                <w:szCs w:val="1"/>
                <w:color w:val="auto"/>
              </w:rPr>
            </w:pPr>
          </w:p>
        </w:tc>
      </w:tr>
      <w:tr>
        <w:trPr>
          <w:trHeight w:val="20"/>
        </w:trPr>
        <w:tc>
          <w:tcPr>
            <w:tcW w:w="4600" w:type="dxa"/>
            <w:vAlign w:val="bottom"/>
            <w:gridSpan w:val="3"/>
            <w:vMerge w:val="continue"/>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gridSpan w:val="3"/>
            <w:vMerge w:val="continue"/>
          </w:tcPr>
          <w:p>
            <w:pPr>
              <w:spacing w:after="0"/>
              <w:rPr>
                <w:sz w:val="12"/>
                <w:szCs w:val="12"/>
                <w:color w:val="auto"/>
              </w:rPr>
            </w:pPr>
          </w:p>
        </w:tc>
        <w:tc>
          <w:tcPr>
            <w:tcW w:w="120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spacing w:after="0"/>
              <w:rPr>
                <w:sz w:val="24"/>
                <w:szCs w:val="24"/>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987"/>
        <w:spacing w:after="0" w:line="261" w:lineRule="auto"/>
        <w:tabs>
          <w:tab w:leader="none" w:pos="124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subsequently enters into a Transaction with one or more Third Parties for all or substantially all of Licensee’s rights in such Licensed Product, Licensee shall pay to Licensor the following Transaction Revenue Sharing based on the stage of development of such Licensed Product as of the date such Transaction first becomes effective, provided that no Transaction Revenue Sharing shall be due or payable under this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following consummation of an IPO of Licensee:</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Effective Date of Transaction</w:t>
            </w:r>
          </w:p>
        </w:tc>
        <w:tc>
          <w:tcPr>
            <w:tcW w:w="4080" w:type="dxa"/>
            <w:vAlign w:val="bottom"/>
            <w:gridSpan w:val="4"/>
          </w:tcPr>
          <w:p>
            <w:pPr>
              <w:jc w:val="center"/>
              <w:ind w:left="2316"/>
              <w:spacing w:after="0"/>
              <w:rPr>
                <w:sz w:val="20"/>
                <w:szCs w:val="20"/>
                <w:color w:val="auto"/>
              </w:rPr>
            </w:pPr>
            <w:r>
              <w:rPr>
                <w:rFonts w:ascii="Times New Roman" w:cs="Times New Roman" w:eastAsia="Times New Roman" w:hAnsi="Times New Roman"/>
                <w:sz w:val="14"/>
                <w:szCs w:val="14"/>
                <w:b w:val="1"/>
                <w:bCs w:val="1"/>
                <w:color w:val="auto"/>
                <w:w w:val="99"/>
              </w:rPr>
              <w:t>Table 6.5(b)</w:t>
            </w:r>
          </w:p>
        </w:tc>
        <w:tc>
          <w:tcPr>
            <w:tcW w:w="0" w:type="dxa"/>
            <w:vAlign w:val="bottom"/>
          </w:tcPr>
          <w:p>
            <w:pPr>
              <w:spacing w:after="0"/>
              <w:rPr>
                <w:sz w:val="1"/>
                <w:szCs w:val="1"/>
                <w:color w:val="auto"/>
              </w:rPr>
            </w:pPr>
          </w:p>
        </w:tc>
      </w:tr>
      <w:tr>
        <w:trPr>
          <w:trHeight w:val="20"/>
        </w:trPr>
        <w:tc>
          <w:tcPr>
            <w:tcW w:w="1720" w:type="dxa"/>
            <w:vAlign w:val="bottom"/>
            <w:gridSpan w:val="2"/>
            <w:vMerge w:val="continu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2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120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2"/>
          </w:tcPr>
          <w:p>
            <w:pPr>
              <w:spacing w:after="0"/>
              <w:rPr>
                <w:sz w:val="19"/>
                <w:szCs w:val="19"/>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4"/>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9" w:right="459" w:bottom="1440" w:gutter="0" w:footer="0" w:header="0"/>
        </w:sectPr>
      </w:pPr>
    </w:p>
    <w:bookmarkStart w:id="562" w:name="page563"/>
    <w:bookmarkEnd w:id="562"/>
    <w:p>
      <w:pPr>
        <w:ind w:left="1140" w:hanging="253"/>
        <w:spacing w:after="0"/>
        <w:tabs>
          <w:tab w:leader="none" w:pos="11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Tables 6.5(a)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00" w:hanging="212"/>
        <w:spacing w:after="0"/>
        <w:tabs>
          <w:tab w:leader="none" w:pos="150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60" w:hanging="272"/>
        <w:spacing w:after="0"/>
        <w:tabs>
          <w:tab w:leader="none" w:pos="156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will be deemed to consist of “substantially all” of a Licensee’s rights in the Licensed Product if such Transaction</w:t>
      </w:r>
    </w:p>
    <w:p>
      <w:pPr>
        <w:spacing w:after="0" w:line="27" w:lineRule="exact"/>
        <w:rPr>
          <w:rFonts w:ascii="Times New Roman" w:cs="Times New Roman" w:eastAsia="Times New Roman" w:hAnsi="Times New Roman"/>
          <w:sz w:val="18"/>
          <w:szCs w:val="18"/>
          <w:color w:val="auto"/>
        </w:rPr>
      </w:pPr>
    </w:p>
    <w:p>
      <w:pPr>
        <w:ind w:left="340" w:right="680" w:hanging="4"/>
        <w:spacing w:after="0" w:line="260" w:lineRule="auto"/>
        <w:tabs>
          <w:tab w:leader="none" w:pos="63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a Change of Control of Licensee under </w:t>
      </w:r>
      <w:r>
        <w:rPr>
          <w:rFonts w:ascii="Times New Roman" w:cs="Times New Roman" w:eastAsia="Times New Roman" w:hAnsi="Times New Roman"/>
          <w:sz w:val="18"/>
          <w:szCs w:val="18"/>
          <w:u w:val="single" w:color="auto"/>
          <w:color w:val="auto"/>
        </w:rPr>
        <w:t>Section 1.9(b)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or (B) consists of an out-license pursuant to which Qualified Sublicensee receives [***].</w:t>
      </w:r>
    </w:p>
    <w:p>
      <w:pPr>
        <w:spacing w:after="0" w:line="73" w:lineRule="exact"/>
        <w:rPr>
          <w:rFonts w:ascii="Times New Roman" w:cs="Times New Roman" w:eastAsia="Times New Roman" w:hAnsi="Times New Roman"/>
          <w:sz w:val="18"/>
          <w:szCs w:val="18"/>
          <w:color w:val="auto"/>
        </w:rPr>
      </w:pPr>
    </w:p>
    <w:p>
      <w:pPr>
        <w:ind w:left="-100" w:firstLine="987"/>
        <w:spacing w:after="0" w:line="266" w:lineRule="auto"/>
        <w:tabs>
          <w:tab w:leader="none" w:pos="114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Transaction Revenue Sharing due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Licensee shall make such Transaction Revenue Sharing within [***] following the receipt of the applicable Transaction Revenue. All payments shall be accompanied by a report that includes a calculation of all payments payable to Licensor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Reports, Payments and Accounting</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right="60" w:hanging="439"/>
        <w:spacing w:after="0" w:line="266" w:lineRule="auto"/>
        <w:tabs>
          <w:tab w:leader="none" w:pos="132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Payments</w:t>
      </w:r>
      <w:r>
        <w:rPr>
          <w:rFonts w:ascii="Times New Roman" w:cs="Times New Roman" w:eastAsia="Times New Roman" w:hAnsi="Times New Roman"/>
          <w:sz w:val="18"/>
          <w:szCs w:val="18"/>
          <w:color w:val="auto"/>
        </w:rPr>
        <w:t>. Licensee shall deliver to Licensor, within [***]in which the First Commercial Sale of a Licensed Product occurs, a written report (each, a “</w:t>
      </w:r>
      <w:r>
        <w:rPr>
          <w:rFonts w:ascii="Times New Roman" w:cs="Times New Roman" w:eastAsia="Times New Roman" w:hAnsi="Times New Roman"/>
          <w:sz w:val="18"/>
          <w:szCs w:val="18"/>
          <w:u w:val="single" w:color="auto"/>
          <w:color w:val="auto"/>
        </w:rPr>
        <w:t>Royalty Report</w:t>
      </w:r>
      <w:r>
        <w:rPr>
          <w:rFonts w:ascii="Times New Roman" w:cs="Times New Roman" w:eastAsia="Times New Roman" w:hAnsi="Times New Roman"/>
          <w:sz w:val="18"/>
          <w:szCs w:val="18"/>
          <w:color w:val="auto"/>
        </w:rPr>
        <w:t xml:space="preserve">”) setting out all details necessary to calculate the payments due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including:</w:t>
      </w:r>
    </w:p>
    <w:p>
      <w:pPr>
        <w:spacing w:after="0" w:line="81"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860" w:hanging="53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20"/>
          </w:cols>
          <w:pgMar w:left="540" w:top="269" w:right="539" w:bottom="1440" w:gutter="0" w:footer="0" w:header="0"/>
        </w:sectPr>
      </w:pPr>
    </w:p>
    <w:bookmarkStart w:id="563" w:name="page564"/>
    <w:bookmarkEnd w:id="56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When Licensee delivers the Royalty Report to Licensor, Licensee shall also deliver all amounts due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to Licensor for the Calendar Quarter.</w:t>
      </w:r>
    </w:p>
    <w:p>
      <w:pPr>
        <w:spacing w:after="0" w:line="54" w:lineRule="exact"/>
        <w:rPr>
          <w:sz w:val="20"/>
          <w:szCs w:val="20"/>
          <w:color w:val="auto"/>
        </w:rPr>
      </w:pPr>
    </w:p>
    <w:p>
      <w:pPr>
        <w:ind w:right="20" w:firstLine="987"/>
        <w:spacing w:after="0" w:line="252" w:lineRule="auto"/>
        <w:tabs>
          <w:tab w:leader="none" w:pos="124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Audits by Licensor</w:t>
      </w:r>
      <w:r>
        <w:rPr>
          <w:rFonts w:ascii="Times New Roman" w:cs="Times New Roman" w:eastAsia="Times New Roman" w:hAnsi="Times New Roman"/>
          <w:sz w:val="18"/>
          <w:szCs w:val="18"/>
          <w:color w:val="auto"/>
        </w:rPr>
        <w:t xml:space="preserve">. Licensee shall keep, and shall require the Related Parties to keep, complete, true and accurate books of accounts and records of the [***] Calendar Years of sales of Licensed Products for the purpose of determining the amounts payable to Licensor pursuant to this Agreement. At the reasonable request of Licensor, Licensee shall, and shall cause its Affiliates and shall use reasonable efforts to require its Non-Affiliate Sublicensees to permit an independent, certified public accountant (chosen by Licensor and reasonably acceptable to Licensee) to review, at Licensor’s expense, such records in the location(s) where such records are maintained by Licensee or its applicable Affiliate(s) or Non-Affiliate Sublicensee during regular business hours for the sole purpose of verifying Licensee’s compliance with its payment obligations hereunder. Such audit right may be exercised by Licensor [***]each Calendar Year (except in the case of fraud), [***]with respect to any Calendar Quarter (except in the case of fraud). If Licensee is unable to obtain from any Non-Affiliate Sublicensee a right for Licensor (through an independent certified public accountant designated by Licensor) to audit the equivalent books and records of such Non-Affiliate Sublicensee, Licensee shall obtain the right to inspect and audit such Non-Affiliate Sublicensee’s books and records for itself and shall exercise such audit rights on behalf of Licensor upon Licensor’s written request and disclose the results of any such audit to Licensor in accordance with the terms of this Agreement. The results of such review shall be made available to Licensee at the same time as such results are made available to Licensor. If the review reflects an underpayment to Licensor, such underpayment shall be promptly remitted to Licensor, together with interest calculated in the manner provided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If the underpayment is equal to or greater than [***] of the amount that was otherwise due, Licensor shall be entitled to have Licensee pay all of the reasonable costs of such review, and such review shall not count as the [***] review Licensor is entitled to conduct hereunder. Each report provided by Licensee shall be deemed final and not subject to challenge, except in the event of fraud or other willful misconduct, [***] after the date furnished to Licensor.</w:t>
      </w:r>
    </w:p>
    <w:p>
      <w:pPr>
        <w:spacing w:after="0" w:line="86"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Licensee shall pay interest to Licensor on the aggregate amount of any payment that is not paid on or before the date such payment is due under this Agreement at a rate per annum equal to the prime rate in the United States of Citibank, NA (or its successor bank) as in effect on the date such payment is due plus [***], calculated daily (on the basis of a 365-day year) for the period during which such payment remains overdue.</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Mode of Payment; Currency Conversion</w:t>
      </w:r>
      <w:r>
        <w:rPr>
          <w:rFonts w:ascii="Times New Roman" w:cs="Times New Roman" w:eastAsia="Times New Roman" w:hAnsi="Times New Roman"/>
          <w:sz w:val="18"/>
          <w:szCs w:val="18"/>
          <w:color w:val="auto"/>
        </w:rPr>
        <w:t>. All payments under this Agreement, shall be made by deposit of U.S. Dollars in the requisite amount to such bank account as Licensor may from time to time designate by notice to Licensee. For the purpose of calculation of Net Sales expressed in currencies other than U.S. Dollars, Licensee shall convert any amount expressed in a foreign currency into U.S. Dollar equivalents using a rate of exchange as published in The Wall Street Journal (U.S. Eastern Edition) on last day of the Calendar Quarter in which such Net Sales were made or using another commercially reasonable method and commercially reasonable rates with Licensor’s consent, such consent not to be unreasonably withheld, conditioned or delayed.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9" w:right="459" w:bottom="1440" w:gutter="0" w:footer="0" w:header="0"/>
        </w:sectPr>
      </w:pPr>
    </w:p>
    <w:bookmarkStart w:id="564" w:name="page565"/>
    <w:bookmarkEnd w:id="564"/>
    <w:p>
      <w:pPr>
        <w:ind w:right="60" w:firstLine="987"/>
        <w:spacing w:after="0" w:line="255" w:lineRule="auto"/>
        <w:tabs>
          <w:tab w:leader="none" w:pos="123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w:t>
      </w:r>
      <w:r>
        <w:rPr>
          <w:rFonts w:ascii="Times New Roman" w:cs="Times New Roman" w:eastAsia="Times New Roman" w:hAnsi="Times New Roman"/>
          <w:sz w:val="18"/>
          <w:szCs w:val="18"/>
          <w:color w:val="auto"/>
        </w:rPr>
        <w:t>. If Licensee is required to withhold taxes imposed upon royalty payments or other payments due hereunder, then Licensee may deduct from such payments any such withholding taxes and shall pay such withheld amounts to the proper tax authorities for credit to the tax account of Licensor. Licensee shall provide to Licensor official receipts of payment of any such withholding taxes promptly after payment. Licensee shall provide Licensor with reasonable assistance in efforts by Licensor to reduce any withholding taxes as far as possible under the provisions of any relevant tax treaty or other statutory or regulatory provision. The Parties shall discuss applicable mechanisms for minimizing such taxes to extent possible in compliance with Law. In addition, the Parties shall cooperate in accordance with Law to minimize indirect taxes (such as value added tax, sales tax, consumption tax and other similar taxes) in connection with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Protection and Related Matters</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As between the Parties, each Party shall solely own all Intellectual Property, including Patent Rights related thereto, made, conceived, reduced to practice, or otherwise discovered, whether prior to, on or after the Effective Date, solely by employees, agents and consultants of such Party or its Affiliates. Each Party shall own an equal, undivided interest in all Intellectual Property, including Patent Rights related thereto, made, conceived, reduced to practice, or otherwise discovered in the course of conducting such Party’s obligations or exercising its rights under this Agreement, jointly by or on behalf of each Party (or their respective Affiliates, independent contractors or sublicensees (including Sublicensees) or its or their respective directors, officers, employees or agents) (collectively, “</w:t>
      </w: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and the Patent Rights based on or Covering such Joint Inventions, the “</w:t>
      </w:r>
      <w:r>
        <w:rPr>
          <w:rFonts w:ascii="Times New Roman" w:cs="Times New Roman" w:eastAsia="Times New Roman" w:hAnsi="Times New Roman"/>
          <w:sz w:val="18"/>
          <w:szCs w:val="18"/>
          <w:b w:val="1"/>
          <w:bCs w:val="1"/>
          <w:color w:val="auto"/>
        </w:rPr>
        <w:t>Joint Patent Rights</w:t>
      </w:r>
      <w:r>
        <w:rPr>
          <w:rFonts w:ascii="Times New Roman" w:cs="Times New Roman" w:eastAsia="Times New Roman" w:hAnsi="Times New Roman"/>
          <w:sz w:val="18"/>
          <w:szCs w:val="18"/>
          <w:color w:val="auto"/>
        </w:rPr>
        <w:t xml:space="preserve">”). Each Party shall have full rights to license, assign and exploit such Party’s interest in such Joint Inventions and Joint Patent Rights anywhere in the world, without any requirement of gaining the consent of, or accounting to, the other Party, subject to the licenses granted herein and subject to any other intellectual property held by such other Party. Each Party shall promptly disclose to the other all Joint Inventions, in each case, including all invention disclosures or other similar documents submitted to such Party by its, or its Affiliates’, independent contractors’ or sublicensees’ (including Sublicensees’) directors, officers, employees or agents describing such Joint Inventions. For purposes of determining ownership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inventorship shall be determined in accordance with the Laws of the United States.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Prosecution and Maintenance of Licensed Patent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6" w:lineRule="auto"/>
        <w:tabs>
          <w:tab w:leader="none" w:pos="123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subject to subparagraph (c) below, Licensee shall assume responsibility for the Prosecution and Maintenance of all Licensed Patent Rights in the Territory and shall have the first right, at is sole expense and discretion, to Prosecute and Maintain all Licensed Patent Rights in the Territory using patent counsel of its choice. Licensor shall use its best efforts to transition the Prosecution and Maintenance of all Licensed Patent Rights to Licensee promptly following the Effective Date and to reasonably assist Licensee in such transition and assumption. In the event Licensee fails or chooses not to Prosecute or Maintain any Licensed Patent Rights in a country in the Territory, Licensor shall have the right, but not the obligation, at its sole expense and discretion, to Prosecute and Maintain such Licensed Patent Rights in such country.</w:t>
      </w:r>
    </w:p>
    <w:p>
      <w:pPr>
        <w:spacing w:after="0" w:line="79" w:lineRule="exact"/>
        <w:rPr>
          <w:rFonts w:ascii="Times New Roman" w:cs="Times New Roman" w:eastAsia="Times New Roman" w:hAnsi="Times New Roman"/>
          <w:sz w:val="18"/>
          <w:szCs w:val="18"/>
          <w:color w:val="auto"/>
        </w:rPr>
      </w:pPr>
    </w:p>
    <w:p>
      <w:pPr>
        <w:ind w:right="160" w:firstLine="987"/>
        <w:spacing w:after="0" w:line="281" w:lineRule="auto"/>
        <w:tabs>
          <w:tab w:leader="none" w:pos="1246"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Licensor shall have responsibility for the Prosecution and Maintenance of all Licensed Patent Rights outside the Territory and shall have the first right, at is sole expense and discretion, to Prosecute and Maintain all Licensed Patent Rights outside the Territory using patent counsel of its choice. In the event Licensor fails or chooses not to Prosecute or Maintain any Licensed Patent Rights in a country outside the Territory, Licensee shall have the right, but not the obligation, at its sole expense and discretion, to Prosecute and Maintain such Licensed Patent Rights in such country.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9" w:right="459" w:bottom="1440" w:gutter="0" w:footer="0" w:header="0"/>
        </w:sectPr>
      </w:pPr>
    </w:p>
    <w:bookmarkStart w:id="565" w:name="page566"/>
    <w:bookmarkEnd w:id="565"/>
    <w:p>
      <w:pPr>
        <w:ind w:left="4" w:firstLine="987"/>
        <w:spacing w:after="0" w:line="255" w:lineRule="auto"/>
        <w:tabs>
          <w:tab w:leader="none" w:pos="124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Prosecution and Maintenance of Licensed Patent Rights, the Prosecuting Party shall: (i) instruct its patent counsel to furnish the other Party with copies of all correspondence relating to the Licensed Patent Rights received from the United States Patent and Trademark Office and any other patent office promptly after receipt; (iii) instruct such patent counsel to furnish the other Party with copies of all correspondence relating to the Licensed Patent Rights sent to the United States Patent and Trademark Office and any other patent office promptly after it is sent;</w:t>
      </w:r>
    </w:p>
    <w:p>
      <w:pPr>
        <w:spacing w:after="0" w:line="2" w:lineRule="exact"/>
        <w:rPr>
          <w:rFonts w:ascii="Times New Roman" w:cs="Times New Roman" w:eastAsia="Times New Roman" w:hAnsi="Times New Roman"/>
          <w:sz w:val="18"/>
          <w:szCs w:val="18"/>
          <w:color w:val="auto"/>
        </w:rPr>
      </w:pPr>
    </w:p>
    <w:p>
      <w:pPr>
        <w:ind w:left="4" w:right="80" w:hanging="4"/>
        <w:spacing w:after="0" w:line="251" w:lineRule="auto"/>
        <w:tabs>
          <w:tab w:leader="none" w:pos="30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such patent counsel to furnish the other Party with copies of all proposed filings or other correspondence to the United States Patent and Trademark Office and any other patent office sufficiently in advance of such filing to permit the other Party a reasonable opportunity to review and comment on such response; and (v) supply the other Party with a copy of each patent application within the Licensed Patent Rights as filed, together with notice of its filing date and serial number. The Prosecuting Party shall consider in good faith the comments and requests of the other Party with respect to the Prosecution and Maintenance of the applicable Licensed Patent Rights but will retain the final decision making authority with respect to the Licensed Patent Rights it is prosecuting. Notwithstanding the foregoing, to the extent any claims of any Licensed Patent Rights in the Territory are directed to subject matter other than Licensed Compound or Licensed Product or its or their manufacture or use, Licensee shall take direction from Licensor with respect to the prosecution of such claims and shall implement Licensor’s requests with respect to such prosecution, it being understood that Licensor shall have the final decision making authority with respect to the Prosecution and Maintenance of such claims to the extent not directed to Licensed Compound or Licensed Product or its or their manufacture or use.</w:t>
      </w:r>
    </w:p>
    <w:p>
      <w:pPr>
        <w:spacing w:after="0" w:line="84"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Licensee shall notify Licensor at least [***] in advance of the next deadline if (A) Licensee decides that it does not wish to continue paying for the Prosecution and Maintenance of a particular patent or patent application within the Licensed Patent Rights anywhere in the world for which no substitute has been filed, or (B) Licensee decides that it intends to expressly abandon claim scope in a particular patent or patent application within the Licensed Patent Rights. In such cases (A) or (B), Licensor shall have the right to assume sole responsibility for Prosecution and Maintenance of the respective patent or patent application within the Licensed Patent Rights. If the Licensor assumes such responsibility, with respect to clause (B), such sole responsibility will be assumed for the claim scope by filing a continuing application restricted to such abandoned claim scope. If Licensor assumes such responsibility, then Licensor shall be deemed the new Prosecuting Party and: (1) Licensor may designate any counsel of its choice to handle the Prosecution and Maintenance of such patent or patent application or of the continuing application; (2) Licensor, shall initially bear the cost of such Prosecution and Maintenance but shall be entitled to recover its out-of-pocket costs for such Prosecution and Maintenance from Licensee on a quarterly basis, provided that if Licensee does not wish to reimburse such costs it shall so inform Licensor and Licensee’s licenses under such patent or patent application shall terminate; and (3) Licensee shall cooperate reasonably, at its sole cost and expense, with Licensor in such Prosecution and Maintenance.</w:t>
      </w:r>
    </w:p>
    <w:p>
      <w:pPr>
        <w:spacing w:after="0" w:line="81"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4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shall reasonably cooperate with each other and patent counsel in Prosecution and Maintenance of the Licensed Patent Rights in all countries, including, as applicable,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69" w:right="459" w:bottom="1440" w:gutter="0" w:footer="0" w:header="0"/>
        </w:sectPr>
      </w:pPr>
    </w:p>
    <w:bookmarkStart w:id="566" w:name="page567"/>
    <w:bookmarkEnd w:id="566"/>
    <w:p>
      <w:pPr>
        <w:ind w:left="224" w:hanging="224"/>
        <w:spacing w:after="0"/>
        <w:tabs>
          <w:tab w:leader="none" w:pos="22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providing patent counsel with data and other information as appropriate with respect thereto,</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any necessary powers of attorney (including limited powers of attorney) and</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any other required documents or instruments for such Prosecution and Maintenance.</w:t>
      </w:r>
    </w:p>
    <w:p>
      <w:pPr>
        <w:spacing w:after="0" w:line="98"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2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controlling the Prosecution and Maintenance of the applicable Licensed Patent Rights in accordance with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7.2(c)</w:t>
      </w:r>
      <w:r>
        <w:rPr>
          <w:rFonts w:ascii="Times New Roman" w:cs="Times New Roman" w:eastAsia="Times New Roman" w:hAnsi="Times New Roman"/>
          <w:sz w:val="18"/>
          <w:szCs w:val="18"/>
          <w:color w:val="auto"/>
        </w:rPr>
        <w:t xml:space="preserve">, as applicable, is referred to as the “Prosecuting Party”. Except as otherwise set forth in Section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the Prosecuting Party shall be responsible for all fees and costs charged by patent counsel with respect to the Prosecution and Maintenance of the applicable Licensed Patent Rights and all other out-of-pocket costs and expenses incurred by the Prosecuting Party in connection with such Prosecution and Maintenance of the applicable Licensed Patent Rights during the Term. For clarity, such expenses shall not include any expenses of the other Party incurred by such other Party in connection with (i) its rights to review and comment on patent prosecution, (ii) its rights to undertake enforcement actions, or (iii) any actions undertaken by such other Party other than at the Prosecuting Party’s request. The Prosecuting Party also agrees not to knowingly take any action to materially diminish the value of the Licensed Patent Rights.</w:t>
      </w:r>
    </w:p>
    <w:p>
      <w:pPr>
        <w:spacing w:after="0" w:line="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Third Party Infringement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58" w:lineRule="auto"/>
        <w:tabs>
          <w:tab w:leader="none" w:pos="124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Each Party shall notify the other Party promptly of any knowledge it acquires of any actual or potential (i) infringements of the Licensed Patent Rights or (ii) unauthorized use or misappropriation of any of the Licensed Know-How, in each case of (i) and (ii), with respect to the manufacture or sale or use by a Third Party in any country in the Territory of a product that would fall within the scope of Licensee’s exclusive licenses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were it being manufactured, sold or used by Licensee (“</w:t>
      </w:r>
      <w:r>
        <w:rPr>
          <w:rFonts w:ascii="Times New Roman" w:cs="Times New Roman" w:eastAsia="Times New Roman" w:hAnsi="Times New Roman"/>
          <w:sz w:val="18"/>
          <w:szCs w:val="18"/>
          <w:b w:val="1"/>
          <w:bCs w:val="1"/>
          <w:color w:val="auto"/>
        </w:rPr>
        <w:t>Infringing Product</w:t>
      </w:r>
      <w:r>
        <w:rPr>
          <w:rFonts w:ascii="Times New Roman" w:cs="Times New Roman" w:eastAsia="Times New Roman" w:hAnsi="Times New Roman"/>
          <w:sz w:val="18"/>
          <w:szCs w:val="18"/>
          <w:color w:val="auto"/>
        </w:rPr>
        <w:t>”) and shall provide the other Party with all available evidence regarding such known or suspected infringement or unauthorized use.</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948"/>
        <w:spacing w:after="0" w:line="253" w:lineRule="auto"/>
        <w:tabs>
          <w:tab w:leader="none" w:pos="1611"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the first right, but not the obligation, to initiate a lawsuit or take other reasonable action to enforce the Licensed Patent Rights and to defend the Licensed Know-How, in each case solely in the case of infringement or unauthorized use or misappropriation related to an Infringing Product, or its Manufacture, use, sale or import, in the Field in the Territory. If Licensee does not intend to initiate a lawsuit or take other reasonable action to enforce the Licensed Patent Rights and/or defend the Licensed Know- How, Licensee shall notify Licensor, and Licensor agrees to meet with Licensee promptly, but in any event within [***], after such notice, if requested by Licensee, in order for Licensee to discuss with Licensor the reasons for Licensee’s intention. Before Licensor commences an action with respect to any Infringement, Licensee shall consider in good faith the views of Licensee and potential effects on the public interest in making its decision whether to sue. If Licensee does not initiate a lawsuit or take other reasonable action to enforce the Licensed Patent Rights and/or defend the Licensed Know- How within one hundred [***] of receipt of a request by Licensor to initiate an enforcement proceeding, or if an legal proceeding must be commenced earlier than such [***] period to avoid a loss of rights, then no later than [***] prior to such deadline, then Licensor shall be entitled to initiate infringement proceedings or take other appropriate action against an Infringing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69" w:right="459" w:bottom="1440" w:gutter="0" w:footer="0" w:header="0"/>
        </w:sectPr>
      </w:pPr>
    </w:p>
    <w:bookmarkStart w:id="567" w:name="page568"/>
    <w:bookmarkEnd w:id="567"/>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at its own expense and to include Licensee as a nominal party plaintiff; provided, however, that before Licensor initiates a lawsuit or takes other reasonable action to enforce the Licensed Patent Rights and/or defend the Licensed Know- How, Licensor has considered in good faith the reasons of Licensee for not taking such action. Notwithstanding the foregoing, in the event written notice is give under the Drug Price Competition and Patent Term Restoration Act of 1984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then the Party in receipt of such notice under the Act shall promptly notify the other Party. In such case the time period for Licensee to decide whether to file suit will be accelerated to within [***] of the date of such notice under the Act. The enforcing Party shall have the sole and exclusive right to select the counsel for such action and full control over the conduct of such, including settlement thereof; provided, however, that the enforcing Party may not settle any such action, or make any admissions or assert any position in such action, in a manner that would materially adversely affect the rights or interests of the non-enforcing Party, without the prior written consent of the non-enforcing Party, which shall not be unreasonably withheld or delayed.</w:t>
      </w:r>
    </w:p>
    <w:p>
      <w:pPr>
        <w:spacing w:after="0" w:line="80" w:lineRule="exact"/>
        <w:rPr>
          <w:sz w:val="20"/>
          <w:szCs w:val="20"/>
          <w:color w:val="auto"/>
        </w:rPr>
      </w:pPr>
    </w:p>
    <w:p>
      <w:pPr>
        <w:ind w:left="440" w:firstLine="948"/>
        <w:spacing w:after="0" w:line="256" w:lineRule="auto"/>
        <w:tabs>
          <w:tab w:leader="none" w:pos="1657"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keep one another informed of the status of their respective activities regarding any litigation or settlement thereof concerning the Licensed Patent Rights or the Licensed Know-How in the Territory and each shall assist the other and cooperate fully in the prosecution of any such suit or action as may be reasonably requested by the Party conducting such action, including joining any action as party-plaintiff if required by law, regulation or court or administrative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enforcing Party shall promptly reimburse all out-of-pocket expenses (including reasonable counsel fees and expenses) actually incurred by the non-enforcing Party in connection with such cooperation.</w:t>
      </w:r>
    </w:p>
    <w:p>
      <w:pPr>
        <w:spacing w:after="0" w:line="79"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707"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recovered in any suit or action or settlement of any such suit or action brought pursuant to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shall first be used to reimburse the actual out-of-pocket expenses (including attorneys’ fees) of the Party conducting such action. Any excess amount of such a recovery shall be allocated as follows: [***].</w:t>
      </w:r>
    </w:p>
    <w:p>
      <w:pPr>
        <w:spacing w:after="0" w:line="68"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Patent Invalidity Claim</w:t>
      </w:r>
      <w:r>
        <w:rPr>
          <w:rFonts w:ascii="Times New Roman" w:cs="Times New Roman" w:eastAsia="Times New Roman" w:hAnsi="Times New Roman"/>
          <w:sz w:val="17"/>
          <w:szCs w:val="17"/>
          <w:color w:val="auto"/>
        </w:rPr>
        <w:t xml:space="preserve">. During the Term, each Party shall promptly notify the other Party in the event of any legal or administrative action by any Third Party against a Licensed Patent Right of which such Party becomes aware, including any nullity, revocation, reexamination or compulsory license proceeding or similar proceeding. Licensee shall have the first right, but not the obligation, through counsel of its choosing, at its sole cost and expense, to defend against such action or claim. If Licensee fails to accept control of the defense of such a claim within [***] after receiving notice thereof from, or giving notice thereof to, Licensor, Licensor shall have the right, through counsel of its choosing, at its sole cost and expense, to defend against such action or claim. Notwithstanding the foregoing, to the extent such action is in connection with an enforcement of such Patent Right under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the rights with respect to defending any such Patent Right in any such proceeding shall correspond to those set forth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and the non- enforcing Party, shall cooperate fully with the enforcing Party in preparing and formulating a response to such legal or administrative action.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9" w:right="459" w:bottom="1440" w:gutter="0" w:footer="0" w:header="0"/>
        </w:sectPr>
      </w:pPr>
    </w:p>
    <w:bookmarkStart w:id="568" w:name="page569"/>
    <w:bookmarkEnd w:id="56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7.5 </w:t>
      </w:r>
      <w:r>
        <w:rPr>
          <w:rFonts w:ascii="Times New Roman" w:cs="Times New Roman" w:eastAsia="Times New Roman" w:hAnsi="Times New Roman"/>
          <w:sz w:val="17"/>
          <w:szCs w:val="17"/>
          <w:u w:val="single" w:color="auto"/>
          <w:color w:val="auto"/>
        </w:rPr>
        <w:t>Third Party Infringement Claims</w:t>
      </w:r>
      <w:r>
        <w:rPr>
          <w:rFonts w:ascii="Times New Roman" w:cs="Times New Roman" w:eastAsia="Times New Roman" w:hAnsi="Times New Roman"/>
          <w:sz w:val="17"/>
          <w:szCs w:val="17"/>
          <w:color w:val="auto"/>
        </w:rPr>
        <w:t>. If the production, sale or use of the any Licensed Product in or outside the Territory results in a claim, suit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alleging patent infringement against Licensee or Licensor (or their respective Affiliates, licensees or Sublicensees)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Infringement Actions</w:t>
      </w:r>
      <w:r>
        <w:rPr>
          <w:rFonts w:ascii="Times New Roman" w:cs="Times New Roman" w:eastAsia="Times New Roman" w:hAnsi="Times New Roman"/>
          <w:sz w:val="18"/>
          <w:szCs w:val="18"/>
          <w:color w:val="auto"/>
        </w:rPr>
        <w:t>”), such Party shall promptly notify the other Party hereto in writing. The Party subject to such Infringement Action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direct and control the defense thereof, at its own expense with counsel of its choice; provided, however, that (i) if such Infringement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involves the Territory, Licensee shall have the right to assume the defense thereof in the Territory and to direct and control the defense thereof, at its own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with counsel of its choice, (ii) if such Infringement Action involves Japan, Licensor shall have the right to assume the defense thereof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and to direct and control the defense thereof, at its own expense with counsel of its choice, (iii) if such Infringement Action involves both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Territory and Japan, the Parties shall cooperate in good faith with respect to their respective defenses of such Infringement Actions, and (iv) in all cases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Party may participate in the defense and/or settlement thereof, at its own expense with counsel of its choice. In any event, the Party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defending the Infringement Action (the “</w:t>
      </w:r>
      <w:r>
        <w:rPr>
          <w:rFonts w:ascii="Times New Roman" w:cs="Times New Roman" w:eastAsia="Times New Roman" w:hAnsi="Times New Roman"/>
          <w:sz w:val="18"/>
          <w:szCs w:val="18"/>
          <w:b w:val="1"/>
          <w:bCs w:val="1"/>
          <w:color w:val="auto"/>
        </w:rPr>
        <w:t>Defending Party</w:t>
      </w:r>
      <w:r>
        <w:rPr>
          <w:rFonts w:ascii="Times New Roman" w:cs="Times New Roman" w:eastAsia="Times New Roman" w:hAnsi="Times New Roman"/>
          <w:sz w:val="18"/>
          <w:szCs w:val="18"/>
          <w:color w:val="auto"/>
        </w:rPr>
        <w:t>”) agrees to keep the other Party hereto reasonably informed of all material developments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such Infringement Action and the Parties shall reasonably cooperate in the defense of any such suit or Infringement Action.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 is the Defending Party, Licensee agrees not to settle such Infringement Action, or make any admissions or assert any position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Infringement Action, in a manner that would adversely affect the Licensed Product or the manufacture, use or sale of the Licensed Product within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Territory, without the prior written consent of Licensor, which shall not be unreasonably withheld or delayed; and similarly if Licensor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Defending Party, Licensor agrees not to settle such Infringement Action, or make any admissions or assert any position in such Infringement Action, in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that would adversely affect the Licensed Product, or the manufacturing, use or sale of the Licensed Product, in the Territory, without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of Licensee, which shall not be unreasonably withheld or delayed.</w:t>
      </w:r>
    </w:p>
    <w:p>
      <w:pPr>
        <w:spacing w:after="0" w:line="9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Patent Term Extensions</w:t>
      </w:r>
      <w:r>
        <w:rPr>
          <w:rFonts w:ascii="Times New Roman" w:cs="Times New Roman" w:eastAsia="Times New Roman" w:hAnsi="Times New Roman"/>
          <w:sz w:val="18"/>
          <w:szCs w:val="18"/>
          <w:color w:val="auto"/>
        </w:rPr>
        <w:t xml:space="preserve"> Licensee shall have the sole right to obtain patent term extensions or supplemental protection certificates or their equivalents with respect to any Licensed Product in the Field in the Territory, including with respect to any Licensed Patent Right in any country in the Territory, and Licensor shall reasonably cooperate with Licensee in connection therewith.</w:t>
      </w:r>
    </w:p>
    <w:p>
      <w:pPr>
        <w:spacing w:after="0" w:line="6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Patent Marking</w:t>
      </w:r>
      <w:r>
        <w:rPr>
          <w:rFonts w:ascii="Times New Roman" w:cs="Times New Roman" w:eastAsia="Times New Roman" w:hAnsi="Times New Roman"/>
          <w:sz w:val="18"/>
          <w:szCs w:val="18"/>
          <w:color w:val="auto"/>
        </w:rPr>
        <w:t>. Licensee agrees to mark, and have Related Parties mark, all patented Licensed Products they sell or distribute pursuant to this Agreement in accordance with the applicable patent statutes or regulations in the country or countries of sale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Product Trademark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948"/>
        <w:spacing w:after="0" w:line="266" w:lineRule="auto"/>
        <w:tabs>
          <w:tab w:leader="none" w:pos="163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and Prosecution of Product Trademarks</w:t>
      </w:r>
      <w:r>
        <w:rPr>
          <w:rFonts w:ascii="Times New Roman" w:cs="Times New Roman" w:eastAsia="Times New Roman" w:hAnsi="Times New Roman"/>
          <w:sz w:val="18"/>
          <w:szCs w:val="18"/>
          <w:color w:val="auto"/>
        </w:rPr>
        <w:t>. Licensee shall own all right, title, and interest to the Product Trademarks in the Territory, and shall be responsible for the registration, prosecution, and maintenance thereof. All costs and expenses of registering, prosecuting, and maintaining the Product Trademarks shall be borne solely by Licensee.</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4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Product Trademarks</w:t>
      </w:r>
      <w:r>
        <w:rPr>
          <w:rFonts w:ascii="Times New Roman" w:cs="Times New Roman" w:eastAsia="Times New Roman" w:hAnsi="Times New Roman"/>
          <w:sz w:val="18"/>
          <w:szCs w:val="18"/>
          <w:color w:val="auto"/>
        </w:rPr>
        <w:t xml:space="preserve">. Licensee shall have the right and responsibility for taking against a Third Party based on any alleged, threatened, or actual infringement, dilution, misappropriation, or other violation of, or unfair trade practices or any other like offense relating to, the Product Trademarks by a Third Party in the Territory. Licensee shall bear the costs and expenses relating to any enforcement action commenced pursuant to this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xml:space="preserve"> and any settlements and judgments with respect thereto, and shall retain any damages or other amounts collected in connection therewith.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9" w:right="459" w:bottom="1440" w:gutter="0" w:footer="0" w:header="0"/>
        </w:sectPr>
      </w:pPr>
    </w:p>
    <w:bookmarkStart w:id="569" w:name="page570"/>
    <w:bookmarkEnd w:id="569"/>
    <w:p>
      <w:pPr>
        <w:ind w:right="40" w:firstLine="987"/>
        <w:spacing w:after="0" w:line="256" w:lineRule="auto"/>
        <w:tabs>
          <w:tab w:leader="none" w:pos="1236"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 Party Claims</w:t>
      </w:r>
      <w:r>
        <w:rPr>
          <w:rFonts w:ascii="Times New Roman" w:cs="Times New Roman" w:eastAsia="Times New Roman" w:hAnsi="Times New Roman"/>
          <w:sz w:val="18"/>
          <w:szCs w:val="18"/>
          <w:color w:val="auto"/>
        </w:rPr>
        <w:t xml:space="preserve">. Licensee shall have the right and responsibility for defending against any alleged, threatened, or actual claim by a Third Party that the use or registration of the Product Trademarks in the Territory infringes, dilutes, misappropriates, or otherwise violates any Trademark or other right of such Third Party or constitutes unfair trade practices or any other like offense, or any other claims as may be brought by a Third Party against a Party in connection with the use of the Product Trademarks with respect to a Licensed Product in the Territory. Licensee shall bear the costs and expenses relating to any defense commenced pursuant to this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 xml:space="preserve"> and any settlements and judgments with respect thereto, and shall retain any damages or other amounts collected in connection therewith.</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use the Product Trademark to market the Licensed Product in Japan as may be mutually agreed by the Parties.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Confidential Obligations</w:t>
      </w:r>
      <w:r>
        <w:rPr>
          <w:rFonts w:ascii="Times New Roman" w:cs="Times New Roman" w:eastAsia="Times New Roman" w:hAnsi="Times New Roman"/>
          <w:sz w:val="18"/>
          <w:szCs w:val="18"/>
          <w:color w:val="auto"/>
        </w:rPr>
        <w:t xml:space="preserve">. Each Party shall (a) maintain in strict confidence the 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8.3 below), and (c) not use such Confidential Information for any purpose except those expressly permitted by this Agreement (including in the case of Licensor, the Development, Manufacture and Commercialization of Licensed Products for sale and use outside the Territory). The obligations of confidentiality, non-disclosure and non-use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in full force during the Term and for a period of [***] thereafter. Each Party, upon the request of the other Party, will return all copies of or destroy (and certify such destruction in writing) the Confidential Information disclosed or transferred to it by the other Party pursuant to this Agreement, within [***] of such request or, if earlier, the termination or expiration of this Agreement; provided however that a Party may retain (i) Confidential Information of the other Party which expressly survives such termination pursuant to this Agreement, and (ii) one (1) copy of all other Confidential Information in archives solely for the purpose of establishing the contents thereof; provided, further, that a Party is not required to return or destroy Confidential Information contained in electronic back-ups unless and until such Confidential Information is accessed. For clarity, it is acknowledged and agreed that (A) the Confidential Information of Licensee includes (x) unpublished patent applications within the Licensed Patent Rights, and (y) any reports or other information provided to Licensor hereunder and (b) Licensed Know-How shall be the Confidential Information of both Parties.</w:t>
      </w:r>
    </w:p>
    <w:p>
      <w:pPr>
        <w:spacing w:after="0" w:line="8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Exceptions to Confidentiality</w:t>
      </w:r>
      <w:r>
        <w:rPr>
          <w:rFonts w:ascii="Times New Roman" w:cs="Times New Roman" w:eastAsia="Times New Roman" w:hAnsi="Times New Roman"/>
          <w:sz w:val="18"/>
          <w:szCs w:val="18"/>
          <w:color w:val="auto"/>
        </w:rPr>
        <w:t xml:space="preserve">. Notwithstanding the foregoing, the obligations of confidentiality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 shall not apply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information that, in each case as demonstrated by competent written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-185420</wp:posOffset>
            </wp:positionV>
            <wp:extent cx="98996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989965" cy="8890"/>
                    </a:xfrm>
                    <a:prstGeom prst="rect">
                      <a:avLst/>
                    </a:prstGeom>
                    <a:noFill/>
                  </pic:spPr>
                </pic:pic>
              </a:graphicData>
            </a:graphic>
          </wp:anchor>
        </w:drawing>
      </w:r>
    </w:p>
    <w:p>
      <w:pPr>
        <w:spacing w:after="0" w:line="34" w:lineRule="exact"/>
        <w:rPr>
          <w:sz w:val="20"/>
          <w:szCs w:val="20"/>
          <w:color w:val="auto"/>
        </w:rPr>
      </w:pPr>
    </w:p>
    <w:p>
      <w:pPr>
        <w:ind w:left="1240" w:hanging="253"/>
        <w:spacing w:after="0"/>
        <w:tabs>
          <w:tab w:leader="none" w:pos="124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publicly disclosed or made generally available to the public by the Disclosing Party, either before or after it becomes known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Party;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9" w:right="479" w:bottom="1440" w:gutter="0" w:footer="0" w:header="0"/>
        </w:sectPr>
      </w:pPr>
    </w:p>
    <w:bookmarkStart w:id="570" w:name="page571"/>
    <w:bookmarkEnd w:id="570"/>
    <w:p>
      <w:pPr>
        <w:ind w:right="120" w:firstLine="987"/>
        <w:spacing w:after="0" w:line="282" w:lineRule="auto"/>
        <w:tabs>
          <w:tab w:leader="none" w:pos="12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was known to the Receiving Party, without any obligation to keep it confidential, prior to the date of first disclosure by the Disclosing Party to the Receiving Party, as shown by the Receiving Party’s files and records;</w:t>
      </w:r>
    </w:p>
    <w:p>
      <w:pPr>
        <w:spacing w:after="0" w:line="53" w:lineRule="exact"/>
        <w:rPr>
          <w:rFonts w:ascii="Times New Roman" w:cs="Times New Roman" w:eastAsia="Times New Roman" w:hAnsi="Times New Roman"/>
          <w:sz w:val="18"/>
          <w:szCs w:val="18"/>
          <w:color w:val="auto"/>
        </w:rPr>
      </w:pPr>
    </w:p>
    <w:p>
      <w:pPr>
        <w:ind w:right="800" w:firstLine="987"/>
        <w:spacing w:after="0" w:line="282" w:lineRule="auto"/>
        <w:tabs>
          <w:tab w:leader="none" w:pos="123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by a Third Party lawfully in possession thereof without obligation to keep it confidential and without a breach of such Third Party’s obligations of confidentiality;</w:t>
      </w:r>
    </w:p>
    <w:p>
      <w:pPr>
        <w:spacing w:after="0" w:line="53"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publicly disclosed or made generally available to the public other than through any act or omission of the Receiving Party or its Affiliates in breach of this Agreement; or</w:t>
      </w:r>
    </w:p>
    <w:p>
      <w:pPr>
        <w:spacing w:after="0" w:line="53"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independently developed by the Receiving Party without the aid, application or use of the Disclosing Party’s Confidential Information (the competent written proof of which must be contemporaneous with such independent development).</w:t>
      </w:r>
    </w:p>
    <w:p>
      <w:pPr>
        <w:spacing w:after="0" w:line="54"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 Party may disclose Confidential Information of the other Party to the extent such disclosure is reasonably necessary in the following instances:</w:t>
      </w:r>
    </w:p>
    <w:p>
      <w:pPr>
        <w:spacing w:after="0" w:line="52" w:lineRule="exact"/>
        <w:rPr>
          <w:sz w:val="20"/>
          <w:szCs w:val="20"/>
          <w:color w:val="auto"/>
        </w:rPr>
      </w:pPr>
    </w:p>
    <w:p>
      <w:pPr>
        <w:ind w:right="80" w:firstLine="987"/>
        <w:spacing w:after="0" w:line="267" w:lineRule="auto"/>
        <w:tabs>
          <w:tab w:leader="none" w:pos="123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Prosecuting and Maintaining Patent Rights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communicating and making filings with Regulatory Authorities or otherwise complying with applicable Law or submitting information to tax or other governmental authorities;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w:t>
      </w:r>
    </w:p>
    <w:p>
      <w:pPr>
        <w:spacing w:after="0" w:line="7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Regulatory Approval of Licensed Products or to Develop, Manufacture, have Manufactured, Commercialize or otherwise exploit Licensed products in accordance with this Agreement;</w:t>
      </w:r>
    </w:p>
    <w:p>
      <w:pPr>
        <w:spacing w:after="0" w:line="5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Affiliates, and to prospective and actual acquirers, lenders, licensees, and sublicensees, and to each of their employees, consultants, contractors, agents, accountants, lawyers, advisors, investors and underwriters, on a need to know basis, each of whom, in the case of Third Parties, prior to disclosure must be bound by written or professional ethical obligations of confidentiality and non-use equivalent in scope to those set forth in this Section 7.8(d); or</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mutually agreed to in writing by the Parties.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9" w:right="459" w:bottom="1440" w:gutter="0" w:footer="0" w:header="0"/>
        </w:sectPr>
      </w:pPr>
    </w:p>
    <w:bookmarkStart w:id="571" w:name="page572"/>
    <w:bookmarkEnd w:id="57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Scientific Publications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53" w:lineRule="auto"/>
        <w:tabs>
          <w:tab w:leader="none" w:pos="121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 Party or its Affiliates publishing, publicly presenting and/or submitting for written or oral publication a manuscript, abstract or the like relating to the Licensed Compounds or Licensed IP that has not previously published pursuant to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the Party proposing (or whose Affiliate is proposing) (“</w:t>
      </w:r>
      <w:r>
        <w:rPr>
          <w:rFonts w:ascii="Times New Roman" w:cs="Times New Roman" w:eastAsia="Times New Roman" w:hAnsi="Times New Roman"/>
          <w:sz w:val="18"/>
          <w:szCs w:val="18"/>
          <w:b w:val="1"/>
          <w:bCs w:val="1"/>
          <w:color w:val="auto"/>
        </w:rPr>
        <w:t>Publishing Party</w:t>
      </w:r>
      <w:r>
        <w:rPr>
          <w:rFonts w:ascii="Times New Roman" w:cs="Times New Roman" w:eastAsia="Times New Roman" w:hAnsi="Times New Roman"/>
          <w:sz w:val="18"/>
          <w:szCs w:val="18"/>
          <w:color w:val="auto"/>
        </w:rPr>
        <w:t>”) shall provide the other Party with a copy of the manuscript, abstract or other proposed publication relating to the Licensed Compounds or Licensed IP (a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xml:space="preserve">”) at least [***] prior to submission thereof to a publisher or to any third party, provided that in the case of abstracts and oral presentations, if [***] prior notice is not reasonably practicable, then as much prior notice as is reasonably practicable. The Publishing Party shall consider in good faith any reasonable recommendation of the non-Publishing Party to delay such proposed Publication. The Publishing Party shall not disclose in any Publication the confidential information of the non-Publishing Party without the non-Publishing Party’s prior written consent; provided, however, that nothing in this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shall limit the right of the Publishing Party to publicly disclose any information, including confidential information of the non- Publishing Party, pertaining to safety of the Licensed Product that the Publishing Party believes in good faith it is obligated or appropriate to disclose and provided further that the Publishing Party shall have the right to disclose in its Publications the Know-How licensed to it hereunder to the extent that such Know-How is reasonably necessary to provide context to the data that has been generated by the Publishing Party and that is the subject of such publication.</w:t>
      </w:r>
    </w:p>
    <w:p>
      <w:pPr>
        <w:spacing w:after="0" w:line="81"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future potential publications or public presentations by a Licensee (or a Related Party) or by Licensor (or an Associated Party) of data or results of Clinical Trials of a Licensed Product to be submitted by or on behalf of such Person(s), or any academic investigators cooperating with any such Person(s), each Party shall (a) provide the JSC every [***] with a publication strategy plan and (b) a copy of abstracts or other summary information regarding said publications or public presentations. The non-Publishing Party shall have the right to make comments and suggest changes to any such plan, publications or public presentations to ensure appropriate protection of any patentable inventions, and the Publishing Party shall consider in good faith any reasonable comments and suggested changes of the non-Publishing Party.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Press Releases and Other Permitted Disclosures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53" w:lineRule="auto"/>
        <w:tabs>
          <w:tab w:leader="none" w:pos="121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Licensor and Licensee each agree not to disclose any of the terms and conditions of this Agreement to any Third Party, except as described below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as otherwise agreed in writing by the Parties. The Parties have agreed on a press release announcing this Agreement in substantially the form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together with a corresponding Question &amp; Answer outline for use in responding to inquiries about the Agreement. The initial press release will be issued in a mutually agreed time and manner after the Effective Date and thereafter, each Party may disclose to Third Parties the information contained in such press release and Question &amp; Answer outline without the need for further approval by the other Party. Each Party may also desire to issue subsequent press releases or other public statements relating to this Agreement or activities hereunder. The Parties agree to consult with each other reasonably and in good faith with respect to the text of such press releases or other disclosures and obtain the approval of the other Party, prior to the issuance thereof; provided, however, that a Party may not unreasonably withhold or delay consent to such releases. Once any public statement or public disclosure has been approved in accordance with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then either Party may appropriately communicate the information contained in such permitted statement or disclosure. For clarity, to the extent a public disclosure is required by applicable Law, this </w:t>
      </w:r>
      <w:r>
        <w:rPr>
          <w:rFonts w:ascii="Times New Roman" w:cs="Times New Roman" w:eastAsia="Times New Roman" w:hAnsi="Times New Roman"/>
          <w:sz w:val="18"/>
          <w:szCs w:val="18"/>
          <w:u w:val="single" w:color="auto"/>
          <w:color w:val="auto"/>
        </w:rPr>
        <w:t>Section 8.5(a)</w:t>
      </w:r>
      <w:r>
        <w:rPr>
          <w:rFonts w:ascii="Times New Roman" w:cs="Times New Roman" w:eastAsia="Times New Roman" w:hAnsi="Times New Roman"/>
          <w:sz w:val="18"/>
          <w:szCs w:val="18"/>
          <w:color w:val="auto"/>
        </w:rPr>
        <w:t xml:space="preserve"> shall not apply, and such disclosure shall instead be governed by </w:t>
      </w:r>
      <w:r>
        <w:rPr>
          <w:rFonts w:ascii="Times New Roman" w:cs="Times New Roman" w:eastAsia="Times New Roman" w:hAnsi="Times New Roman"/>
          <w:sz w:val="18"/>
          <w:szCs w:val="18"/>
          <w:u w:val="single" w:color="auto"/>
          <w:color w:val="auto"/>
        </w:rPr>
        <w:t>Section 8.5(d)</w:t>
      </w:r>
      <w:r>
        <w:rPr>
          <w:rFonts w:ascii="Times New Roman" w:cs="Times New Roman" w:eastAsia="Times New Roman" w:hAnsi="Times New Roman"/>
          <w:sz w:val="18"/>
          <w:szCs w:val="18"/>
          <w:color w:val="auto"/>
        </w:rPr>
        <w:t xml:space="preserve">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0"/>
          </w:cols>
          <w:pgMar w:left="460" w:top="269" w:right="479" w:bottom="1440" w:gutter="0" w:footer="0" w:header="0"/>
        </w:sectPr>
      </w:pPr>
    </w:p>
    <w:bookmarkStart w:id="572" w:name="page573"/>
    <w:bookmarkEnd w:id="572"/>
    <w:p>
      <w:pPr>
        <w:ind w:left="4" w:right="20" w:firstLine="987"/>
        <w:spacing w:after="0" w:line="255" w:lineRule="auto"/>
        <w:tabs>
          <w:tab w:leader="none" w:pos="125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Licensee may disclose the terms and conditions of this Agreement to (i) its Affiliates, employees, consultants, agents or professional advisors (including attorneys, accountants and actual and prospective investment bankers), (ii) actual or potential investors, lenders, Sublicensees, collaborators or royalty factoring companies, or (iii) actual or potential acquirers or merger partners that have entered into a letter of intent or are actively negotiating an acquisition or merger agreement with Licensee, or (iv) others on a need-to-know basis with the consent of Licensor (such consent not to be unreasonably withheld); in each case under the foregoing clause (i), (ii), (iii) or (iv), under obligations of confidentiality at least as restrictive as those set forth herein, and solely in connection with Licensee performing its obligations or exercising its rights under this Agreement or for the purpose of assisting the recipient with evaluating and entering into a transaction with Licensee.</w:t>
      </w:r>
    </w:p>
    <w:p>
      <w:pPr>
        <w:spacing w:after="0" w:line="80"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disclose the terms and conditions of this Agreement to (i) its Affiliates, employees, consultants, agents or professional advisors (including attorneys, accountants and actual and prospective investment bankers), (ii) actual or potential investors, lenders, licensees or royalty factoring companies, (iii) actual or potential acquirers or merger partners that have entered into a letter of intent or are actively negotiating a definitive acquisition or merger agreement with Licensor or (iv) others on a need-to-know basis with the consent of Licensee (such consent not to be unreasonably withheld) in each case under the foregoing clause (i), (ii) or (iii), under obligations of confidentiality at least as restrictive as those set forth herein, and solely in connection with Licensor performing its obligations or exercising its rights under this Agreement or for the purpose of assisting the recipient with evaluating and entering into a transaction with Licensor.</w:t>
      </w:r>
    </w:p>
    <w:p>
      <w:pPr>
        <w:spacing w:after="0" w:line="80" w:lineRule="exact"/>
        <w:rPr>
          <w:rFonts w:ascii="Times New Roman" w:cs="Times New Roman" w:eastAsia="Times New Roman" w:hAnsi="Times New Roman"/>
          <w:sz w:val="18"/>
          <w:szCs w:val="18"/>
          <w:color w:val="auto"/>
        </w:rPr>
      </w:pPr>
    </w:p>
    <w:p>
      <w:pPr>
        <w:ind w:left="4" w:firstLine="987"/>
        <w:spacing w:after="0" w:line="272" w:lineRule="auto"/>
        <w:tabs>
          <w:tab w:leader="none" w:pos="1250"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this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a Party may disclose the existence and terms of this Agreement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 (or if</w:t>
      </w:r>
    </w:p>
    <w:p>
      <w:pPr>
        <w:spacing w:after="0" w:line="1" w:lineRule="exact"/>
        <w:rPr>
          <w:rFonts w:ascii="Times New Roman" w:cs="Times New Roman" w:eastAsia="Times New Roman" w:hAnsi="Times New Roman"/>
          <w:sz w:val="17"/>
          <w:szCs w:val="17"/>
          <w:color w:val="auto"/>
        </w:rPr>
      </w:pPr>
    </w:p>
    <w:p>
      <w:pPr>
        <w:ind w:left="4" w:right="60" w:hanging="4"/>
        <w:spacing w:after="0" w:line="252" w:lineRule="auto"/>
        <w:tabs>
          <w:tab w:leader="none" w:pos="439"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impractical based on the number of days after the event triggering such public disclosure to the time the disclosure must be made, such shorter period as may be required to comply with applicable Law) advance written notice of any such legally required disclosure to comment and the disclosing Party shall reasonably consider such comments provided by such other Party on the proposed disclosure. In case either Party is obliged to publicly disclose or file this Agreement as a “material agreement” in accordance with applicable Law or applicable stock exchange regulations (“</w:t>
      </w:r>
      <w:r>
        <w:rPr>
          <w:rFonts w:ascii="Times New Roman" w:cs="Times New Roman" w:eastAsia="Times New Roman" w:hAnsi="Times New Roman"/>
          <w:sz w:val="18"/>
          <w:szCs w:val="18"/>
          <w:b w:val="1"/>
          <w:bCs w:val="1"/>
          <w:color w:val="auto"/>
        </w:rPr>
        <w:t>SEC Filing</w:t>
      </w:r>
      <w:r>
        <w:rPr>
          <w:rFonts w:ascii="Times New Roman" w:cs="Times New Roman" w:eastAsia="Times New Roman" w:hAnsi="Times New Roman"/>
          <w:sz w:val="18"/>
          <w:szCs w:val="18"/>
          <w:color w:val="auto"/>
        </w:rPr>
        <w:t xml:space="preserve">”), this Agreement shall be redacted by the filing Party to the extent permissible upon the advice of legal counsel, and the filing Party shall provide the other Party a copy of such redacted Agreement in advance of such SEC Filing to enable the other Party to review and comment on the scope of such redaction;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filing Party shall consider in good faith any comments provided by such other Party.</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free to (a) register/publish the Clinical Trials they are sponsoring with respect to the Licensed Product, and</w:t>
      </w:r>
    </w:p>
    <w:p>
      <w:pPr>
        <w:spacing w:after="0" w:line="27" w:lineRule="exact"/>
        <w:rPr>
          <w:sz w:val="20"/>
          <w:szCs w:val="20"/>
          <w:color w:val="auto"/>
        </w:rPr>
      </w:pPr>
    </w:p>
    <w:p>
      <w:pPr>
        <w:ind w:left="4" w:right="180" w:hanging="4"/>
        <w:spacing w:after="0" w:line="255" w:lineRule="auto"/>
        <w:tabs>
          <w:tab w:leader="none" w:pos="259"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data from such registered Clinical Trials concerning the Licensed Product, in each case on ClinicalTrials.gov or in similar clinical trial registries; provided, however, that the Party proposing to make such disclosure shall provide the other Party with reasonable advance notice of such registration or disclosure.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69" w:right="439" w:bottom="1440" w:gutter="0" w:footer="0" w:header="0"/>
        </w:sectPr>
      </w:pPr>
    </w:p>
    <w:bookmarkStart w:id="573" w:name="page574"/>
    <w:bookmarkEnd w:id="573"/>
    <w:p>
      <w:pPr>
        <w:jc w:val="both"/>
        <w:ind w:right="20" w:firstLine="987"/>
        <w:spacing w:after="0" w:line="261" w:lineRule="auto"/>
        <w:tabs>
          <w:tab w:leader="none" w:pos="121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respect to any publication permitted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any press release or public statement permitted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above, Licensor shall have the right to permit Otsuka Holdings Co., Ltd (or its successor), for so long as it is the parent-Affiliate of Licensor, to publicly disclose at any time, the information contained in any such press release, public statement or publication, at any time (including simultaneously with the release of such press release or public statement by the Parties) and in any form, without the consent of Licensee.</w:t>
      </w:r>
    </w:p>
    <w:p>
      <w:pPr>
        <w:spacing w:after="0" w:line="7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execution of this Agreement, the terms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shall supersede any prior non-disclosure, secrecy or confidentiality agreement between the Parties, including the Confidentiality Agreement between the Parties dated February 13, 2018. Any information disclosed under such prior agreements shall be deemed disclosed under this Agreement.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Representations of Authority</w:t>
      </w:r>
      <w:r>
        <w:rPr>
          <w:rFonts w:ascii="Times New Roman" w:cs="Times New Roman" w:eastAsia="Times New Roman" w:hAnsi="Times New Roman"/>
          <w:sz w:val="18"/>
          <w:szCs w:val="18"/>
          <w:color w:val="auto"/>
        </w:rPr>
        <w:t>. Each Party represents and warrants to the other that as of the Effective Date it has full right, power and authority to enter into this Agreement and to perform its respective obligations under this Agreement.</w:t>
      </w:r>
    </w:p>
    <w:p>
      <w:pPr>
        <w:spacing w:after="0" w:line="54"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Each Party represents and warrants that as of the Effective Date all necessary consents, approvals and authorizations of all government authorities and other Persons required to be obtained by such Party in connection with execution, delivery and performance of this Agreement have been obtained.</w:t>
      </w:r>
    </w:p>
    <w:p>
      <w:pPr>
        <w:spacing w:after="0" w:line="68" w:lineRule="exact"/>
        <w:rPr>
          <w:sz w:val="20"/>
          <w:szCs w:val="20"/>
          <w:color w:val="auto"/>
        </w:rPr>
      </w:pPr>
    </w:p>
    <w:p>
      <w:pPr>
        <w:jc w:val="both"/>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Each Party represents and warrants that, as of the Effective Date, the execution and delivery of this Agreement and the performance of such Party’s obligations hereunder (a) do not conflict with or violate any requirement of applicable Law and (b) do not conflict with, violate or breach or constitute a default of, or require any consent under, any contractual obligations of such Party, except such consents as have been obtained as of the Effective Date.</w:t>
      </w:r>
    </w:p>
    <w:p>
      <w:pPr>
        <w:spacing w:after="0" w:line="7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Employee, Consultant and Advisor Obligations</w:t>
      </w:r>
      <w:r>
        <w:rPr>
          <w:rFonts w:ascii="Times New Roman" w:cs="Times New Roman" w:eastAsia="Times New Roman" w:hAnsi="Times New Roman"/>
          <w:sz w:val="18"/>
          <w:szCs w:val="18"/>
          <w:color w:val="auto"/>
        </w:rPr>
        <w:t xml:space="preserve">. Each Party represents and warrants 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Representations, Warranties and Covenants of Licensee</w:t>
      </w:r>
      <w:r>
        <w:rPr>
          <w:rFonts w:ascii="Times New Roman" w:cs="Times New Roman" w:eastAsia="Times New Roman" w:hAnsi="Times New Roman"/>
          <w:sz w:val="18"/>
          <w:szCs w:val="18"/>
          <w:color w:val="auto"/>
        </w:rPr>
        <w:t>. Neither Licensee nor any of its Affiliates nor Cullinan Management, Inc. has been debarred or is subject to debarment. Neither Licensee nor any of its Affiliates will use in any capacity, in connection with the activities to be performed under this Agreement, any Person who has been debarred pursuant to Section 306 of the FFDCA or who is the subject of a conviction described in such section. Licensee shall inform Licensor in writing immediately if it or any Person who is performing activities hereunder is debarred or is the subject of a conviction described in Section 306 or if any action, suit, claim, investigation or legal or administrative proceeding is pending or, to the best of Licensee’s knowledge, is threatened, relating to the debarment or conviction of Licensee or any Person performing activities hereunder on behalf of Licensee.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9" w:right="479" w:bottom="1440" w:gutter="0" w:footer="0" w:header="0"/>
        </w:sectPr>
      </w:pPr>
    </w:p>
    <w:bookmarkStart w:id="574" w:name="page575"/>
    <w:bookmarkEnd w:id="57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6" w:lineRule="auto"/>
        <w:tabs>
          <w:tab w:leader="none" w:pos="1240" w:val="left"/>
        </w:tabs>
        <w:numPr>
          <w:ilvl w:val="1"/>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Licensor represents and warrants to Licensee that (i) Licensor owns the entire right, title and interest in and to the Licensed Patent Rights existing as of the Effective Date, free and clear of all liens, charges and encumbrances, (ii) to the knowledge of Licensor, the practice in the Territory of the Licensed Know-How existing as of the Effective Date in the Development, Manufacture, Commercialization or other exploitation of the Licensed Compounds or Licensed Products will not result in any royalty, milestone or other payments being owed to Third Parties, (iii) as of the Effective Date, Licensor has the right to grant to Licensee the rights and licenses under the Licensed IP granted in this Agreement and has not previously assigned, transferred, conveyed or otherwise encumbered its right, title and interest in Licensed IP in any manner inconsistent with the terms hereof, and during the Term will not take any of the foregoing actions in any manner inconsistent with the terms hereof, (iv) none of the Licensed Patent Rights existing as of the Effective Date was fraudulently procured from the relevant governmental patent granting authority, (v) as of the Effective Date, it has not received any written claim or demand from any Person alleging, and is not a party to any proceeding that asserts: (A) the invalidity, misuse or unenforceability of the Licensed Patent Rights or misappropriation of the Licensed Know-How or challenges Licensor’s ownership of the Licensed Patent Rights or Licensed Know-How or (B) that the making, using, selling, offering for sale or importing of a Licensed Compound infringes or misappropriates Intellectual Property of any Third Party, (vi) to the knowledge of Licensor, as of the Effective Date, the Licensed Patent Rights are not being infringed by any Third Party and Licensed Know-How is not being misappropriated by any Third Party, and (vii) to the knowledge of Licensor the Licensed Patent Rights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as of the Effective Date include all patents and patent applications and Patent Rights related thereto that</w:t>
      </w:r>
    </w:p>
    <w:p>
      <w:pPr>
        <w:spacing w:after="0" w:line="9"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Controlled by Licensor as of the Effective Date and (B) (1) Cover the Licensed Compounds or their manufacture or their use in the Field or</w:t>
      </w:r>
    </w:p>
    <w:p>
      <w:pPr>
        <w:spacing w:after="0" w:line="9" w:lineRule="exact"/>
        <w:rPr>
          <w:sz w:val="20"/>
          <w:szCs w:val="20"/>
          <w:color w:val="auto"/>
        </w:rPr>
      </w:pPr>
    </w:p>
    <w:p>
      <w:pPr>
        <w:ind w:left="4" w:right="280" w:hanging="4"/>
        <w:spacing w:after="0" w:line="290" w:lineRule="auto"/>
        <w:tabs>
          <w:tab w:leader="none" w:pos="259"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 inventions made by or on behalf of Licensor in the course of developing or using the Licensed Compound that are reasonably necessary for Licensee’s Development, Manufacture, Commercialization or other exploitation of the Licensed Compounds or Licensed Products in the Territory.</w:t>
      </w:r>
    </w:p>
    <w:p>
      <w:pPr>
        <w:spacing w:after="0" w:line="49"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not, during the Term, sell, assign, transfer, pledge or otherwise dispose of, or incur any lien or encumbrance on, any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IP.</w:t>
      </w:r>
    </w:p>
    <w:p>
      <w:pPr>
        <w:spacing w:after="0" w:line="9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 Warranties</w:t>
      </w:r>
      <w:r>
        <w:rPr>
          <w:rFonts w:ascii="Times New Roman" w:cs="Times New Roman" w:eastAsia="Times New Roman" w:hAnsi="Times New Roman"/>
          <w:sz w:val="18"/>
          <w:szCs w:val="18"/>
          <w:color w:val="auto"/>
        </w:rPr>
        <w:t>. Except as otherwise expressly set forth herein, the Parties make no representations and extend no warranties of any kind, either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 Insurance; and Limitation on Damages</w:t>
      </w:r>
    </w:p>
    <w:p>
      <w:pPr>
        <w:spacing w:after="0" w:line="99"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10.1 By Licensee. Licensee agrees to defend Licensor, its Affiliates and the respective directors, officers, employees, consultants and agents of such entities and the successors and assigns of any of the foregoing (the “</w:t>
      </w:r>
      <w:r>
        <w:rPr>
          <w:rFonts w:ascii="Times New Roman" w:cs="Times New Roman" w:eastAsia="Times New Roman" w:hAnsi="Times New Roman"/>
          <w:sz w:val="18"/>
          <w:szCs w:val="18"/>
          <w:b w:val="1"/>
          <w:bCs w:val="1"/>
          <w:color w:val="auto"/>
        </w:rPr>
        <w:t>Licensor Indemnitees</w:t>
      </w:r>
      <w:r>
        <w:rPr>
          <w:rFonts w:ascii="Times New Roman" w:cs="Times New Roman" w:eastAsia="Times New Roman" w:hAnsi="Times New Roman"/>
          <w:sz w:val="18"/>
          <w:szCs w:val="18"/>
          <w:color w:val="auto"/>
        </w:rPr>
        <w:t>”) at Licensee’s cost and expense, and shall indemnify and hold harmless such Licensor Indemnitees from and against any and all liabilities,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69" w:right="459" w:bottom="1440" w:gutter="0" w:footer="0" w:header="0"/>
        </w:sectPr>
      </w:pPr>
    </w:p>
    <w:bookmarkStart w:id="575" w:name="page576"/>
    <w:bookmarkEnd w:id="575"/>
    <w:p>
      <w:pPr>
        <w:ind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losses, costs, damages, fines, fees or expenses (including, reasonable attorneys’ fees and other expenses of litigation)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arising out of any claim, suit, action, proceedings or demand brought by a Third Party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arising from, or occurring as a result of (i) any breach by Licensee of any of its representations, warranties or obligations pursuant to this Agreement or (ii) the Development, Manufacture or Commercialization of Licensed Compounds or Licensed Products for use in the Territory by or on behalf of Licensee or Related Parties, except to the extent such Third Party Claims result from the gross negligence or willful misconduct of a Licensor Indemnitee.</w:t>
      </w:r>
    </w:p>
    <w:p>
      <w:pPr>
        <w:spacing w:after="0" w:line="7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By Licensor</w:t>
      </w:r>
      <w:r>
        <w:rPr>
          <w:rFonts w:ascii="Times New Roman" w:cs="Times New Roman" w:eastAsia="Times New Roman" w:hAnsi="Times New Roman"/>
          <w:sz w:val="18"/>
          <w:szCs w:val="18"/>
          <w:color w:val="auto"/>
        </w:rPr>
        <w:t>. Licensor agrees to defend Licensee, its Affiliates and the respective directors, officers, employees, consultants and agents of such entities and the successors and assigns of any of the foregoing (the “</w:t>
      </w:r>
      <w:r>
        <w:rPr>
          <w:rFonts w:ascii="Times New Roman" w:cs="Times New Roman" w:eastAsia="Times New Roman" w:hAnsi="Times New Roman"/>
          <w:sz w:val="18"/>
          <w:szCs w:val="18"/>
          <w:b w:val="1"/>
          <w:bCs w:val="1"/>
          <w:color w:val="auto"/>
        </w:rPr>
        <w:t>Licensee Indemnitees</w:t>
      </w:r>
      <w:r>
        <w:rPr>
          <w:rFonts w:ascii="Times New Roman" w:cs="Times New Roman" w:eastAsia="Times New Roman" w:hAnsi="Times New Roman"/>
          <w:sz w:val="18"/>
          <w:szCs w:val="18"/>
          <w:color w:val="auto"/>
        </w:rPr>
        <w:t>”) at Licensor’s cost and expense, and shall indemnify and hold harmless such Licensee Indemnitees from and against any and all Liabilities arising out of any Third Party Claim arising from, or occurring as a result of (i) any breach by Licensor of any of its representations, warranties or obligations pursuant to this Agreement or (ii) the Development, Manufacture or Commercialization of Licensed Compounds or Licensed Products for use outside the Territory by or on behalf of Licensor or its Affiliates, except to the extent such Third Party Claims result from the gross negligence or willful misconduct of a Licensee Indemnitee. In the event of the grant by Licensee of the Reversion License, clause (ii) of the foregoing indemnity of Licensor shall be deemed amended to replace the words “for use outside the Territory” appearing therein with the words “for use anywhere in the world.”</w:t>
      </w:r>
    </w:p>
    <w:p>
      <w:pPr>
        <w:spacing w:after="0" w:line="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xml:space="preserve">. A Person entitled to indemnification under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give prompt written notification to the Party from whom indemnification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8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Licensee shall procure and maintain insurance, including general liability insurance and, starting at the time at which a Licensed Product first enters clinical testing in human subjects by or on behalf of Licensee or Related Parties, product liability insurance, in each case adequate to cover its obligations hereunder and consistent with normal business practices of prudent companies similarly situated, which insurance shall identify Licensor as an additional insured starting at the time at which a Licensed Product first enters clinical testing in human subjects by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5" w:right="459" w:bottom="1440" w:gutter="0" w:footer="0" w:header="0"/>
        </w:sectPr>
      </w:pPr>
    </w:p>
    <w:bookmarkStart w:id="576" w:name="page577"/>
    <w:bookmarkEnd w:id="576"/>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behalf of Licensee or Related Parties. It is understood that any such insurance shall not be construed to create a limit of Licensee’s liability with respect to its indemnification obligations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Licensee shall provide Licensor with written evidence of such insurance upon request. Licensee shall provide Licensor with written notice at least [***] prior to the cancellation, non-renewal or material change in such insurance or self-insurance which could adversely affect rights hereunder.</w:t>
      </w:r>
    </w:p>
    <w:p>
      <w:pPr>
        <w:spacing w:after="0" w:line="7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 Consequential or Punitive Damages</w:t>
      </w:r>
      <w:r>
        <w:rPr>
          <w:rFonts w:ascii="Times New Roman" w:cs="Times New Roman" w:eastAsia="Times New Roman" w:hAnsi="Times New Roman"/>
          <w:sz w:val="18"/>
          <w:szCs w:val="18"/>
          <w:color w:val="auto"/>
        </w:rPr>
        <w:t xml:space="preserve">. Except (a) with respect to a breach of the confidentiality obligations of Article 6, or (b) to the extent such damages are required to be paid to a third party as part of a claim for which a party provides indemnification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neither Party will be liable to the other Party or any of its affiliates for indirect, incidental, consequential, special, exemplary or punitive damages, including lost profits, whether in contract, warranty, tort, negligence, strict liability or otherwise, arising from, out of or relating to this Agreement, the transactions contemplated herein or any breach hereof, regardless of any notice of the possibility of such damages.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7"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become effective as of the Effective Date and unless earlier terminated as set forth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shall otherwise remain in effect on a Licensed Product-by-Licensed Product basis until it expires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in its entirety upon the expiration of all applicable Royalty Terms under this Agreement with respect to all Licensed Products in all countries worldwide.</w:t>
      </w:r>
    </w:p>
    <w:p>
      <w:pPr>
        <w:spacing w:after="0" w:line="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Upon any material breach of this Agreement by either Party, the other Party may terminate this Agreement by providing [***] prior written notice (thirty [***] prior written notice with respect to a payment breach) to the breaching Party, specifying the material breach. The termination shall become effective at the end of the [***] (or [***], as applicable) period unless the breaching Party cures such breach during such [***] (or [***], as applicable) period.</w:t>
      </w:r>
    </w:p>
    <w:p>
      <w:pPr>
        <w:spacing w:after="0" w:line="7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To the extent allowed under applicable Law, either Party shall have the right to terminate this Agreement in the event of the commencement of any proceeding in or for bankruptcy, insolvency, dissolution or winding up by or against the other Party (other than pursuant to a corporate restructuring) that is not dismissed or otherwise disposed of within [***] days thereafter and/or the administrator of the bankruptcy estate or the Party under in-court restructuring has not, within [***] days after the receipt of an inquiry from the other Party, confirmed that the bankruptcy estate or the Party under in-court restructuring will adopt this Agreement.</w:t>
      </w:r>
    </w:p>
    <w:p>
      <w:pPr>
        <w:spacing w:after="0" w:line="7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Termination for Convenience</w:t>
      </w:r>
      <w:r>
        <w:rPr>
          <w:rFonts w:ascii="Times New Roman" w:cs="Times New Roman" w:eastAsia="Times New Roman" w:hAnsi="Times New Roman"/>
          <w:sz w:val="18"/>
          <w:szCs w:val="18"/>
          <w:color w:val="auto"/>
        </w:rPr>
        <w:t>. Licensee may terminate this Agreement, at any time and for any commercially reasonable justification (e.g., the Licensed Compound is found to have material safety or efficacy issues or the commercial opportunity relating to the Licensed Product no longer justifies its further Development or Commercialization) by providing [***] prior written notice to Licensor. The termination shall become effective at the end of the [***] period.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9" w:right="479" w:bottom="1440" w:gutter="0" w:footer="0" w:header="0"/>
        </w:sectPr>
      </w:pPr>
    </w:p>
    <w:bookmarkStart w:id="577" w:name="page578"/>
    <w:bookmarkEnd w:id="5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11.5 </w:t>
      </w:r>
      <w:r>
        <w:rPr>
          <w:rFonts w:ascii="Times New Roman" w:cs="Times New Roman" w:eastAsia="Times New Roman" w:hAnsi="Times New Roman"/>
          <w:sz w:val="18"/>
          <w:szCs w:val="18"/>
          <w:u w:val="single" w:color="auto"/>
          <w:color w:val="auto"/>
        </w:rPr>
        <w:t>Effects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1" w:lineRule="auto"/>
        <w:tabs>
          <w:tab w:leader="none" w:pos="123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The expiration or termination of this Agreement for any reason shall not release either Party from any liability which, at the time of such expiration or termination, has already accrued to the other Party or which is attributable to a period prior to such expiration or termination, nor will any termination of this Agreement preclude either Party from pursuing all rights and remedies it may have under this Agreement, or at law or in equity, with respect to breach of this Agreement.</w:t>
      </w:r>
    </w:p>
    <w:p>
      <w:pPr>
        <w:spacing w:after="0" w:line="71"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Licenses</w:t>
      </w:r>
      <w:r>
        <w:rPr>
          <w:rFonts w:ascii="Times New Roman" w:cs="Times New Roman" w:eastAsia="Times New Roman" w:hAnsi="Times New Roman"/>
          <w:sz w:val="18"/>
          <w:szCs w:val="18"/>
          <w:color w:val="auto"/>
        </w:rPr>
        <w:t xml:space="preserve">. Upon termination of this Agreement, all licenses granted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(License Grant) under this Agreement will terminate.</w:t>
      </w:r>
    </w:p>
    <w:p>
      <w:pPr>
        <w:spacing w:after="0" w:line="53" w:lineRule="exact"/>
        <w:rPr>
          <w:rFonts w:ascii="Times New Roman" w:cs="Times New Roman" w:eastAsia="Times New Roman" w:hAnsi="Times New Roman"/>
          <w:sz w:val="18"/>
          <w:szCs w:val="18"/>
          <w:color w:val="auto"/>
        </w:rPr>
      </w:pPr>
    </w:p>
    <w:p>
      <w:pPr>
        <w:ind w:right="40" w:firstLine="987"/>
        <w:spacing w:after="0" w:line="274" w:lineRule="auto"/>
        <w:tabs>
          <w:tab w:leader="none" w:pos="1236"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Continued Sales</w:t>
      </w:r>
      <w:r>
        <w:rPr>
          <w:rFonts w:ascii="Times New Roman" w:cs="Times New Roman" w:eastAsia="Times New Roman" w:hAnsi="Times New Roman"/>
          <w:sz w:val="17"/>
          <w:szCs w:val="17"/>
          <w:color w:val="auto"/>
        </w:rPr>
        <w:t xml:space="preserve">. Upon termination of this Agreement by Licensee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(Termination for Material Breach) or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(Termination for Bankruptcy), then for [***]after the effective date of termination of this Agreement, if such termination occurs after Regulatory Approval of a Licensed Product, Licensee and its Affiliates and Sublicensees shall be entitled to finish work in progress and to the extent permitted under </w:t>
      </w:r>
      <w:r>
        <w:rPr>
          <w:rFonts w:ascii="Times New Roman" w:cs="Times New Roman" w:eastAsia="Times New Roman" w:hAnsi="Times New Roman"/>
          <w:sz w:val="17"/>
          <w:szCs w:val="17"/>
          <w:u w:val="single" w:color="auto"/>
          <w:color w:val="auto"/>
        </w:rPr>
        <w:t>Section 11.5(d)</w:t>
      </w:r>
      <w:r>
        <w:rPr>
          <w:rFonts w:ascii="Times New Roman" w:cs="Times New Roman" w:eastAsia="Times New Roman" w:hAnsi="Times New Roman"/>
          <w:sz w:val="17"/>
          <w:szCs w:val="17"/>
          <w:color w:val="auto"/>
        </w:rPr>
        <w:t xml:space="preserve"> below, sell such Licensed Product so finished or remaining in inventory in accordance with the terms of this Agreement to the extent such Licensed Product was being sold at the time of 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sales and related activities shall be subject to the terms and conditions of this Agreement, including the royalty and milestone provisions of this Agreement and is subject to </w:t>
      </w:r>
      <w:r>
        <w:rPr>
          <w:rFonts w:ascii="Times New Roman" w:cs="Times New Roman" w:eastAsia="Times New Roman" w:hAnsi="Times New Roman"/>
          <w:sz w:val="17"/>
          <w:szCs w:val="17"/>
          <w:u w:val="single" w:color="auto"/>
          <w:color w:val="auto"/>
        </w:rPr>
        <w:t>Section 11.5(d)</w:t>
      </w:r>
      <w:r>
        <w:rPr>
          <w:rFonts w:ascii="Times New Roman" w:cs="Times New Roman" w:eastAsia="Times New Roman" w:hAnsi="Times New Roman"/>
          <w:sz w:val="17"/>
          <w:szCs w:val="17"/>
          <w:color w:val="auto"/>
        </w:rPr>
        <w:t xml:space="preserve"> below.</w:t>
      </w:r>
    </w:p>
    <w:p>
      <w:pPr>
        <w:spacing w:after="0" w:line="64"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on Termination of Agreement</w:t>
      </w:r>
      <w:r>
        <w:rPr>
          <w:rFonts w:ascii="Times New Roman" w:cs="Times New Roman" w:eastAsia="Times New Roman" w:hAnsi="Times New Roman"/>
          <w:sz w:val="18"/>
          <w:szCs w:val="18"/>
          <w:color w:val="auto"/>
        </w:rPr>
        <w:t>. Upon termination of this Agreement for any reason:</w:t>
      </w:r>
    </w:p>
    <w:p>
      <w:pPr>
        <w:spacing w:after="0" w:line="117" w:lineRule="exact"/>
        <w:rPr>
          <w:rFonts w:ascii="Times New Roman" w:cs="Times New Roman" w:eastAsia="Times New Roman" w:hAnsi="Times New Roman"/>
          <w:sz w:val="18"/>
          <w:szCs w:val="18"/>
          <w:color w:val="auto"/>
        </w:rPr>
      </w:pPr>
    </w:p>
    <w:p>
      <w:pPr>
        <w:ind w:left="1420" w:hanging="212"/>
        <w:spacing w:after="0"/>
        <w:tabs>
          <w:tab w:leader="none" w:pos="142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Wind-down Period.</w:t>
      </w:r>
    </w:p>
    <w:p>
      <w:pPr>
        <w:spacing w:after="0" w:line="117" w:lineRule="exact"/>
        <w:rPr>
          <w:rFonts w:ascii="Times New Roman" w:cs="Times New Roman" w:eastAsia="Times New Roman" w:hAnsi="Times New Roman"/>
          <w:sz w:val="18"/>
          <w:szCs w:val="18"/>
          <w:color w:val="auto"/>
        </w:rPr>
      </w:pPr>
    </w:p>
    <w:p>
      <w:pPr>
        <w:ind w:firstLine="1428"/>
        <w:spacing w:after="0" w:line="253" w:lineRule="auto"/>
        <w:tabs>
          <w:tab w:leader="none" w:pos="1727" w:val="left"/>
        </w:tabs>
        <w:numPr>
          <w:ilvl w:val="2"/>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In the event that as of the date a notice of termination has been issued Licensee is (1) the sponsor of or conducting any on-going Clinical Trials of the Licensed Product and/or (2) conducting any ongoing preclinical work with respect to the Licensed Product in support of a current Regulatory Approval or future Regulatory Filings for an Indication that is the subject of ongoing clinical development, including without limitation ongoing stability or toxicology studies of the Licensed Product, Licensee agrees to promptly inform Licensor of the status of each such Clinical Trial or preclinical activity and at Licensor’s election either: (A) terminate such Clinical Trial or preclinical activity, (B) continue to sponsor or conduct any such Clinical Trials or preclinical studies, or any portion thereof for a period not exceeding [***] following the effective date of termination or (C) promptly transition to Licensor or its designee such sponsorship of such Clinical Trials or preclinical studies, provided that in such case, Licensor shall take over such studies within [***] following the effective date of termination. In each case, the continuation of such Clinical Trials or preclinical studies after the effective date of termination shall be at Licensee’s expense [***]. In the event that the transfer of sponsorship of a Clinical Trial will not be completed within such [***] period despite the Parties’ having used Commercially Reasonable Efforts to do so, the Parties shall cooperate reasonably to execute and deliver such commercially reasonable agreements as may be necessary to preserve for Licensor the benefit of such Clinical Trial for a period of up to [***] additional months, while indemnifying and holding the Licensee Indemnities harmless from all costs and expenses of such Clinical Trial and any Liabilities from a Third Party Claim arising from, out of or in connection with such Clinical Trial.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9" w:right="459" w:bottom="1440" w:gutter="0" w:footer="0" w:header="0"/>
        </w:sectPr>
      </w:pPr>
    </w:p>
    <w:bookmarkStart w:id="578" w:name="page579"/>
    <w:bookmarkEnd w:id="578"/>
    <w:p>
      <w:pPr>
        <w:ind w:left="-40" w:firstLine="1428"/>
        <w:spacing w:after="0" w:line="252" w:lineRule="auto"/>
        <w:tabs>
          <w:tab w:leader="none" w:pos="1677"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Commercialization</w:t>
      </w:r>
      <w:r>
        <w:rPr>
          <w:rFonts w:ascii="Times New Roman" w:cs="Times New Roman" w:eastAsia="Times New Roman" w:hAnsi="Times New Roman"/>
          <w:sz w:val="18"/>
          <w:szCs w:val="18"/>
          <w:color w:val="auto"/>
        </w:rPr>
        <w:t>. To avoid disruption in the availability of Licensed Product to patients, if this Agreement is terminated after the First Commercial Sale of the Licensed Product in the Territory, then to the extent requested by Licensor, Licensee and Related Parties shall continue to distribute the Licensed Product, in accordance with the terms and conditions of this Agreement, in each country of the Territory for which Regulatory Approval therefor has been obtained, [***] following the effective date of termination (the “</w:t>
      </w:r>
      <w:r>
        <w:rPr>
          <w:rFonts w:ascii="Times New Roman" w:cs="Times New Roman" w:eastAsia="Times New Roman" w:hAnsi="Times New Roman"/>
          <w:sz w:val="18"/>
          <w:szCs w:val="18"/>
          <w:b w:val="1"/>
          <w:bCs w:val="1"/>
          <w:color w:val="auto"/>
        </w:rPr>
        <w:t>Wind-down Period</w:t>
      </w:r>
      <w:r>
        <w:rPr>
          <w:rFonts w:ascii="Times New Roman" w:cs="Times New Roman" w:eastAsia="Times New Roman" w:hAnsi="Times New Roman"/>
          <w:sz w:val="18"/>
          <w:szCs w:val="18"/>
          <w:color w:val="auto"/>
        </w:rPr>
        <w:t xml:space="preserve">”); provided that Licensee and Related Parties shall cease such activities, or any portion thereof, in a given country upon [***] notice by Licensor requesting that such activities be ceased. In the event that the Licensor will not have secured an alternative distributor or licensee for the Licensed Product in a country within the Wind-down Period, the Parties shall cooperate reasonably to execute and deliver such commercially reasonable agreements as may be necessary to preserve for Licensor the benefit of distribution of the Licensed Product in such country for a period of up [***] additional months, provided that such period shall, upon Licensor’s request, be extended for an additional [***] (for a total of [***] from the effective date of termination) in the event that Licensor will not have secured an alternative distributor or licensee for the Licensed Product in such country [***] from the effective date of termination despite having used Commercially Reasonable Efforts to do so. Such agreement shall provide that Licensee will fulfill orders for Licensed Product in the Territory on a contract basis, with Licensor booking all sales and retaining the revenue from such sales while indemnifying and holding the Licensee Indemnities harmless from all costs and expenses of such distribution and any Liabilities from a Third Party Claim arising from, out of or in connection with such distribution. Notwithstanding any other provision of this Agreement, during the Wind-down Period, Licensee’s and its Affiliates’ and, subject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above, Non-Affiliate Sublicensees’ rights with respect to the Licensed Product in the Territory shall be non-exclusive and, without limiting the foregoing, Licensor shall have the right to engage one or more other distributor(s) and/or licensee(s) of the Licensed Product in all or part of the Territory. Any Licensed Product sold or disposed by Licensee, its Affiliates and, subject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above, its Non-Affiliate Sublicensees in the Territory during the Wind-down Period shall be subject to applicable payment obligations under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above. The obligations set forth in this </w:t>
      </w:r>
      <w:r>
        <w:rPr>
          <w:rFonts w:ascii="Times New Roman" w:cs="Times New Roman" w:eastAsia="Times New Roman" w:hAnsi="Times New Roman"/>
          <w:sz w:val="18"/>
          <w:szCs w:val="18"/>
          <w:u w:val="single" w:color="auto"/>
          <w:color w:val="auto"/>
        </w:rPr>
        <w:t>Section 11.5(d)(i)(B)</w:t>
      </w:r>
      <w:r>
        <w:rPr>
          <w:rFonts w:ascii="Times New Roman" w:cs="Times New Roman" w:eastAsia="Times New Roman" w:hAnsi="Times New Roman"/>
          <w:sz w:val="18"/>
          <w:szCs w:val="18"/>
          <w:color w:val="auto"/>
        </w:rPr>
        <w:t xml:space="preserve"> shall not apply in any country or jurisdiction in which, as of the effective date of termination of this Agreement, the Royalty Term with respect to the applicable Licensed Product has expired or Generic Competition with respect to such License Product exists.</w:t>
      </w:r>
    </w:p>
    <w:p>
      <w:pPr>
        <w:spacing w:after="0" w:line="81" w:lineRule="exact"/>
        <w:rPr>
          <w:rFonts w:ascii="Times New Roman" w:cs="Times New Roman" w:eastAsia="Times New Roman" w:hAnsi="Times New Roman"/>
          <w:sz w:val="18"/>
          <w:szCs w:val="18"/>
          <w:color w:val="auto"/>
        </w:rPr>
      </w:pPr>
    </w:p>
    <w:p>
      <w:pPr>
        <w:ind w:left="-40" w:firstLine="987"/>
        <w:spacing w:after="0" w:line="254" w:lineRule="auto"/>
        <w:tabs>
          <w:tab w:leader="none" w:pos="119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Reversion License</w:t>
      </w:r>
      <w:r>
        <w:rPr>
          <w:rFonts w:ascii="Times New Roman" w:cs="Times New Roman" w:eastAsia="Times New Roman" w:hAnsi="Times New Roman"/>
          <w:sz w:val="18"/>
          <w:szCs w:val="18"/>
          <w:color w:val="auto"/>
        </w:rPr>
        <w:t>. Effective as of the date of expiration of the Wind-down Period, Licensee hereby grants (without any further action required on the part of Licensor) to Licensor, a royalty-free, fully paid, exclusive, worldwide, irrevocable, perpetual license, with the right to grant sublicenses through multiple tiers, under the Reversion Technology (including all Improvements), solely to Develop, Manufacture, and Commercialize Licensed Products throughout the world (the “</w:t>
      </w:r>
      <w:r>
        <w:rPr>
          <w:rFonts w:ascii="Times New Roman" w:cs="Times New Roman" w:eastAsia="Times New Roman" w:hAnsi="Times New Roman"/>
          <w:sz w:val="18"/>
          <w:szCs w:val="18"/>
          <w:b w:val="1"/>
          <w:bCs w:val="1"/>
          <w:color w:val="auto"/>
        </w:rPr>
        <w:t>Reversion License</w:t>
      </w:r>
      <w:r>
        <w:rPr>
          <w:rFonts w:ascii="Times New Roman" w:cs="Times New Roman" w:eastAsia="Times New Roman" w:hAnsi="Times New Roman"/>
          <w:sz w:val="18"/>
          <w:szCs w:val="18"/>
          <w:color w:val="auto"/>
        </w:rPr>
        <w:t>”). In the case of Combination Products, the Reversion License will not extend to [***]. In addition, if the Reversion Technology includes Third Party Technology, then no later than [***] after the effective date of the termination, Licensee shall notify Licensor in writing (a “</w:t>
      </w:r>
      <w:r>
        <w:rPr>
          <w:rFonts w:ascii="Times New Roman" w:cs="Times New Roman" w:eastAsia="Times New Roman" w:hAnsi="Times New Roman"/>
          <w:sz w:val="18"/>
          <w:szCs w:val="18"/>
          <w:b w:val="1"/>
          <w:bCs w:val="1"/>
          <w:color w:val="auto"/>
        </w:rPr>
        <w:t>Third Party Technology Notice</w:t>
      </w:r>
      <w:r>
        <w:rPr>
          <w:rFonts w:ascii="Times New Roman" w:cs="Times New Roman" w:eastAsia="Times New Roman" w:hAnsi="Times New Roman"/>
          <w:sz w:val="18"/>
          <w:szCs w:val="18"/>
          <w:color w:val="auto"/>
        </w:rPr>
        <w:t xml:space="preserve">”), including a description of such Third Party Technology and of all Pass-Thru Obligations owing to the applicable Third Party Licensor with respect to such Third Party Technology (as such terms are defined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above). The Third Party Technology Notice shall be accompanied by a copy of the relevant license or other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480" w:top="269" w:right="499" w:bottom="1440" w:gutter="0" w:footer="0" w:header="0"/>
        </w:sectPr>
      </w:pPr>
    </w:p>
    <w:bookmarkStart w:id="579" w:name="page580"/>
    <w:bookmarkEnd w:id="57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applicable Third Party Licensor, [***] (such license or other relevant agreement, the “</w:t>
      </w:r>
      <w:r>
        <w:rPr>
          <w:rFonts w:ascii="Times New Roman" w:cs="Times New Roman" w:eastAsia="Times New Roman" w:hAnsi="Times New Roman"/>
          <w:sz w:val="18"/>
          <w:szCs w:val="18"/>
          <w:b w:val="1"/>
          <w:bCs w:val="1"/>
          <w:color w:val="auto"/>
        </w:rPr>
        <w:t>Third Party Technology Reversion Agreement</w:t>
      </w:r>
      <w:r>
        <w:rPr>
          <w:rFonts w:ascii="Times New Roman" w:cs="Times New Roman" w:eastAsia="Times New Roman" w:hAnsi="Times New Roman"/>
          <w:sz w:val="18"/>
          <w:szCs w:val="18"/>
          <w:color w:val="auto"/>
        </w:rPr>
        <w:t xml:space="preserve">”). Any dispute between the Parties regarding the Pass-Thru Obligations shall be determined pursuant to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below. To the extent Licensor wishes to receive a license to such Third Party Technology for use in connection with the Development, Manufacture or Commercialization of Licensed Products throughout the world, it shall so notify Licensee in writing (such notice, the “</w:t>
      </w:r>
      <w:r>
        <w:rPr>
          <w:rFonts w:ascii="Times New Roman" w:cs="Times New Roman" w:eastAsia="Times New Roman" w:hAnsi="Times New Roman"/>
          <w:sz w:val="18"/>
          <w:szCs w:val="18"/>
          <w:b w:val="1"/>
          <w:bCs w:val="1"/>
          <w:color w:val="auto"/>
        </w:rPr>
        <w:t>Reversion In-License Notice</w:t>
      </w:r>
      <w:r>
        <w:rPr>
          <w:rFonts w:ascii="Times New Roman" w:cs="Times New Roman" w:eastAsia="Times New Roman" w:hAnsi="Times New Roman"/>
          <w:sz w:val="18"/>
          <w:szCs w:val="18"/>
          <w:color w:val="auto"/>
        </w:rPr>
        <w:t>”). Upon receipt of the Reversion In-License Notice, Licensee shall grant (and hereby grants) a license or sublicense under the Third Party Technology to Licensor to use and exploit the same in connection with the Development, Manufacture or Commercialization of Licensed Products in such territories to which Licensee has such rights with respect to Licensed Products, subject to the same limitations and restrictions as apply to such use by Licensee in such territories under the Third Party Technology Reversion Agreement (the “</w:t>
      </w:r>
      <w:r>
        <w:rPr>
          <w:rFonts w:ascii="Times New Roman" w:cs="Times New Roman" w:eastAsia="Times New Roman" w:hAnsi="Times New Roman"/>
          <w:sz w:val="18"/>
          <w:szCs w:val="18"/>
          <w:b w:val="1"/>
          <w:bCs w:val="1"/>
          <w:color w:val="auto"/>
        </w:rPr>
        <w:t>Pass-Thru Reversion License</w:t>
      </w:r>
      <w:r>
        <w:rPr>
          <w:rFonts w:ascii="Times New Roman" w:cs="Times New Roman" w:eastAsia="Times New Roman" w:hAnsi="Times New Roman"/>
          <w:sz w:val="18"/>
          <w:szCs w:val="18"/>
          <w:color w:val="auto"/>
        </w:rPr>
        <w:t>”). If requested by Licensor, Licensee and Licensor shall prepare in good faith and promptly execute a written agreement codifying the terms of the Pass-Thru Reversion License, or as mutually agreed, work to put in place a separate agreement between the applicable Third Party and Licensor under which the Third Party grants a direct license Licensor under the Third Party Technology on the same terms and conditions as the Pass-Thru Reversion License. At Licensee’s election, Licensee may assign to Licensor the applicable Third Party Technology Reversion License, and to the extent such assignment includes the rights granted to Licensor under the Pass-Thru Reversion License with respect to such Third Party Technology, the Pass-Thru Reversion License shall no longer apply with respect to such rights. Licensor shall [***]. Licensor agrees that it shall enter into a [***] agreement with Licensee [***]. Licensor shall comply with the Pass-Thru Obligations applicable to such Third Party Technology, in each case to the extent such Pass-Thru Obligations were described in the Third Party Technology Notice or Third Party Technology Reversion Agreement, and the grant of the Pass-Thru Reversion License with respect to such Third Party Technology shall be subject to such compliance. Such compliance by Licensor shall include taking such actions to comply with the Pass-Thru Obligations in such manner and on such timing as may be required to allow Licensee to comply with its obligations under the license or other agreement with the applicable Third Party Licensor, as such obligations apply to activities of the Licensor. Until Licensor provides a Reversion In-License Notice, or to the extent Licensor subsequently notifies Licensee that it wishes to terminate the applicable Third Party Technology Reversion Agreement, the Third Party Technology shall be deemed excluded from the Improvements. In the event Licensor subsequently notifies Licensee that it wishes to terminate the applicable Third Party Technology Reversion Agreement, Licensor shall remain responsible for all Pass-Thru Obligations accruing prior to the effective date of, or in connection with, such termination. To the extent Licensor does not provide a Reversion In-License Notice with respect to the Third Party Technology, Licensor shall not be responsible for the corresponding Pass-Thru Obligations.</w:t>
      </w:r>
    </w:p>
    <w:p>
      <w:pPr>
        <w:spacing w:after="0" w:line="80" w:lineRule="exact"/>
        <w:rPr>
          <w:sz w:val="20"/>
          <w:szCs w:val="20"/>
          <w:color w:val="auto"/>
        </w:rPr>
      </w:pPr>
    </w:p>
    <w:p>
      <w:pPr>
        <w:ind w:right="40" w:firstLine="1428"/>
        <w:spacing w:after="0" w:line="253" w:lineRule="auto"/>
        <w:tabs>
          <w:tab w:leader="none" w:pos="1727"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 and Regulatory Filings</w:t>
      </w:r>
      <w:r>
        <w:rPr>
          <w:rFonts w:ascii="Times New Roman" w:cs="Times New Roman" w:eastAsia="Times New Roman" w:hAnsi="Times New Roman"/>
          <w:sz w:val="18"/>
          <w:szCs w:val="18"/>
          <w:color w:val="auto"/>
        </w:rPr>
        <w:t xml:space="preserve">. In connection with the grant of the Reversion License, Licensee will as promptly as practicable [***]. In addition, at Licensor’s request, Licensee will appoint Licensor as Licensee’s or Licensee’s Affiliates’ or Sublicensees’ agent for all Licensed Products-related matters in the Territory involving Regulatory Authorities until all Regulatory Approvals and Regulatory Filings in the Territory have been assigned to Licensor or its designee. In the event of failure to obtain assignment, and to the extent Licensee is not required to assign any Regulatory Approval or Regulatory Filing to Licensor pursuant to clause (1) above, upon the effective date of such termination, Licensee hereby consents and grants to Licensor the right to access and reference (without any further action required on the part of Licensee, whose authorization to file this consent with any Regulatory Authority is hereby granted) any Regulatory Approvals and Regulatory Filings with respect to all Licensed Products in the Territory. In addition, all such materials and all Know-How, in each case to the extent related to the Licensed Compound or Licensed Product, shall be deemed Confidential Information of Licensor and not Confidential Information of Licensee (and will not be subject to the exclusions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5" w:right="459" w:bottom="1440" w:gutter="0" w:footer="0" w:header="0"/>
        </w:sectPr>
      </w:pPr>
    </w:p>
    <w:bookmarkStart w:id="580" w:name="page581"/>
    <w:bookmarkEnd w:id="580"/>
    <w:p>
      <w:pPr>
        <w:ind w:left="4" w:right="80" w:firstLine="1428"/>
        <w:spacing w:after="0" w:line="261" w:lineRule="auto"/>
        <w:tabs>
          <w:tab w:leader="none" w:pos="1721" w:val="left"/>
        </w:tabs>
        <w:numPr>
          <w:ilvl w:val="3"/>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Inventory Transfer</w:t>
      </w:r>
      <w:r>
        <w:rPr>
          <w:rFonts w:ascii="Times New Roman" w:cs="Times New Roman" w:eastAsia="Times New Roman" w:hAnsi="Times New Roman"/>
          <w:sz w:val="18"/>
          <w:szCs w:val="18"/>
          <w:color w:val="auto"/>
        </w:rPr>
        <w:t>. In connection with the grant of the Reversion License, within [***] of expiration of the Wind-down Period, Licensee shall notify Licensor of any quantity of the Licensed Product remaining in Licensee’s inventory and to the extent requested by Licensor’s request, Licensee will transfer to Licensor any inventory of Licensed Products in the possession or control of Licensee or its Affiliates as of the termination date at a price equal to [***].</w:t>
      </w:r>
    </w:p>
    <w:p>
      <w:pPr>
        <w:spacing w:after="0" w:line="71" w:lineRule="exact"/>
        <w:rPr>
          <w:rFonts w:ascii="Times New Roman" w:cs="Times New Roman" w:eastAsia="Times New Roman" w:hAnsi="Times New Roman"/>
          <w:sz w:val="18"/>
          <w:szCs w:val="18"/>
          <w:color w:val="auto"/>
        </w:rPr>
      </w:pPr>
    </w:p>
    <w:p>
      <w:pPr>
        <w:jc w:val="both"/>
        <w:ind w:left="444" w:right="120" w:firstLine="419"/>
        <w:spacing w:after="0" w:line="266" w:lineRule="auto"/>
        <w:tabs>
          <w:tab w:leader="none" w:pos="1082"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 xml:space="preserve">. Each Party shall use Commercially Reasonable Efforts to cooperate with the other and/or its designee to effect a smooth and orderly transition to Licensor (or its designee) of the Development, Manufacture and Commercialization of the Licensed Product in the Territory during the Wind-down Period, consistent with the other provisions of this </w:t>
      </w:r>
      <w:r>
        <w:rPr>
          <w:rFonts w:ascii="Times New Roman" w:cs="Times New Roman" w:eastAsia="Times New Roman" w:hAnsi="Times New Roman"/>
          <w:sz w:val="18"/>
          <w:szCs w:val="18"/>
          <w:u w:val="single" w:color="auto"/>
          <w:color w:val="auto"/>
        </w:rPr>
        <w:t>Section 11.5(e)(i)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20"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Confidential Information</w:t>
      </w:r>
      <w:r>
        <w:rPr>
          <w:rFonts w:ascii="Times New Roman" w:cs="Times New Roman" w:eastAsia="Times New Roman" w:hAnsi="Times New Roman"/>
          <w:sz w:val="18"/>
          <w:szCs w:val="18"/>
          <w:color w:val="auto"/>
        </w:rPr>
        <w:t>. Each Party will promptly destroy or return to the other Party all of such other Party’s Confidential Information that was provided by or on behalf of such other Party hereunder that is in the possession or control of such Party (or any of its Affiliates); provided, however, that Licensor shall be entitled to retain any Confidential Information of Licensee that is necessary or useful for Licensor to exploit the Reversion License, Notwithstanding the foregoing, a Party shall have the right to retain one copy of the Confidential Information of the other Party for legal and archival purposes, and the foregoing obligation of return or destruction shall not apply to Confidential Information or copies thereof maintained in routine, secure computer back-up files unless and until such information is accessed.</w:t>
      </w:r>
    </w:p>
    <w:p>
      <w:pPr>
        <w:spacing w:after="0" w:line="79"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of the JSC</w:t>
      </w:r>
      <w:r>
        <w:rPr>
          <w:rFonts w:ascii="Times New Roman" w:cs="Times New Roman" w:eastAsia="Times New Roman" w:hAnsi="Times New Roman"/>
          <w:sz w:val="18"/>
          <w:szCs w:val="18"/>
          <w:color w:val="auto"/>
        </w:rPr>
        <w:t>. If this Agreement is terminated, then the JSC and all subcommittees (if any) will be dissolved as of the effective date of such termination, provided that, for any surviving provisions requiring action or decision by the JSC or any of the subcommittees, each Party will appoint representatives to act as its JSC and subcommittee members, as applicable.</w:t>
      </w:r>
    </w:p>
    <w:p>
      <w:pPr>
        <w:spacing w:after="0" w:line="67" w:lineRule="exact"/>
        <w:rPr>
          <w:rFonts w:ascii="Times New Roman" w:cs="Times New Roman" w:eastAsia="Times New Roman" w:hAnsi="Times New Roman"/>
          <w:sz w:val="18"/>
          <w:szCs w:val="18"/>
          <w:color w:val="auto"/>
        </w:rPr>
      </w:pPr>
    </w:p>
    <w:p>
      <w:pPr>
        <w:ind w:left="4" w:firstLine="987"/>
        <w:spacing w:after="0" w:line="276" w:lineRule="auto"/>
        <w:tabs>
          <w:tab w:leader="none" w:pos="1250" w:val="left"/>
        </w:tabs>
        <w:numPr>
          <w:ilvl w:val="2"/>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Rights and Obligations</w:t>
      </w:r>
      <w:r>
        <w:rPr>
          <w:rFonts w:ascii="Times New Roman" w:cs="Times New Roman" w:eastAsia="Times New Roman" w:hAnsi="Times New Roman"/>
          <w:sz w:val="17"/>
          <w:szCs w:val="17"/>
          <w:color w:val="auto"/>
        </w:rPr>
        <w:t xml:space="preserve">. Except as set forth in this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(Effects of Termination) and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(Survival), (a) as of the effective date of termination of this Agreement in its entirety, all rights and obligations of the Parties under this Agreement will terminate, and</w:t>
      </w:r>
    </w:p>
    <w:p>
      <w:pPr>
        <w:ind w:left="4" w:right="80" w:hanging="4"/>
        <w:spacing w:after="0" w:line="260" w:lineRule="auto"/>
        <w:tabs>
          <w:tab w:leader="none" w:pos="259"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of expiration of this Agreement in part with respect to a Licensed Product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all rights and obligations of the Parties under this Agreement will terminate with respect to such Licensed Product.</w:t>
      </w:r>
    </w:p>
    <w:p>
      <w:pPr>
        <w:spacing w:after="0" w:line="73"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10" w:val="left"/>
        </w:tabs>
        <w:numPr>
          <w:ilvl w:val="2"/>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Assurances</w:t>
      </w:r>
      <w:r>
        <w:rPr>
          <w:rFonts w:ascii="Times New Roman" w:cs="Times New Roman" w:eastAsia="Times New Roman" w:hAnsi="Times New Roman"/>
          <w:sz w:val="18"/>
          <w:szCs w:val="18"/>
          <w:color w:val="auto"/>
        </w:rPr>
        <w:t xml:space="preserve">. Each Party will execute all documents and take, or cause to be taken, all such further actions as may be reasonably requested by the other Party in order to give effect to the terms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(Effects of Termination).</w:t>
      </w:r>
    </w:p>
    <w:p>
      <w:pPr>
        <w:spacing w:after="0" w:line="54"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following provisions shall survive the expiration or termination of this Agreement: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(Definitions) (to the extent necessary to give effect to other surviving provisions),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(Indemnification; Insurance; and Limitation on Damages) (other than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(Insurance)) and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(Miscellaneous Provisions), and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(Sublicensing) (and such other provisions of this Agreement as are necessary to give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4"/>
          </w:cols>
          <w:pgMar w:left="436" w:top="269" w:right="499" w:bottom="1440" w:gutter="0" w:footer="0" w:header="0"/>
        </w:sectPr>
      </w:pPr>
    </w:p>
    <w:bookmarkStart w:id="581" w:name="page582"/>
    <w:bookmarkEnd w:id="58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effect to the continuing licenses contemplated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(Pharmacovigilance),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(Reports, Payments and Accounting), </w:t>
      </w:r>
      <w:r>
        <w:rPr>
          <w:rFonts w:ascii="Times New Roman" w:cs="Times New Roman" w:eastAsia="Times New Roman" w:hAnsi="Times New Roman"/>
          <w:sz w:val="18"/>
          <w:szCs w:val="18"/>
          <w:u w:val="single" w:color="auto"/>
          <w:color w:val="auto"/>
        </w:rPr>
        <w:t>Section 11.5(c)</w:t>
      </w:r>
      <w:r>
        <w:rPr>
          <w:rFonts w:ascii="Times New Roman" w:cs="Times New Roman" w:eastAsia="Times New Roman" w:hAnsi="Times New Roman"/>
          <w:sz w:val="18"/>
          <w:szCs w:val="18"/>
          <w:color w:val="auto"/>
        </w:rPr>
        <w:t xml:space="preserve"> (Continued Sales) (for the period set forth therein),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(Effects of Termination) and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(Survival), and the last sentence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(License Grant) to the extent of and with respect to any perpetual, irrevocable, non- terminable, fully-paid up and royalty-free license described therein with respect to a Licensed Product is in effect on the date of expiration or termination of this Agreement.</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Governing Law; Language</w:t>
      </w:r>
      <w:r>
        <w:rPr>
          <w:rFonts w:ascii="Times New Roman" w:cs="Times New Roman" w:eastAsia="Times New Roman" w:hAnsi="Times New Roman"/>
          <w:sz w:val="18"/>
          <w:szCs w:val="18"/>
          <w:color w:val="auto"/>
        </w:rPr>
        <w:t>. This Agreement and all disputes arising out of or related to this Agreement shall be construed and the respective rights of the Parties determined in accordance with the laws of the State of New York, U.S.A., excluding application of any conflict of laws principles that would require application of the laws of a jurisdiction outside of New York, and will be subject to the exclusive jurisdiction of the courts of competent jurisdiction located in New York, New York. The Parties hereby expressly consent to the jurisdiction of such courts and irrevocably waive any objection to jurisdiction or venue. This Agreement and all communications related to it, or to any dispute or controversy arising out of it, shall be conducted in English.</w:t>
      </w:r>
    </w:p>
    <w:p>
      <w:pPr>
        <w:spacing w:after="0" w:line="7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notices required or permitted by this Agreement shall be in writing, shall specifically refer to this Agreement, and shall be sent by hand, recognized national overnight courier, confirmed facsimile transmission, confirmed electronic mail or registered or certified mail, postage prepaid, return receipt requested, to the following address or facsimile number of the Parties: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Licensor: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Taiho Pharmaceuticals Co.,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 Kandanishiki-cho,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Chiyoda-ku, Tokyo 101-8444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Licensee: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Cullinan Pearl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Main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520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Cambridge, MA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02142 U.S.A.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00"/>
          </w:cols>
          <w:pgMar w:left="440" w:top="269" w:right="559" w:bottom="1440" w:gutter="0" w:footer="0" w:header="0"/>
        </w:sectPr>
      </w:pPr>
    </w:p>
    <w:bookmarkStart w:id="582" w:name="page583"/>
    <w:bookmarkEnd w:id="5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Richard A. Hoffman, Esq.</w:t>
      </w:r>
    </w:p>
    <w:p>
      <w:pPr>
        <w:spacing w:after="0" w:line="99"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All notices under this Agreement shall be deemed effective upon receipt. A party may change its contact information immediately upon written notice to the other party in the manner provided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Party may, without the consent of the other Party, assign or transfer any of its rights and obligations hereunder;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either Party may assign this Agreement, in its entirety, to a Third Party acquirer without the consent of the other Party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such Party, including by way of merger, consolidation, transfer, or sale of assets, provided that the Third Party acquirer agrees in a writing delivered to the non-assigning Party to assume all of the rights and obligations of the assigning Party under this Agreement, and in the case of Licensee, the Third Party is a Qualified Sublicensee, in which case such Qualified Sublicensee may thereafter further assign this Agreement, in its entirety, to an affiliate without the consent of Licensor (and such Qualified Sublicensee shall remain responsible for the activities of such affiliate); provided further that Licensee may [***]. Notwithstanding the foregoing, to the extent an assignment of this Agreement to an entity domiciled outside of the United States of America, any country that is a member state of the EU, Switzerland or Japan will cause adverse tax consequences to the non-assigning Party, such assignment shall be subject to the prior written consent of the non-assigning Party, which shall not be withheld unreasonably. The Parties shall make reasonable efforts, and provide each other with reasonable assistance, to reduce any adverse tax consequences as far as possible under the provisions of any relevant tax treaty or other statutory or regulatory provision. It shall be unreasonable for the non-assigning Party to withhold such consent to an assignment if such adverse tax consequences could be avoided through such efforts and assistance and the non-assigning Party fails or refuses to make such efforts or provide such assistance. Any assignment in circumvention of the foregoing shall be void. Subject to the foregoing, this Agreement shall be binding upon and inure to the benefit of the Parties hereto and their respective permitted successors and assigns.</w:t>
      </w:r>
    </w:p>
    <w:p>
      <w:pPr>
        <w:spacing w:after="0" w:line="89"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its subject matter and supersedes all prior agreements or understandings between the Parties relating to its subject matter.</w:t>
      </w:r>
    </w:p>
    <w:p>
      <w:pPr>
        <w:spacing w:after="0" w:line="54"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9" w:right="459" w:bottom="1440" w:gutter="0" w:footer="0" w:header="0"/>
        </w:sectPr>
      </w:pPr>
    </w:p>
    <w:bookmarkStart w:id="583" w:name="page584"/>
    <w:bookmarkEnd w:id="58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include notices, consents, approvals and other written communications contemplated under this Agreement; (d) the words “hereof,” “herein,” “hereby” and derivative or similar words refer to this Agreement (including any Exhibits);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8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may be amended, supplemented, or otherwise modified only by means of a written instrument signed by both Parties. Any waiver of any right or failure to act in a specific instance shall related only to such instance and shall not be construed as an agreement to waive any right or fail to act in any other instance, whether or not similar.</w:t>
      </w:r>
    </w:p>
    <w:p>
      <w:pPr>
        <w:spacing w:after="0" w:line="6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that any provision of this Agreement shall be held invalid or 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 To the fullest extent permitted by applicable Law, each Party hereby waives any provision of Law that would render any provision hereof illegal, invalid or unenforceable in any respect, and neither Party shall take or cooperate with any Third Party to take any legal action or invalidate or render unenforceable any provision hereof. Without limiting the foregoing, if Licensee or any of its Affiliates or Sublicensees challenges under any court action or other legal proceeding, or before any governmental authority, the validity, legality or enforceability of any payment obligation of Licensee under this Agreement, or assists any Third Party in bringing any such challenge, Licensor shall have the right to terminate this Agreement upon sixty (60) days’ prior written notice to Licensee, unless such challenge is withdrawn and the effect of such challenge cured within such sixty (60) day period. Any termination in accordance with the foregoing shall be deemed a termination by Licensee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xml:space="preserve">. Neither Party shall not use the other Party’s name (except in connection with disclosures permitted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or logo without the other Party’s express prior written consent, which consent may be granted in the context of the Parties mutually approving a press release or other public disclosure related to this Agreement.</w:t>
      </w:r>
    </w:p>
    <w:p>
      <w:pPr>
        <w:spacing w:after="0" w:line="68"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counterparts, when so executed and delivered, shall be deemed to be an original, and all of which counterparts, taken together, shall constitute one and the same instrument.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69" w:right="479" w:bottom="1440" w:gutter="0" w:footer="0" w:header="0"/>
        </w:sectPr>
      </w:pPr>
    </w:p>
    <w:bookmarkStart w:id="584" w:name="page585"/>
    <w:bookmarkEnd w:id="584"/>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Neither Party will be responsible for delays resulting from causes beyond the reasonable control of such Party, including fire, explosion, flood, war, strike, or riot,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nonperforming Party uses commercially reasonable efforts for a company of its size and resources to avoid or remove such causes of nonperformance and continues performance under this Agreement with reasonable dispatch whenever such causes are removed.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8" w:lineRule="auto"/>
        <w:tabs>
          <w:tab w:leader="none" w:pos="123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Escalation</w:t>
      </w:r>
      <w:r>
        <w:rPr>
          <w:rFonts w:ascii="Times New Roman" w:cs="Times New Roman" w:eastAsia="Times New Roman" w:hAnsi="Times New Roman"/>
          <w:sz w:val="18"/>
          <w:szCs w:val="18"/>
          <w:color w:val="auto"/>
        </w:rPr>
        <w:t xml:space="preserve">. If any dispute arises out of or relates to this Agreement, the Parties agree to first seek to resolve such dispute by referring such dispute to the respective Chief Executive Officers of each Party for resolution. Such referral shall take place within [***] after a written request by either Party to the other Party that resolution by the Chief Executive Officers be attempted. If, after an additional [***], the Chief Executive Officers of the Parties have not succeeded in negotiating a resolution of the dispute, and a Party wishes to pursue the matter, such Party may initiate binding arbitration in accordance with </w:t>
      </w:r>
      <w:r>
        <w:rPr>
          <w:rFonts w:ascii="Times New Roman" w:cs="Times New Roman" w:eastAsia="Times New Roman" w:hAnsi="Times New Roman"/>
          <w:sz w:val="18"/>
          <w:szCs w:val="18"/>
          <w:u w:val="single" w:color="auto"/>
          <w:color w:val="auto"/>
        </w:rPr>
        <w:t>Section 12.11(b)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Dispute Resolution</w:t>
      </w:r>
      <w:r>
        <w:rPr>
          <w:rFonts w:ascii="Times New Roman" w:cs="Times New Roman" w:eastAsia="Times New Roman" w:hAnsi="Times New Roman"/>
          <w:sz w:val="18"/>
          <w:szCs w:val="18"/>
          <w:color w:val="auto"/>
        </w:rPr>
        <w:t xml:space="preserve">. Any dispute arising out of or relating to this Agreement that has not been resolved pursuant to </w:t>
      </w:r>
      <w:r>
        <w:rPr>
          <w:rFonts w:ascii="Times New Roman" w:cs="Times New Roman" w:eastAsia="Times New Roman" w:hAnsi="Times New Roman"/>
          <w:sz w:val="18"/>
          <w:szCs w:val="18"/>
          <w:u w:val="single" w:color="auto"/>
          <w:color w:val="auto"/>
        </w:rPr>
        <w:t>Section 12.11(a)</w:t>
      </w:r>
      <w:r>
        <w:rPr>
          <w:rFonts w:ascii="Times New Roman" w:cs="Times New Roman" w:eastAsia="Times New Roman" w:hAnsi="Times New Roman"/>
          <w:sz w:val="18"/>
          <w:szCs w:val="18"/>
          <w:color w:val="auto"/>
        </w:rPr>
        <w:t xml:space="preserve"> shall be resolved through binding arbitration as follows:</w:t>
      </w:r>
    </w:p>
    <w:p>
      <w:pPr>
        <w:spacing w:after="0" w:line="53"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submit such dispute to arbitration by notifying the other Party, in writing, of such dispute. Within [***] after receipt of such notice, the Parties shall designate in writing a single arbitrator to resolve the dispute; provided, however, that if the Parties cannot agree on an arbitrator within such [***] period, the arbitrator shall be selected by the New York, New York office of the American Arbitration Association (the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The arbitrator shall not be an Affiliate, employee, consultant, officer, director or stockholder of any Party.</w:t>
      </w:r>
    </w:p>
    <w:p>
      <w:pPr>
        <w:spacing w:after="0" w:line="71" w:lineRule="exact"/>
        <w:rPr>
          <w:rFonts w:ascii="Times New Roman" w:cs="Times New Roman" w:eastAsia="Times New Roman" w:hAnsi="Times New Roman"/>
          <w:sz w:val="18"/>
          <w:szCs w:val="18"/>
          <w:color w:val="auto"/>
        </w:rPr>
      </w:pPr>
    </w:p>
    <w:p>
      <w:pPr>
        <w:ind w:left="440" w:right="60" w:firstLine="948"/>
        <w:spacing w:after="0" w:line="289" w:lineRule="auto"/>
        <w:tabs>
          <w:tab w:leader="none" w:pos="1657"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after the designation of the arbitrator, the Parties shall submit to the arbitrator in writing a list the disputed issues of which the parties are aware at that time and a proposed ruling on the merits of each such issue, with the understanding that the parties shall have the right to petition the arbitrator to amend or supplement their list as additional information becomes available during the arbitration process.</w:t>
      </w:r>
    </w:p>
    <w:p>
      <w:pPr>
        <w:spacing w:after="0" w:line="49" w:lineRule="exact"/>
        <w:rPr>
          <w:rFonts w:ascii="Times New Roman" w:cs="Times New Roman" w:eastAsia="Times New Roman" w:hAnsi="Times New Roman"/>
          <w:sz w:val="17"/>
          <w:szCs w:val="17"/>
          <w:color w:val="auto"/>
        </w:rPr>
      </w:pPr>
    </w:p>
    <w:p>
      <w:pPr>
        <w:ind w:left="440" w:right="40" w:firstLine="948"/>
        <w:spacing w:after="0" w:line="261" w:lineRule="auto"/>
        <w:tabs>
          <w:tab w:leader="none" w:pos="1707"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 shall set a date for a hearing, which shall be no later than [***] after the submission of written proposals pursuant to </w:t>
      </w:r>
      <w:r>
        <w:rPr>
          <w:rFonts w:ascii="Times New Roman" w:cs="Times New Roman" w:eastAsia="Times New Roman" w:hAnsi="Times New Roman"/>
          <w:sz w:val="18"/>
          <w:szCs w:val="18"/>
          <w:u w:val="single" w:color="auto"/>
          <w:color w:val="auto"/>
        </w:rPr>
        <w:t>Section 12.11(b)(ii)</w:t>
      </w:r>
      <w:r>
        <w:rPr>
          <w:rFonts w:ascii="Times New Roman" w:cs="Times New Roman" w:eastAsia="Times New Roman" w:hAnsi="Times New Roman"/>
          <w:sz w:val="18"/>
          <w:szCs w:val="18"/>
          <w:color w:val="auto"/>
        </w:rPr>
        <w:t>. The Parties shall have the right to be represented by counsel at the hearing and throughout the arbitration process. Except as provided herein, the arbitration shall be governed by the Commercial Arbitration Rules of the AAA, and the arbitration shall be conducted by a single arbitrator.</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use his or her best efforts to rule within [***] after the completion of the hearing described in</w:t>
      </w:r>
    </w:p>
    <w:p>
      <w:pPr>
        <w:spacing w:after="0" w:line="27" w:lineRule="exact"/>
        <w:rPr>
          <w:sz w:val="20"/>
          <w:szCs w:val="20"/>
          <w:color w:val="auto"/>
        </w:rPr>
      </w:pPr>
    </w:p>
    <w:p>
      <w:pPr>
        <w:ind w:left="440" w:right="18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12.11(b)(iii)</w:t>
      </w:r>
      <w:r>
        <w:rPr>
          <w:rFonts w:ascii="Times New Roman" w:cs="Times New Roman" w:eastAsia="Times New Roman" w:hAnsi="Times New Roman"/>
          <w:sz w:val="18"/>
          <w:szCs w:val="18"/>
          <w:color w:val="auto"/>
        </w:rPr>
        <w:t>. The determination of the arbitrator as to the resolution of any dispute shall be binding and conclusive upon all Parties. The arbitrator shall issue a reasoned opinion in writing and shall deliver that opinion to the Parties.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69" w:right="479" w:bottom="1440" w:gutter="0" w:footer="0" w:header="0"/>
        </w:sectPr>
      </w:pPr>
    </w:p>
    <w:bookmarkStart w:id="585" w:name="page586"/>
    <w:bookmarkEnd w:id="585"/>
    <w:p>
      <w:pPr>
        <w:ind w:left="440" w:right="100" w:firstLine="948"/>
        <w:spacing w:after="0" w:line="282" w:lineRule="auto"/>
        <w:tabs>
          <w:tab w:leader="none" w:pos="1647"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attorneys’ fees of the Parties in any arbitration, fees of the arbitrator, and costs and expenses of the arbitration shall be borne by the Parties as determined by the arbitrator.</w:t>
      </w:r>
    </w:p>
    <w:p>
      <w:pPr>
        <w:spacing w:after="0" w:line="53"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87"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arbitration pursuant to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shall be conducted in New York, New York, U.S.A. Any arbitration award may be entered in and enforced by any court of competent jurisdiction.</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Limitation</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shall be construed as limiting in any way the right of a Party to seek an injunction or other equitable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Compliance and Ethical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07"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their obligations under this Agreement, the Parties will comply with applicable Law and regulations and will take no action which may jeopardize the goodwill or reputation of the other Party.</w:t>
      </w:r>
    </w:p>
    <w:p>
      <w:pPr>
        <w:spacing w:after="0" w:line="53"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represents and warrants that it is not, nor are any of its legal representatives, as applicable, listed on the U.S. Treasury Department’s List of Specially Designated Nationals and Blocked Persons (http:// https://www.treasury.gov/ofac/downloads/sdnlist.pdf), the U.S. Commerce Department’s Denied Persons List (http://www.bis.doc.gov/dpl/thedeniallist.asp) and Entity List (http://www.bis.doc.gov/entities/default.htm), or the Consolidated List of Persons, Groups and Entities Subject to EU Financial Sanctions (https://eeas.europa.eu/headquarters/headquarters-homepage/8442/consolidated-list- sanctions_en), or on any comparable denied parties list issued by the U.S., EU or another jurisdiction which is applicable to the products or technical data supplied under this Agreement (all of the foregoing collectively referred to as “</w:t>
      </w:r>
      <w:r>
        <w:rPr>
          <w:rFonts w:ascii="Times New Roman" w:cs="Times New Roman" w:eastAsia="Times New Roman" w:hAnsi="Times New Roman"/>
          <w:sz w:val="18"/>
          <w:szCs w:val="18"/>
          <w:b w:val="1"/>
          <w:bCs w:val="1"/>
          <w:color w:val="auto"/>
        </w:rPr>
        <w:t>Denied Parties Lists</w:t>
      </w:r>
      <w:r>
        <w:rPr>
          <w:rFonts w:ascii="Times New Roman" w:cs="Times New Roman" w:eastAsia="Times New Roman" w:hAnsi="Times New Roman"/>
          <w:sz w:val="18"/>
          <w:szCs w:val="18"/>
          <w:color w:val="auto"/>
        </w:rPr>
        <w:t>”). Licensee further represents and warrants that it is not directly owned by 50% or more by a person listed on any of the Denied Parties Lists. Licensee further represents and warrants that it shall notify Licensor in writing promptly if it or any of its legal representatives become listed on any of the Denied Parties Lists or if it becomes owned by 50% or more by a person listed on any of the Denied Parties List.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9" w:right="459" w:bottom="1440" w:gutter="0" w:footer="0" w:header="0"/>
        </w:sectPr>
      </w:pPr>
    </w:p>
    <w:bookmarkStart w:id="586" w:name="page587"/>
    <w:bookmarkEnd w:id="586"/>
    <w:p>
      <w:pPr>
        <w:ind w:left="800" w:hanging="253"/>
        <w:spacing w:after="0"/>
        <w:tabs>
          <w:tab w:leader="none" w:pos="8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Ethical Business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48"/>
        <w:spacing w:after="0" w:line="270" w:lineRule="auto"/>
        <w:tabs>
          <w:tab w:leader="none" w:pos="1167" w:val="left"/>
        </w:tabs>
        <w:numPr>
          <w:ilvl w:val="1"/>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performing their obligations hereunder, the Parties acknowledge that the corporate policy of Licensor and its Affiliates requires that Licensor’s business be conducted within the letter and spirit of the law. By signing this Agreement, the Parties agree to conduct the business contemplated herein in a manner which is consistent with all applicable Law and good business ethics. Specifically, the Parties warrant and agree that in connection with this Agreement and Licensor’s business relating thereto, they, their directors, their employees and their officers shall not offer, make or promise any payment, either directly or indirectly, of money or other assets (hereinafter collectively referred to as “</w:t>
      </w: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xml:space="preserve">” for the purposes of this </w:t>
      </w:r>
      <w:r>
        <w:rPr>
          <w:rFonts w:ascii="Times New Roman" w:cs="Times New Roman" w:eastAsia="Times New Roman" w:hAnsi="Times New Roman"/>
          <w:sz w:val="17"/>
          <w:szCs w:val="17"/>
          <w:u w:val="single" w:color="auto"/>
          <w:color w:val="auto"/>
        </w:rPr>
        <w:t>Section 12.12(b)</w:t>
      </w:r>
      <w:r>
        <w:rPr>
          <w:rFonts w:ascii="Times New Roman" w:cs="Times New Roman" w:eastAsia="Times New Roman" w:hAnsi="Times New Roman"/>
          <w:sz w:val="17"/>
          <w:szCs w:val="17"/>
          <w:color w:val="auto"/>
        </w:rPr>
        <w:t>), to any government, political party or international organization official, candidate or persons acting on behalf of any of the foregoing or directly associated with them including their staff, business partners, close associates and family (hereinafter collectively referred to as “</w:t>
      </w:r>
      <w:r>
        <w:rPr>
          <w:rFonts w:ascii="Times New Roman" w:cs="Times New Roman" w:eastAsia="Times New Roman" w:hAnsi="Times New Roman"/>
          <w:sz w:val="17"/>
          <w:szCs w:val="17"/>
          <w:b w:val="1"/>
          <w:bCs w:val="1"/>
          <w:color w:val="auto"/>
        </w:rPr>
        <w:t>Officials</w:t>
      </w:r>
      <w:r>
        <w:rPr>
          <w:rFonts w:ascii="Times New Roman" w:cs="Times New Roman" w:eastAsia="Times New Roman" w:hAnsi="Times New Roman"/>
          <w:sz w:val="17"/>
          <w:szCs w:val="17"/>
          <w:color w:val="auto"/>
        </w:rPr>
        <w:t xml:space="preserve">” for the purposes of this </w:t>
      </w:r>
      <w:r>
        <w:rPr>
          <w:rFonts w:ascii="Times New Roman" w:cs="Times New Roman" w:eastAsia="Times New Roman" w:hAnsi="Times New Roman"/>
          <w:sz w:val="17"/>
          <w:szCs w:val="17"/>
          <w:u w:val="single" w:color="auto"/>
          <w:color w:val="auto"/>
        </w:rPr>
        <w:t>Section 12.12(b)</w:t>
      </w:r>
      <w:r>
        <w:rPr>
          <w:rFonts w:ascii="Times New Roman" w:cs="Times New Roman" w:eastAsia="Times New Roman" w:hAnsi="Times New Roman"/>
          <w:sz w:val="17"/>
          <w:szCs w:val="17"/>
          <w:color w:val="auto"/>
        </w:rPr>
        <w:t>) where such Payment would constitute a violation of any applicable Law. In addition, the Parties shall make no Payment, either directly or indirectly, to Officials if such Payment is for the purpose of improperly influencing decisions or actions with respect to the subject matter of this Agreement or the business activities of Licensor or its Affiliates.</w:t>
      </w:r>
    </w:p>
    <w:p>
      <w:pPr>
        <w:spacing w:after="0" w:line="68" w:lineRule="exact"/>
        <w:rPr>
          <w:rFonts w:ascii="Times New Roman" w:cs="Times New Roman" w:eastAsia="Times New Roman" w:hAnsi="Times New Roman"/>
          <w:sz w:val="17"/>
          <w:szCs w:val="17"/>
          <w:color w:val="auto"/>
        </w:rPr>
      </w:pPr>
    </w:p>
    <w:p>
      <w:pPr>
        <w:ind w:right="40" w:firstLine="948"/>
        <w:spacing w:after="0" w:line="261" w:lineRule="auto"/>
        <w:tabs>
          <w:tab w:leader="none" w:pos="1217"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acknowledges and agrees that in the event that Licensee engages an Affiliate, subcontractor or agent in the performance of its obligations under this Agreement, that Licensee will conduct due diligence on such Affiliate, subcontractor or agent to ensure such Affiliate’s, subcontractor’s or agent’s suitability to comply with the requirements set forth in this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and will maintain records of such due diligence and any identified risks and mitigation records, consistent with Licensee’s customary procedures.</w:t>
      </w:r>
    </w:p>
    <w:p>
      <w:pPr>
        <w:spacing w:after="0" w:line="71" w:lineRule="exact"/>
        <w:rPr>
          <w:rFonts w:ascii="Times New Roman" w:cs="Times New Roman" w:eastAsia="Times New Roman" w:hAnsi="Times New Roman"/>
          <w:sz w:val="18"/>
          <w:szCs w:val="18"/>
          <w:color w:val="auto"/>
        </w:rPr>
      </w:pPr>
    </w:p>
    <w:p>
      <w:pPr>
        <w:ind w:right="380" w:firstLine="948"/>
        <w:spacing w:after="0" w:line="266" w:lineRule="auto"/>
        <w:tabs>
          <w:tab w:leader="none" w:pos="1267"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represents, warrants and covenants that all books, records, invoices, and other documents relating to payments and expenses under this Agreement are and shall be accurate and reflect in reasonable detail the character and amount of transactions and expenditures.</w:t>
      </w:r>
    </w:p>
    <w:p>
      <w:pPr>
        <w:spacing w:after="0" w:line="67" w:lineRule="exact"/>
        <w:rPr>
          <w:rFonts w:ascii="Times New Roman" w:cs="Times New Roman" w:eastAsia="Times New Roman" w:hAnsi="Times New Roman"/>
          <w:sz w:val="18"/>
          <w:szCs w:val="18"/>
          <w:color w:val="auto"/>
        </w:rPr>
      </w:pPr>
    </w:p>
    <w:p>
      <w:pPr>
        <w:ind w:right="420" w:firstLine="948"/>
        <w:spacing w:after="0" w:line="282" w:lineRule="auto"/>
        <w:tabs>
          <w:tab w:leader="none" w:pos="1257"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further represents, warrants and agrees that no “off the books” or other similar funds will be maintained or used in connection with this Agreement.</w:t>
      </w:r>
    </w:p>
    <w:p>
      <w:pPr>
        <w:spacing w:after="0" w:line="53" w:lineRule="exact"/>
        <w:rPr>
          <w:rFonts w:ascii="Times New Roman" w:cs="Times New Roman" w:eastAsia="Times New Roman" w:hAnsi="Times New Roman"/>
          <w:sz w:val="18"/>
          <w:szCs w:val="18"/>
          <w:color w:val="auto"/>
        </w:rPr>
      </w:pPr>
    </w:p>
    <w:p>
      <w:pPr>
        <w:ind w:right="100" w:firstLine="948"/>
        <w:spacing w:after="0" w:line="256" w:lineRule="auto"/>
        <w:tabs>
          <w:tab w:leader="none" w:pos="1207"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agrees to ensure that all of Licensee’s employees, agents and subcontractors involved in performing the obligations under this Agreement are made aware of the prohibited nature of activities expressly prohibited under this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xml:space="preserve">, including by participation, as appropriate, of such employees, agents and subcontractors in mandatory training to be conducted by Licensee regarding such requirements prior to performing any obligations under this Agreement. Licensee further agrees to certify its continuing compliance with the requirements under this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xml:space="preserve"> on a periodic basis during the Term of this Agreement upon Licensor’s request, such request to be made no more frequently than once in any Calendar Year.</w:t>
      </w:r>
    </w:p>
    <w:p>
      <w:pPr>
        <w:spacing w:after="0" w:line="79" w:lineRule="exact"/>
        <w:rPr>
          <w:rFonts w:ascii="Times New Roman" w:cs="Times New Roman" w:eastAsia="Times New Roman" w:hAnsi="Times New Roman"/>
          <w:sz w:val="18"/>
          <w:szCs w:val="18"/>
          <w:color w:val="auto"/>
        </w:rPr>
      </w:pPr>
    </w:p>
    <w:p>
      <w:pPr>
        <w:ind w:right="20" w:firstLine="948"/>
        <w:spacing w:after="0" w:line="261" w:lineRule="auto"/>
        <w:tabs>
          <w:tab w:leader="none" w:pos="1257"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violation of, or any breach of a representation or warranty set forth in, this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xml:space="preserve">, Licensor shall thereafter for the duration of the term of this Agreement have the right, upon reasonable notice and at a time mutually agreed by Licensee and Licensor, to periodically audit the books and records of Licensee to ensure compliance with this </w:t>
      </w:r>
      <w:r>
        <w:rPr>
          <w:rFonts w:ascii="Times New Roman" w:cs="Times New Roman" w:eastAsia="Times New Roman" w:hAnsi="Times New Roman"/>
          <w:sz w:val="18"/>
          <w:szCs w:val="18"/>
          <w:u w:val="single" w:color="auto"/>
          <w:color w:val="auto"/>
        </w:rPr>
        <w:t>Section 12.12(b)</w:t>
      </w:r>
      <w:r>
        <w:rPr>
          <w:rFonts w:ascii="Times New Roman" w:cs="Times New Roman" w:eastAsia="Times New Roman" w:hAnsi="Times New Roman"/>
          <w:sz w:val="18"/>
          <w:szCs w:val="18"/>
          <w:color w:val="auto"/>
        </w:rPr>
        <w:t xml:space="preserve"> (Ethical Business), and Licensee shall provide its full cooperation and assistance in any such review conducted by Licensor.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60"/>
          </w:cols>
          <w:pgMar w:left="880" w:top="269" w:right="459" w:bottom="1440" w:gutter="0" w:footer="0" w:header="0"/>
        </w:sectPr>
      </w:pPr>
    </w:p>
    <w:bookmarkStart w:id="587" w:name="page588"/>
    <w:bookmarkEnd w:id="587"/>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12.13 </w:t>
      </w:r>
      <w:r>
        <w:rPr>
          <w:rFonts w:ascii="Times New Roman" w:cs="Times New Roman" w:eastAsia="Times New Roman" w:hAnsi="Times New Roman"/>
          <w:sz w:val="18"/>
          <w:szCs w:val="18"/>
          <w:u w:val="single" w:color="auto"/>
          <w:color w:val="auto"/>
        </w:rPr>
        <w:t>Offset Rights</w:t>
      </w:r>
      <w:r>
        <w:rPr>
          <w:rFonts w:ascii="Times New Roman" w:cs="Times New Roman" w:eastAsia="Times New Roman" w:hAnsi="Times New Roman"/>
          <w:sz w:val="18"/>
          <w:szCs w:val="18"/>
          <w:color w:val="auto"/>
        </w:rPr>
        <w:t>. Notwithstanding anything to the contrary in this Agreement, neither Party may, at any time or for any reason, offset any payments due to the other Party or its Affiliates under this Agreement.</w:t>
      </w:r>
    </w:p>
    <w:p>
      <w:pPr>
        <w:spacing w:after="0" w:line="54"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 Person other than Licensee, Licensor and their respective Affiliates, successors and permitted assignees hereunder, shall be deemed an intended beneficiary hereunder or have any right to enforce any obligation of this Agreement.</w:t>
      </w:r>
    </w:p>
    <w:p>
      <w:pPr>
        <w:spacing w:after="0" w:line="5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It is expressly agreed that Licensee and Licensor shall be independent contractors and that the relationship between Licensee and Licensor shall not constitute a partnership, joint venture or agency. Neither Licensee nor Licensor shall have the authority to make any statements, representations, or commitments of any kind, or to take any action, which shall be binding on the other Party, without the prior written consent of such other Party.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9" w:right="459" w:bottom="1440" w:gutter="0" w:footer="0" w:header="0"/>
        </w:sectPr>
      </w:pPr>
    </w:p>
    <w:bookmarkStart w:id="588" w:name="page589"/>
    <w:bookmarkEnd w:id="58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executed this Agreement as of the date first set forth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TAIHO PHARMACEUTICAL, CO., LTD.</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CULLINAN PEARL CORP.</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/s/ Masayuki Kobayashi</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Owen Hughes</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Masayuki Kobayashi</w:t>
            </w:r>
          </w:p>
        </w:tc>
        <w:tc>
          <w:tcPr>
            <w:tcW w:w="112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Owen Hughes</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364"/>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589" w:name="page590"/>
    <w:bookmarkEnd w:id="589"/>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color w:val="auto"/>
        </w:rPr>
        <w:t>Licensed Compounds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TAS6417</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019"/>
          </w:cols>
          <w:pgMar w:left="440" w:top="265" w:right="1440" w:bottom="1440" w:gutter="0" w:footer="0" w:header="0"/>
        </w:sectPr>
      </w:pPr>
    </w:p>
    <w:bookmarkStart w:id="590" w:name="page591"/>
    <w:bookmarkEnd w:id="5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Licensed Patent Rights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sheets]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5" w:right="1440" w:bottom="1440" w:gutter="0" w:footer="0" w:header="0"/>
        </w:sectPr>
      </w:pPr>
    </w:p>
    <w:bookmarkStart w:id="591" w:name="page592"/>
    <w:bookmarkEnd w:id="59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0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Confidential</w:t>
            </w:r>
          </w:p>
        </w:tc>
      </w:tr>
      <w:tr>
        <w:trPr>
          <w:trHeight w:val="243"/>
        </w:trPr>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spacing w:after="0"/>
              <w:rPr>
                <w:sz w:val="19"/>
                <w:szCs w:val="19"/>
                <w:color w:val="auto"/>
              </w:rPr>
            </w:pP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spacing w:after="0"/>
              <w:rPr>
                <w:sz w:val="19"/>
                <w:szCs w:val="19"/>
                <w:color w:val="auto"/>
              </w:rPr>
            </w:pP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auto"/>
              </w:rPr>
              <w:t>B-2</w:t>
            </w: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92" w:name="page593"/>
    <w:bookmarkEnd w:id="592"/>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66"/>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66"/>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66"/>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2"/>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B-3</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8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93" w:name="page594"/>
    <w:bookmarkEnd w:id="5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Subscription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5" w:right="1440" w:bottom="1440" w:gutter="0" w:footer="0" w:header="0"/>
        </w:sectPr>
      </w:pPr>
    </w:p>
    <w:bookmarkStart w:id="594" w:name="page595"/>
    <w:bookmarkEnd w:id="59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COPY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SUBSCRIPTION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STOCK SUBSCRIPTION AGREEMENT is made as of the 4th day of February, 2019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Cullinan Pearl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having an address at One Main Street, Suite 520, Cambridge, MA 02142, U.S.A., and Taiho Pharmaceutical, Co., LTD., a Japanese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having an address at 1-27 Kandanishiki-cho, Chiyoda-ku, Tokyo 101-8444 Japan. The Company and Purchaser are each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WHEREAS, the Company and the Purchaser are entering into a License and Collaboration Agreement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on the date hereof, pursuant to which the Company will (i) obtain certain rights under Licensed IP (as defined in the License Agreement) from the Purchaser and (ii) issue shares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to the Purchaser in accordance with the terms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117" w:lineRule="exact"/>
        <w:rPr>
          <w:sz w:val="20"/>
          <w:szCs w:val="20"/>
          <w:color w:val="auto"/>
        </w:rPr>
      </w:pPr>
    </w:p>
    <w:p>
      <w:pPr>
        <w:ind w:left="620" w:hanging="184"/>
        <w:spacing w:after="0"/>
        <w:tabs>
          <w:tab w:leader="none" w:pos="62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Common Shares; Closing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1.1 On or prior to the Closing (as defined below), the Company shall have authorized the issuance to the Purchaser of 1,860,000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terms of this Agreement.</w:t>
      </w:r>
    </w:p>
    <w:p>
      <w:pPr>
        <w:spacing w:after="0" w:line="5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1.2 The issuance of the Shares shall take place remotely via the exchange of documents and signatures on such date as designated by the Company, provided that such date shall be within fifteen (15) days of the Effective Date (which time and place is designated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At the Closing and in consideration of the execution and delivery of the License Agreement by the Purchaser to the Company, the Company shall issue to the Purchaser a certificate in the name of the Purchaser for the Shares. The Purchaser agrees that the Shares shall be subject to the restrictions on transfer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w:t>
      </w:r>
    </w:p>
    <w:p>
      <w:pPr>
        <w:spacing w:after="0" w:line="75" w:lineRule="exact"/>
        <w:rPr>
          <w:sz w:val="20"/>
          <w:szCs w:val="20"/>
          <w:color w:val="auto"/>
        </w:rPr>
      </w:pPr>
    </w:p>
    <w:p>
      <w:pPr>
        <w:ind w:right="80" w:firstLine="436"/>
        <w:spacing w:after="0" w:line="266" w:lineRule="auto"/>
        <w:tabs>
          <w:tab w:leader="none" w:pos="62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Purchaser that the following representations are true and complete as of the Effective Date and as of the Closing and as of the date of issuance of any Anti-Dilution Shares, except as otherwise indicated.</w:t>
      </w:r>
    </w:p>
    <w:p>
      <w:pPr>
        <w:spacing w:after="0" w:line="6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Good Standing, Corporate Power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presently conducted and as proposed to be conducted. The Company is duly qualified to transact business and is in good standing in each jurisdiction in which the failure so to qualify would have a material adverse effect.</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consists, immediately prior to the Closing, of:</w:t>
      </w:r>
    </w:p>
    <w:p>
      <w:pPr>
        <w:spacing w:after="0" w:line="117" w:lineRule="exact"/>
        <w:rPr>
          <w:sz w:val="20"/>
          <w:szCs w:val="20"/>
          <w:color w:val="auto"/>
        </w:rPr>
      </w:pPr>
    </w:p>
    <w:p>
      <w:pPr>
        <w:jc w:val="both"/>
        <w:ind w:right="320" w:firstLine="1428"/>
        <w:spacing w:after="0" w:line="266" w:lineRule="auto"/>
        <w:tabs>
          <w:tab w:leader="none" w:pos="1677"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 shares of which are issued and outstanding immediately prior to the Closing. All of the outstanding shares of Common Stock have been duly authorized, are fully paid and nonassessable and were issued in compliance with all applicable federal and state securities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20"/>
          </w:cols>
          <w:pgMar w:left="440" w:top="269" w:right="439" w:bottom="1440" w:gutter="0" w:footer="0" w:header="0"/>
        </w:sectPr>
      </w:pPr>
    </w:p>
    <w:bookmarkStart w:id="595" w:name="page596"/>
    <w:bookmarkEnd w:id="595"/>
    <w:p>
      <w:pPr>
        <w:ind w:left="4" w:right="40" w:firstLine="1428"/>
        <w:spacing w:after="0" w:line="261" w:lineRule="auto"/>
        <w:tabs>
          <w:tab w:leader="none" w:pos="1691"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shares of Preferred Stock, of which all shares have been designated Series A Preferred Stock, none of which are issued and outstanding immediately prior to the Closing. The rights, privileges and preferences of the Common Stock and the Preferred Stock are as stated in the Company’s Amended and Restated Certificate of Incorporation, as may be amended and/or restated from time to time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and as provided by the Delaware General Corporation Law.</w:t>
      </w:r>
    </w:p>
    <w:p>
      <w:pPr>
        <w:spacing w:after="0" w:line="71" w:lineRule="exact"/>
        <w:rPr>
          <w:rFonts w:ascii="Times New Roman" w:cs="Times New Roman" w:eastAsia="Times New Roman" w:hAnsi="Times New Roman"/>
          <w:sz w:val="18"/>
          <w:szCs w:val="18"/>
          <w:color w:val="auto"/>
        </w:rPr>
      </w:pPr>
    </w:p>
    <w:p>
      <w:pPr>
        <w:ind w:left="4" w:right="100" w:firstLine="1428"/>
        <w:spacing w:after="0" w:line="261" w:lineRule="auto"/>
        <w:tabs>
          <w:tab w:leader="none" w:pos="1681"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reserved [***] shares of Common Stock for issuance to officers, directors, employees and consultants of the Company pursuant to its 2018 Stock Option and Grant Plan duly adopted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approved by the Company stockholders (the “</w:t>
      </w:r>
      <w:r>
        <w:rPr>
          <w:rFonts w:ascii="Times New Roman" w:cs="Times New Roman" w:eastAsia="Times New Roman" w:hAnsi="Times New Roman"/>
          <w:sz w:val="18"/>
          <w:szCs w:val="18"/>
          <w:b w:val="1"/>
          <w:bCs w:val="1"/>
          <w:color w:val="auto"/>
        </w:rPr>
        <w:t>Stock Plan</w:t>
      </w:r>
      <w:r>
        <w:rPr>
          <w:rFonts w:ascii="Times New Roman" w:cs="Times New Roman" w:eastAsia="Times New Roman" w:hAnsi="Times New Roman"/>
          <w:sz w:val="18"/>
          <w:szCs w:val="18"/>
          <w:color w:val="auto"/>
        </w:rPr>
        <w:t>”). Of such reserved shares of Common Stock, [***] shares remain available for issuance to officers, directors, employees and consultants pursuant to the Stock Plan.</w:t>
      </w:r>
    </w:p>
    <w:p>
      <w:pPr>
        <w:spacing w:after="0" w:line="72"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All corporate action required to be taken by the Board and the stockholders of the Company in order to authorize the Company to enter into this Agreement, and to issue the [***]at the Closing and any Anti-Dilution Shares thereafter, has been taken or will be taken prior to the Closing and the date of issuance of any Anti-Dilution Shares, respectively. All action on the part of the officers of the Company necessary for the execution and delivery of this Agreement, the performance of all obligations of the Company under this Agreement to be performed as of the Closing or thereafter with respect to the issuance of any Anti-Dilution Shares, and the issuance of the Shares and any Anti- Dilution Shares has been taken or will be taken prior to the Closing and the date of issuance of any Anti- Dilution Shares, respectively. This Agreement, when executed and delivered by the Company, shall constitute valid and legally binding obligation of the Company, enforceable against the Company in accordance with its terms except</w:t>
      </w:r>
    </w:p>
    <w:p>
      <w:pPr>
        <w:spacing w:after="0" w:line="2" w:lineRule="exact"/>
        <w:rPr>
          <w:sz w:val="20"/>
          <w:szCs w:val="20"/>
          <w:color w:val="auto"/>
        </w:rPr>
      </w:pPr>
    </w:p>
    <w:p>
      <w:pPr>
        <w:ind w:left="4" w:right="100" w:hanging="4"/>
        <w:spacing w:after="0" w:line="255" w:lineRule="auto"/>
        <w:tabs>
          <w:tab w:leader="none" w:pos="219"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spacing w:after="0" w:line="78" w:lineRule="exact"/>
        <w:rPr>
          <w:sz w:val="20"/>
          <w:szCs w:val="20"/>
          <w:color w:val="auto"/>
        </w:rPr>
      </w:pPr>
    </w:p>
    <w:p>
      <w:pPr>
        <w:ind w:left="4" w:right="2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Valid Issuance of Shares and Anti-Dilution Shares</w:t>
      </w:r>
      <w:r>
        <w:rPr>
          <w:rFonts w:ascii="Times New Roman" w:cs="Times New Roman" w:eastAsia="Times New Roman" w:hAnsi="Times New Roman"/>
          <w:sz w:val="18"/>
          <w:szCs w:val="18"/>
          <w:color w:val="auto"/>
        </w:rPr>
        <w:t xml:space="preserve">. The Shares and any Anti- Dilution Shares, when issued, sold and delivered in accordance with the terms and for the consideration set forth in this Agreement, will be validly issued, fully paid and nonassessable and free of restrictions on transfer other than restrictions on transfer under this Agreement, applicable state and federal securities laws, if any, and liens or encumbrances created by or imposed by the Purchaser. Assuming the accuracy of the representations of the Purchaser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subject to the applicable governmental filings with respect to the transactions contemplated by this Agreement, if any, the Shares and any Anti-Dilution Shares will be issued in compliance with all applicable federal and state securities laws.</w:t>
      </w:r>
    </w:p>
    <w:p>
      <w:pPr>
        <w:spacing w:after="0" w:line="79" w:lineRule="exact"/>
        <w:rPr>
          <w:sz w:val="20"/>
          <w:szCs w:val="20"/>
          <w:color w:val="auto"/>
        </w:rPr>
      </w:pPr>
    </w:p>
    <w:p>
      <w:pPr>
        <w:ind w:left="4" w:right="60" w:firstLine="436"/>
        <w:spacing w:after="0" w:line="282" w:lineRule="auto"/>
        <w:tabs>
          <w:tab w:leader="none" w:pos="624"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to the Company as of the Effective Date and as of the Closing and as of the date of issuance of any Anti-Dilution Shares that:</w:t>
      </w:r>
    </w:p>
    <w:p>
      <w:pPr>
        <w:spacing w:after="0" w:line="54"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Purchaser has full power and authority to enter into this Agreement. When executed and delivered by the Purchaser, this Agreement shall constitute valid and legally binding obligation of the Purchaser, enforceable against the Purchaser in accordance with its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004"/>
          </w:cols>
          <w:pgMar w:left="436" w:top="269" w:right="459" w:bottom="1440" w:gutter="0" w:footer="0" w:header="0"/>
        </w:sectPr>
      </w:pPr>
    </w:p>
    <w:bookmarkStart w:id="596" w:name="page597"/>
    <w:bookmarkEnd w:id="59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Shares and any Anti-Dilution Shares (as defined below)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or Anti- Dilution Shares. The Purchaser has not been formed for the specific purpose of acquiring the Shares or Anti-Dilution Shares.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the terms and conditions of the offering of the Shares and Anti-Dilution Shares with the Company’s management and has had the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or the right of the Purchaser to rely thereon.</w:t>
      </w:r>
    </w:p>
    <w:p>
      <w:pPr>
        <w:spacing w:after="0" w:line="7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Shares or Anti-Dilution Shares, and that the Company has made no assurances that a public market will ever exist for the Shares or Anti-Dilution Shares.</w:t>
      </w:r>
    </w:p>
    <w:p>
      <w:pPr>
        <w:spacing w:after="0" w:line="54"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managers, employees, agents, stockholders or partners has either directly or indirectly, including through a broker or finder (a) engaged in any general solicitation, or (b) published any advertisement in connection with the offer and sale of the Shares or Anti-Dilution Shares.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Foreign Investor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1428"/>
        <w:spacing w:after="0" w:line="282" w:lineRule="auto"/>
        <w:tabs>
          <w:tab w:leader="none" w:pos="1677"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an experienced and sophisticated investor and has such knowledge and experience in financial and business matters as are necessary to evaluate the merits and risks of an investment in the Shares and Anti-Dilution Shares.</w:t>
      </w:r>
    </w:p>
    <w:p>
      <w:pPr>
        <w:spacing w:after="0" w:line="53" w:lineRule="exact"/>
        <w:rPr>
          <w:rFonts w:ascii="Times New Roman" w:cs="Times New Roman" w:eastAsia="Times New Roman" w:hAnsi="Times New Roman"/>
          <w:sz w:val="18"/>
          <w:szCs w:val="18"/>
          <w:color w:val="auto"/>
        </w:rPr>
      </w:pPr>
    </w:p>
    <w:p>
      <w:pPr>
        <w:ind w:right="120" w:firstLine="1428"/>
        <w:spacing w:after="0" w:line="258" w:lineRule="auto"/>
        <w:tabs>
          <w:tab w:leader="none" w:pos="1687"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satisfied itself as to the full observance of the laws of its jurisdiction in connection with any invitation to subscribe for the Shares and Anti-Dilution Shares or any use of this Agreement, including (i) the legal requirements within its jurisdiction for the acquisition of the Shares and Anti-Dilution Shares, (ii) any foreign exchange restrictions applicable to such acquisition, (iii) any governmental or other consents that may need to be obtained, and (iv) the income tax and other tax consequences, if any, that may be relevant to the acquisition, holding, redemption, sale, or transfer of the Shares and Anti-Dilution Shares.</w:t>
      </w:r>
    </w:p>
    <w:p>
      <w:pPr>
        <w:spacing w:after="0" w:line="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resident of Japan and Purchaser’s principal place of business is in Japan.</w:t>
      </w:r>
    </w:p>
    <w:p>
      <w:pPr>
        <w:spacing w:after="0" w:line="117" w:lineRule="exact"/>
        <w:rPr>
          <w:rFonts w:ascii="Times New Roman" w:cs="Times New Roman" w:eastAsia="Times New Roman" w:hAnsi="Times New Roman"/>
          <w:sz w:val="18"/>
          <w:szCs w:val="18"/>
          <w:color w:val="auto"/>
        </w:rPr>
      </w:pPr>
    </w:p>
    <w:p>
      <w:pPr>
        <w:ind w:right="240" w:firstLine="1428"/>
        <w:spacing w:after="0" w:line="282" w:lineRule="auto"/>
        <w:tabs>
          <w:tab w:leader="none" w:pos="1687"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a “U.S. person” as such term is defined in Rule 902(k) of Regulation S and is not acquiring the Shares or Anti-Dilution Shares for the account or benefit of a “U.S. person” (as such term is defined in Rule 902(k) of Regulation S).</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a United States person (as defined by Section 7701(a)(30) of the Internal Revenue Code of the United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980"/>
          </w:cols>
          <w:pgMar w:left="440" w:top="269" w:right="479" w:bottom="1440" w:gutter="0" w:footer="0" w:header="0"/>
        </w:sectPr>
      </w:pPr>
    </w:p>
    <w:bookmarkStart w:id="597" w:name="page598"/>
    <w:bookmarkEnd w:id="597"/>
    <w:p>
      <w:pPr>
        <w:ind w:right="120" w:firstLine="1428"/>
        <w:spacing w:after="0" w:line="282" w:lineRule="auto"/>
        <w:tabs>
          <w:tab w:leader="none" w:pos="1657"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its knowledge, the Purchaser’s acquisition of and continued beneficial ownership of the Shares and Anti-Dilution Shares will not violate any securities or other laws of the jurisdictions that are applicable to it.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been advised and acknowledges that:</w:t>
      </w:r>
    </w:p>
    <w:p>
      <w:pPr>
        <w:spacing w:after="0" w:line="117" w:lineRule="exact"/>
        <w:rPr>
          <w:rFonts w:ascii="Times New Roman" w:cs="Times New Roman" w:eastAsia="Times New Roman" w:hAnsi="Times New Roman"/>
          <w:sz w:val="18"/>
          <w:szCs w:val="18"/>
          <w:color w:val="auto"/>
        </w:rPr>
      </w:pPr>
    </w:p>
    <w:p>
      <w:pPr>
        <w:ind w:firstLine="1979"/>
        <w:spacing w:after="0" w:line="282" w:lineRule="auto"/>
        <w:tabs>
          <w:tab w:leader="none" w:pos="2198"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any Anti-Dilution Shares have not been, and when issued, will not be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securities laws of any state of the United States or the securities laws of any other country;</w:t>
      </w:r>
    </w:p>
    <w:p>
      <w:pPr>
        <w:spacing w:after="0" w:line="53" w:lineRule="exact"/>
        <w:rPr>
          <w:rFonts w:ascii="Times New Roman" w:cs="Times New Roman" w:eastAsia="Times New Roman" w:hAnsi="Times New Roman"/>
          <w:sz w:val="18"/>
          <w:szCs w:val="18"/>
          <w:color w:val="auto"/>
        </w:rPr>
      </w:pPr>
    </w:p>
    <w:p>
      <w:pPr>
        <w:ind w:right="20" w:firstLine="1979"/>
        <w:spacing w:after="0" w:line="282" w:lineRule="auto"/>
        <w:tabs>
          <w:tab w:leader="none" w:pos="2248"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issuing and selling the Shares and any Anti-Dilution Shares to the Purchaser pursuant to this Agreement, the Company is relying upon the “safe harbor” provided by Regulation S and/or on Section 4(2) under the Securities Act;</w:t>
      </w:r>
    </w:p>
    <w:p>
      <w:pPr>
        <w:spacing w:after="0" w:line="53" w:lineRule="exact"/>
        <w:rPr>
          <w:rFonts w:ascii="Times New Roman" w:cs="Times New Roman" w:eastAsia="Times New Roman" w:hAnsi="Times New Roman"/>
          <w:sz w:val="18"/>
          <w:szCs w:val="18"/>
          <w:color w:val="auto"/>
        </w:rPr>
      </w:pPr>
    </w:p>
    <w:p>
      <w:pPr>
        <w:ind w:right="80" w:firstLine="1979"/>
        <w:spacing w:after="0" w:line="266" w:lineRule="auto"/>
        <w:tabs>
          <w:tab w:leader="none" w:pos="2298"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to the availability of the Regulation S “safe harbor” that the Shares and any Anti-Dilution Shares not be offered or sold in the United States or to a U.S. person until the expiration of a one-year “distribution compliance period” (or a six-month “distribution compliance period,” if the issuer is a “reporting issuer,” as defined in Regulation S) following the Closing; and</w:t>
      </w:r>
    </w:p>
    <w:p>
      <w:pPr>
        <w:spacing w:after="0" w:line="67" w:lineRule="exact"/>
        <w:rPr>
          <w:rFonts w:ascii="Times New Roman" w:cs="Times New Roman" w:eastAsia="Times New Roman" w:hAnsi="Times New Roman"/>
          <w:sz w:val="18"/>
          <w:szCs w:val="18"/>
          <w:color w:val="auto"/>
        </w:rPr>
      </w:pPr>
    </w:p>
    <w:p>
      <w:pPr>
        <w:ind w:right="40" w:firstLine="1979"/>
        <w:spacing w:after="0" w:line="255" w:lineRule="auto"/>
        <w:tabs>
          <w:tab w:leader="none" w:pos="2288"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prior to the expiration of the one- year “distribution compliance period” (or six-month “distribution compliance period,” if the issuer is a “reporting issuer,” as defined in Regulation S) after the Closing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the Shares and the any anti-Dilution Shares may be offered and sold by the holder thereof only if such offer and sale is made in compliance with the terms of this Agreement and either: (A)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(B) the offer and sale is outside the United States and to other than a U.S. person.</w:t>
      </w:r>
    </w:p>
    <w:p>
      <w:pPr>
        <w:spacing w:after="0" w:line="8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73" w:lineRule="auto"/>
        <w:rPr>
          <w:sz w:val="20"/>
          <w:szCs w:val="20"/>
          <w:color w:val="auto"/>
        </w:rPr>
      </w:pPr>
      <w:r>
        <w:rPr>
          <w:rFonts w:ascii="Times New Roman" w:cs="Times New Roman" w:eastAsia="Times New Roman" w:hAnsi="Times New Roman"/>
          <w:sz w:val="17"/>
          <w:szCs w:val="17"/>
          <w:color w:val="auto"/>
        </w:rPr>
        <w:t>4.1. The Purchaser understands that the Shares and any Anti-Dilution Shares have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acknowledges that the Company has no obligation to register or qualify the Shares or any Anti-Dilution Shares for resale except as set forth in the Investors’ Rights Agreement. The Purchaser further acknowledges that if an exemption from registration or qualification is available, it may be conditioned on various requirements including, but not limited to, the time and manner of sale, the holding period for the Shares and any Anti-Dilution Shares, and on requirements relating to the Company which are outside of the Purchaser’s control, and which the Company is under no obligation and may not be able to satisfy.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00"/>
          </w:cols>
          <w:pgMar w:left="440" w:top="269" w:right="459" w:bottom="1440" w:gutter="0" w:footer="0" w:header="0"/>
        </w:sectPr>
      </w:pPr>
    </w:p>
    <w:bookmarkStart w:id="598" w:name="page599"/>
    <w:bookmarkEnd w:id="59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The Purchaser will not transfer any Shares or any Anti-Dilution Shares to any Competitor. For purposes of this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Competitor</w:t>
      </w:r>
      <w:r>
        <w:rPr>
          <w:rFonts w:ascii="Times New Roman" w:cs="Times New Roman" w:eastAsia="Times New Roman" w:hAnsi="Times New Roman"/>
          <w:sz w:val="17"/>
          <w:szCs w:val="17"/>
          <w:color w:val="auto"/>
        </w:rPr>
        <w:t>” means a Person (other than an Affiliate (as defined in the License Agreement of the Purchaser)) engaged, directly or indirectly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any partnership, limited liability company, corporation, joint venture or similar arrangement (whether now existing or formed hereafter)),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that is actively researching, developing or commercializing a product that targets the biological target or molecular mechanism of action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under research, development or commercialization by the Company, but shall not include any financial investment firm or collective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that, together with its Affiliates, holds an equity interest in any Competitor and has not designated (and does not hereafter designate)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member of the board of directors or a board observer of such Competitor.</w:t>
      </w:r>
    </w:p>
    <w:p>
      <w:pPr>
        <w:spacing w:after="0" w:line="99" w:lineRule="exact"/>
        <w:rPr>
          <w:sz w:val="20"/>
          <w:szCs w:val="20"/>
          <w:color w:val="auto"/>
        </w:rPr>
      </w:pPr>
    </w:p>
    <w:p>
      <w:pPr>
        <w:ind w:right="80" w:firstLine="1428"/>
        <w:spacing w:after="0" w:line="255" w:lineRule="auto"/>
        <w:tabs>
          <w:tab w:leader="none" w:pos="1687"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not transfer any Shares or any Anti-Dilution Shares, or any interest therein, except that the Purchaser may transfer such Shares (i) to equity holders of the Purchaser in connection with a corporate dividend or distribution made pro rata to the equity holders of the Purchaser in accordance with their ownership interests in the Purchaser, (ii) to a third party acquiror in the event of a Change of Control (as defined in the License Agreement) of Purchaser, (iii) to any Affiliate of the Purchaser or (iv) by operation of law; provided that such Shares and Anti-Dilution Shares shall remain subject to this Agreement (including without limitation the restrictions on transfer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and such permitted transferee shall, as a condition to such transfer, deliver to the Company a written instrument confirming that such transferee shall be bound by all of the terms and conditions of this Agreement.</w:t>
      </w:r>
    </w:p>
    <w:p>
      <w:pPr>
        <w:spacing w:after="0" w:line="80"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4.2(a)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4.2(b)</w:t>
      </w:r>
      <w:r>
        <w:rPr>
          <w:rFonts w:ascii="Times New Roman" w:cs="Times New Roman" w:eastAsia="Times New Roman" w:hAnsi="Times New Roman"/>
          <w:sz w:val="18"/>
          <w:szCs w:val="18"/>
          <w:color w:val="auto"/>
        </w:rPr>
        <w:t xml:space="preserve"> shall terminate upon the earlier of the following events:</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months after the expiration or termination of the License Agreement;</w:t>
      </w:r>
    </w:p>
    <w:p>
      <w:pPr>
        <w:spacing w:after="0" w:line="113" w:lineRule="exact"/>
        <w:rPr>
          <w:rFonts w:ascii="Times New Roman" w:cs="Times New Roman" w:eastAsia="Times New Roman" w:hAnsi="Times New Roman"/>
          <w:sz w:val="18"/>
          <w:szCs w:val="18"/>
          <w:color w:val="auto"/>
        </w:rPr>
      </w:pPr>
    </w:p>
    <w:p>
      <w:pPr>
        <w:ind w:right="480" w:firstLine="1979"/>
        <w:spacing w:after="0" w:line="268" w:lineRule="auto"/>
        <w:tabs>
          <w:tab w:leader="none" w:pos="2248"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Company’s initial public offering of Common Stock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Subsection shall not restrict Purchaser’s ability to register and transfer its Shares in connection with the IPO if Purchaser is otherwise permitted to participate in the IPO pursuant to the Investors’ Rights Agreement and any market stand-off arrangements; or</w:t>
      </w:r>
    </w:p>
    <w:p>
      <w:pPr>
        <w:spacing w:after="0" w:line="66"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defined in the Certificate of Incorporation).</w:t>
      </w:r>
    </w:p>
    <w:p>
      <w:pPr>
        <w:spacing w:after="0" w:line="117"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that the Shares and Anti-Dilution Shares may be subject to restrictions on transfer as set forth in a Right of First Refusal and Co-Sale Agreement by and among the Company, the Purchaser and other persons, and that the Purchaser shall not transfer any Shares or Anti-Dilution Shares except in compliance therewith.</w:t>
      </w:r>
    </w:p>
    <w:p>
      <w:pPr>
        <w:spacing w:after="0" w:line="67"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agrees that any resale by it of the Shares or Anti-Dilution Shares shall be in accordance with the provisions of Regulation S, pursuant to registration under the Securities Act or pursuant to an available exemption from registration.</w:t>
      </w:r>
    </w:p>
    <w:p>
      <w:pPr>
        <w:spacing w:after="0" w:line="53" w:lineRule="exact"/>
        <w:rPr>
          <w:rFonts w:ascii="Times New Roman" w:cs="Times New Roman" w:eastAsia="Times New Roman" w:hAnsi="Times New Roman"/>
          <w:sz w:val="18"/>
          <w:szCs w:val="18"/>
          <w:color w:val="auto"/>
        </w:rPr>
      </w:pPr>
    </w:p>
    <w:p>
      <w:pPr>
        <w:ind w:right="600" w:firstLine="1428"/>
        <w:spacing w:after="0" w:line="282" w:lineRule="auto"/>
        <w:tabs>
          <w:tab w:leader="none" w:pos="1657"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to engage in any hedging transactions with regard to the Shares or Anti-Dilution Shares unless in compliance with the Securities Act.</w:t>
      </w:r>
    </w:p>
    <w:p>
      <w:pPr>
        <w:spacing w:after="0" w:line="53"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agrees that, to the extent necessary pursuant to Regulation S, the Company may refuse to register any transfer of Shares or Anti-Dilution Shares not made in accordance with the provisions of Regulation S, pursuant to registration under the Securities Act or pursuant to an available exemption from registration.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0980"/>
          </w:cols>
          <w:pgMar w:left="440" w:top="269" w:right="479" w:bottom="1440" w:gutter="0" w:footer="0" w:header="0"/>
        </w:sectPr>
      </w:pPr>
    </w:p>
    <w:bookmarkStart w:id="599" w:name="page600"/>
    <w:bookmarkEnd w:id="599"/>
    <w:p>
      <w:pPr>
        <w:ind w:firstLine="436"/>
        <w:spacing w:after="0" w:line="251" w:lineRule="auto"/>
        <w:tabs>
          <w:tab w:leader="none" w:pos="62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in Connection with Initial Public Offering</w:t>
      </w:r>
      <w:r>
        <w:rPr>
          <w:rFonts w:ascii="Times New Roman" w:cs="Times New Roman" w:eastAsia="Times New Roman" w:hAnsi="Times New Roman"/>
          <w:sz w:val="18"/>
          <w:szCs w:val="18"/>
          <w:color w:val="auto"/>
        </w:rPr>
        <w:t xml:space="preserve">. The Purchaser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or Form S-3 and ending on the date specified by the Company and the managing underwriter (such period not to exceed one hundred eighty (l80)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apply only to the IPO and shall not apply to the sale of any shares to an underwriter pursuant to an underwriting agreement, and shall only be applicable to the Purchaser if all officers and directors are subject to the same restrictions and the Company uses commercially reasonable efforts to obtain a similar agreement from all stockholders individually owning more than one percent (1%) of the outstanding Common Stock (after giving effect to the conversion into Common Stock of all outstanding Preferred Stock).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The Purchaser further agrees to execute such agreements as may be reasonably requested by the Company or the underwriters in connection with such registration that are consistent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that are necessary to give further effect thereto. Any discretionary waiver or termination of the restrictions of any or all of such agreements by the Company or the underwriters shall apply pro rata to all stockholders subject to such agreements, based on the number of shares subject to such agreements. The Company may impose stop-transfer instructions with respect to the shares of capital stock or other securities subject to the foregoing restriction until the end of the “lock-up” period.</w:t>
      </w:r>
    </w:p>
    <w:p>
      <w:pPr>
        <w:spacing w:after="0" w:line="97" w:lineRule="exact"/>
        <w:rPr>
          <w:rFonts w:ascii="Times New Roman" w:cs="Times New Roman" w:eastAsia="Times New Roman" w:hAnsi="Times New Roman"/>
          <w:sz w:val="18"/>
          <w:szCs w:val="18"/>
          <w:color w:val="auto"/>
        </w:rPr>
      </w:pPr>
    </w:p>
    <w:p>
      <w:pPr>
        <w:ind w:right="320" w:firstLine="436"/>
        <w:spacing w:after="0" w:line="282" w:lineRule="auto"/>
        <w:tabs>
          <w:tab w:leader="none" w:pos="62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All certificates representing Shares and any Anti-Dilution Shares shall have affixed thereto legends in substantially the following form, in addition to any other legends that may be required under federal or state securities laws:</w:t>
      </w:r>
    </w:p>
    <w:p>
      <w:pPr>
        <w:spacing w:after="0" w:line="54"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“The shares of stock represented by this certificate are subject to restrictions on transfer and an option to purchase set forth in a certain Stock Subscription Agreement between the corporation and the registered owner of these shares (or his or her predecessor in interest), and such Agreement is available for inspection without charge at the office of the Secretary of the corporation.”</w:t>
      </w:r>
    </w:p>
    <w:p>
      <w:pPr>
        <w:spacing w:after="0" w:line="64" w:lineRule="exact"/>
        <w:rPr>
          <w:sz w:val="20"/>
          <w:szCs w:val="20"/>
          <w:color w:val="auto"/>
        </w:rPr>
      </w:pPr>
    </w:p>
    <w:p>
      <w:pPr>
        <w:jc w:val="both"/>
        <w:ind w:left="980" w:right="120"/>
        <w:spacing w:after="0" w:line="268" w:lineRule="auto"/>
        <w:rPr>
          <w:sz w:val="20"/>
          <w:szCs w:val="20"/>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sold, transferred or otherwise disposed of except in in the absence of an effective registration statement under such Act or an opinion of counsel satisfactory to the corporation to the effect that such registration is not required.”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000"/>
          </w:cols>
          <w:pgMar w:left="440" w:top="269" w:right="459" w:bottom="1440" w:gutter="0" w:footer="0" w:header="0"/>
        </w:sectPr>
      </w:pPr>
    </w:p>
    <w:bookmarkStart w:id="600" w:name="page601"/>
    <w:bookmarkEnd w:id="600"/>
    <w:p>
      <w:pPr>
        <w:ind w:left="620" w:hanging="184"/>
        <w:spacing w:after="0"/>
        <w:tabs>
          <w:tab w:leader="none" w:pos="62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Anti-Dilution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7.1. During the term of the License Agreement and prior to the issuance by the Company of additional Equity Securities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in exchange for investment in an amount equal to the Maximum Anti-Dilution Amount (as defined below), if the Company issues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Securities, the Company shall promptly issue a number of additional shares of Common Stock to the Purchaser for no consideration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cause the Purchaser Percentage (as defined below) to be equal to the Floor Percentage (as defined below) (such additional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Anti-Dilution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Anti-Dilution Shares issued as a result of the issuance of Equity Securities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Plan or other stock incentive plan of the Company, the Company will issue such Anti-Dilution Shares to the Purchaser at the earlier of (a) the 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Company’s fiscal year in which the issuances took place and (b) the closing of the next Preferred Stock financing;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issuance or series of related issuances of additional Equity Securities in exchange for investment the Maximum Anti-Dilution Amount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exceeded, the anti-dilution rights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apply with respect to the portion of such issuances in exchange for investment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Anti-Dilution Amount. Notwithstanding the foregoing, if an event that would trigger an Anti-Dilution Termination Date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occurs prior to the issuance by the Company of additional Equity Securities (as defined below) in exchange for investment in an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Anti-Dilution Amount, then the Purchaser shall receive the balance of any Anti- Dilution Shares necessary to cause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to equal the Floor Percentage immediately prior to the consummation of such event. The Company shall provide Purchaser with evidence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such Anti-Dilution Shares promptly after their issuance.</w:t>
      </w:r>
    </w:p>
    <w:p>
      <w:pPr>
        <w:spacing w:after="0" w:line="99"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7.2. In the event that after the issuance by the Company of additional Equity Securities in exchange for investment in an amount equal to the Maximum Anti-Dilution Amount, the Company issues any Convertible Security (as defined in the Certificate of Incorporation and other than Series A Preferred Stock) in exchange for investment with aggregate gross proceeds to the Company of up to [***] (the “</w:t>
      </w:r>
      <w:r>
        <w:rPr>
          <w:rFonts w:ascii="Times New Roman" w:cs="Times New Roman" w:eastAsia="Times New Roman" w:hAnsi="Times New Roman"/>
          <w:sz w:val="17"/>
          <w:szCs w:val="17"/>
          <w:b w:val="1"/>
          <w:bCs w:val="1"/>
          <w:color w:val="auto"/>
        </w:rPr>
        <w:t>Additional Maximum Dilution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and either (a) such Convertible Security is convertible or exchangeable for Series A Preferred Stock or (b) such issuance of such Convertible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Security or conversion or exchange of such Convertible Security would have resulted in an adjustment to the Series A Conversion Price (as defined in the Certificate of Incorporation) pursuant to the terms of Subsection 4.4.4 of the Certificate of Incorporation (without giving effect to any waiver obtained pursuant to Subsection 4.4.2 of the Certificate of Incorporation), then, in the case of the foregoing clause (a), when such Convertible Security is converted or exchanged for Series A Preferred Stock or in the case of the foregoing clause (b), when such adjustment to the Series A Conversion Price is determinable, and in each case of the foregoing clause (a) or (b) without giving effect to any issuances of Equity Securities or other securities of the Company after the issuance of such Convertible Securities in an amount equal to the Additional Maximum Dilution Amount, the Company shall promptly issue a number of additional shares of Common Stock to the Purchaser for no consideration to the extent necessary to cause the Purchaser Percentage to be equal to the Floor Percentage;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if in a single issuance or series of related issuances of such Convertible Securities in exchange for investment the Additional Maximum Dilution Amount is exceeded, the anti-dilution rights set forth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shall apply with respect to the portion of such issuances in exchange for investment up to the Additional Maximum Dilution Amount. Such additional shares issued pursuant to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shall be deemed Anti-Dilution Shares for all purposes of this Agreement other than for purposes of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000"/>
          </w:cols>
          <w:pgMar w:left="440" w:top="269" w:right="459" w:bottom="1440" w:gutter="0" w:footer="0" w:header="0"/>
        </w:sectPr>
      </w:pPr>
    </w:p>
    <w:bookmarkStart w:id="601" w:name="page602"/>
    <w:bookmarkEnd w:id="60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7.3.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following definitions shall apply:</w:t>
      </w:r>
    </w:p>
    <w:p>
      <w:pPr>
        <w:spacing w:after="0" w:line="113" w:lineRule="exact"/>
        <w:rPr>
          <w:sz w:val="20"/>
          <w:szCs w:val="20"/>
          <w:color w:val="auto"/>
        </w:rPr>
      </w:pPr>
    </w:p>
    <w:p>
      <w:pPr>
        <w:ind w:left="4" w:right="80" w:firstLine="1428"/>
        <w:spacing w:after="0" w:line="255" w:lineRule="auto"/>
        <w:tabs>
          <w:tab w:leader="none" w:pos="1681"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xml:space="preserve">” means shares of capital stock, convertible securities or warrants, options, or other rights to subscribe for, purchase or acquire from the Company any capital stock of the Company; provided that, “other rights to subscribe for, purchase or acquire” shall not include (i) preemptive or other rights to participate in new offerings of securities by the Company after the Closing until such securities are actually issued, (ii) obligations under a purchase agreement for Preferred Stock of the Company to acquire additional shares of such Preferred Stock on the same terms as those purchased at an initial closing upon the passage of time or meeting (or waiver) of specified Company performance conditions until such securities are actually issued or (iii) anti-dilution provisions that have not been triggered;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shares of capital stock or convertible securities issued pursuant to the foregoing rights, obligations and provisions set forth in clauses (i), (ii) and (iii) and then outstanding shall be deemed “Equity Securities” hereunder.</w:t>
      </w:r>
    </w:p>
    <w:p>
      <w:pPr>
        <w:spacing w:after="0" w:line="7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Floor Percentage</w:t>
      </w:r>
      <w:r>
        <w:rPr>
          <w:rFonts w:ascii="Times New Roman" w:cs="Times New Roman" w:eastAsia="Times New Roman" w:hAnsi="Times New Roman"/>
          <w:sz w:val="18"/>
          <w:szCs w:val="18"/>
          <w:color w:val="auto"/>
        </w:rPr>
        <w:t>” means [***] of the Fully Diluted Shares.</w:t>
      </w:r>
    </w:p>
    <w:p>
      <w:pPr>
        <w:spacing w:after="0" w:line="117" w:lineRule="exact"/>
        <w:rPr>
          <w:rFonts w:ascii="Times New Roman" w:cs="Times New Roman" w:eastAsia="Times New Roman" w:hAnsi="Times New Roman"/>
          <w:sz w:val="18"/>
          <w:szCs w:val="18"/>
          <w:color w:val="auto"/>
        </w:rPr>
      </w:pPr>
    </w:p>
    <w:p>
      <w:pPr>
        <w:ind w:left="4" w:right="160" w:firstLine="1428"/>
        <w:spacing w:after="0" w:line="269" w:lineRule="auto"/>
        <w:tabs>
          <w:tab w:leader="none" w:pos="1681" w:val="left"/>
        </w:tabs>
        <w:numPr>
          <w:ilvl w:val="1"/>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color w:val="auto"/>
        </w:rPr>
        <w:t>Fully Diluted Shares</w:t>
      </w:r>
      <w:r>
        <w:rPr>
          <w:rFonts w:ascii="Times New Roman" w:cs="Times New Roman" w:eastAsia="Times New Roman" w:hAnsi="Times New Roman"/>
          <w:sz w:val="17"/>
          <w:szCs w:val="17"/>
          <w:color w:val="auto"/>
        </w:rPr>
        <w:t xml:space="preserve">” means, as of a specified date, the number of shares of Common Stock then-outstanding plus the number of shares of Common Stock issuable upon exercise or conversion of then-outstanding convertible securities or warrants, options, or other rights to subscribe for, purchase or acquire from the Company any capital stock of the Company (which shall be determined without regard to whether such securities or rights are then vested, exercisable or convertible) plus, without duplication, the number of shares reserved and available for future grant under any then-existing equity incentive plan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clarity, “other rights to subscribe for, purchase or acquire” shall not include (i) preemptive or other rights to participate in new offerings of securities by the Company after the Closing until such securities are issued,</w:t>
      </w:r>
    </w:p>
    <w:p>
      <w:pPr>
        <w:spacing w:after="0" w:line="3" w:lineRule="exact"/>
        <w:rPr>
          <w:rFonts w:ascii="Times New Roman" w:cs="Times New Roman" w:eastAsia="Times New Roman" w:hAnsi="Times New Roman"/>
          <w:sz w:val="17"/>
          <w:szCs w:val="17"/>
          <w:color w:val="auto"/>
        </w:rPr>
      </w:pPr>
    </w:p>
    <w:p>
      <w:pPr>
        <w:ind w:left="4" w:right="40" w:hanging="4"/>
        <w:spacing w:after="0" w:line="253" w:lineRule="auto"/>
        <w:tabs>
          <w:tab w:leader="none" w:pos="269"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under a purchase agreement for preferred stock of the Company to acquire additional shares of such preferred stock on the same terms as those purchased at an initial closing upon the passage of time or meeting (or waiver) of specified Company performance conditions until such securities are issued or (iii) anti-dilution provisions that have not been triggered;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shares of Common Stock or convertible securities issued pursuant to the foregoing rights, obligations and provisions set forth in clauses (i), (ii) and (iii) and then outstanding shall be included in the number of shares of Common Stock then-outstanding or issuable upon conversion of convertible securities.</w:t>
      </w:r>
    </w:p>
    <w:p>
      <w:pPr>
        <w:spacing w:after="0" w:line="74" w:lineRule="exact"/>
        <w:rPr>
          <w:rFonts w:ascii="Times New Roman" w:cs="Times New Roman" w:eastAsia="Times New Roman" w:hAnsi="Times New Roman"/>
          <w:sz w:val="18"/>
          <w:szCs w:val="18"/>
          <w:color w:val="auto"/>
        </w:rPr>
      </w:pPr>
    </w:p>
    <w:p>
      <w:pPr>
        <w:ind w:left="4" w:right="20" w:firstLine="1428"/>
        <w:spacing w:after="0" w:line="268" w:lineRule="auto"/>
        <w:tabs>
          <w:tab w:leader="none" w:pos="1691"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Maximum Anti-Dilution Amount</w:t>
      </w:r>
      <w:r>
        <w:rPr>
          <w:rFonts w:ascii="Times New Roman" w:cs="Times New Roman" w:eastAsia="Times New Roman" w:hAnsi="Times New Roman"/>
          <w:sz w:val="18"/>
          <w:szCs w:val="18"/>
          <w:color w:val="auto"/>
        </w:rPr>
        <w:t>” means aggregate gross proceeds to the Company of [***] in cash since the date of incorporation or formation of the Company, in one or a series of related or unrelated transactions, in each case, in exchange for the Company’s capital stock.</w:t>
      </w:r>
    </w:p>
    <w:p>
      <w:pPr>
        <w:spacing w:after="0" w:line="62" w:lineRule="exact"/>
        <w:rPr>
          <w:rFonts w:ascii="Times New Roman" w:cs="Times New Roman" w:eastAsia="Times New Roman" w:hAnsi="Times New Roman"/>
          <w:sz w:val="18"/>
          <w:szCs w:val="18"/>
          <w:color w:val="auto"/>
        </w:rPr>
      </w:pPr>
    </w:p>
    <w:p>
      <w:pPr>
        <w:ind w:left="4" w:right="480" w:firstLine="1428"/>
        <w:spacing w:after="0" w:line="286" w:lineRule="auto"/>
        <w:tabs>
          <w:tab w:leader="none" w:pos="1681"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Purchaser Percentage</w:t>
      </w:r>
      <w:r>
        <w:rPr>
          <w:rFonts w:ascii="Times New Roman" w:cs="Times New Roman" w:eastAsia="Times New Roman" w:hAnsi="Times New Roman"/>
          <w:sz w:val="18"/>
          <w:szCs w:val="18"/>
          <w:color w:val="auto"/>
        </w:rPr>
        <w:t>” means the fraction, expressed as a percentage, the numerator of which is the number of shares of Common Stock held by the Purchaser and the denominator of which is the Fully Diluted Shares.</w:t>
      </w:r>
    </w:p>
    <w:p>
      <w:pPr>
        <w:spacing w:after="0" w:line="51"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7.3 After the Company’s receipt of the Maximum Anti-Dilution Amount, and the issuance of Common Stock to Purchaser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all rights and obligations under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shall terminate and be of no further force and effect. After the Company’s receipt of the Additional Maximum Dilution Amount in exchange for the issuance of any securities of the Company, all rights and obligations under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(other than rights and obligations relating to the issuance of Common Stock to Purchaser in accordance with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arising on or prior to such receipt of the Additional Maximum Dilution Amount) shall terminate and be of no further force and effect. After the earlier to occur of (a) immediately prior to the consummation of an IPO with [***] and (b) the Anti-Dilution Termination Date (as defined below), all rights and obligations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terminate and be of no further force and effect. For purposes of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“Anti-Dilution Termination Date”</w:t>
      </w:r>
      <w:r>
        <w:rPr>
          <w:rFonts w:ascii="Times New Roman" w:cs="Times New Roman" w:eastAsia="Times New Roman" w:hAnsi="Times New Roman"/>
          <w:sz w:val="17"/>
          <w:szCs w:val="17"/>
          <w:color w:val="auto"/>
        </w:rPr>
        <w:t xml:space="preserve"> means the earliest to occur of</w:t>
      </w:r>
    </w:p>
    <w:p>
      <w:pPr>
        <w:spacing w:after="0" w:line="2" w:lineRule="exact"/>
        <w:rPr>
          <w:sz w:val="20"/>
          <w:szCs w:val="20"/>
          <w:color w:val="auto"/>
        </w:rPr>
      </w:pPr>
    </w:p>
    <w:p>
      <w:pPr>
        <w:ind w:left="4" w:right="1080" w:hanging="4"/>
        <w:spacing w:after="0" w:line="260" w:lineRule="auto"/>
        <w:tabs>
          <w:tab w:leader="none" w:pos="219"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License Agreement, (ii) the closing of a Deemed Liquidation Event (as defined in the Certificate of Incorporation), or (iii) the consummation of a Change of Control (as defined in the License Agreement) of the Company.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004"/>
          </w:cols>
          <w:pgMar w:left="436" w:top="269" w:right="459" w:bottom="1440" w:gutter="0" w:footer="0" w:header="0"/>
        </w:sectPr>
      </w:pPr>
    </w:p>
    <w:bookmarkStart w:id="602" w:name="page603"/>
    <w:bookmarkEnd w:id="602"/>
    <w:p>
      <w:pPr>
        <w:ind w:left="624" w:hanging="184"/>
        <w:spacing w:after="0"/>
        <w:tabs>
          <w:tab w:leader="none" w:pos="62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Observer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8.1. Upon the Closing and until the expiration or termination of the License Agreement, the Company shall invite one representative of Purchaser, who shall initially be [***], to attend all meetings of the Company’s board of directors (whether in person, by telephone, or otherwise) in a non-voting observer capacity and, in this respect, shall give such representative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representative shall agree to hold in confidence and to not use or disclose any confidential information provided to or learned by such observer in connection with the observer rights provided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that the Company reserves the right to withhold any information and to exclude such representative from any meeting or portion thereof if the Company believes that such withholding or exclusion is reasonably necessary to preserve the attorney-client privilege, preserve trade secrets or for conflict-of-interest reasons, including if such representative is a member of the board of directors or a board observer of a Competitor.</w:t>
      </w:r>
    </w:p>
    <w:p>
      <w:pPr>
        <w:spacing w:after="0" w:line="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8.2.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terminate and be of no further force and effect upon the earliest to occur of (a) the consummation of an IPO,</w:t>
      </w:r>
    </w:p>
    <w:p>
      <w:pPr>
        <w:spacing w:after="0" w:line="27" w:lineRule="exact"/>
        <w:rPr>
          <w:sz w:val="20"/>
          <w:szCs w:val="20"/>
          <w:color w:val="auto"/>
        </w:rPr>
      </w:pPr>
    </w:p>
    <w:p>
      <w:pPr>
        <w:ind w:left="4" w:right="300" w:hanging="4"/>
        <w:spacing w:after="0" w:line="260" w:lineRule="auto"/>
        <w:tabs>
          <w:tab w:leader="none" w:pos="259"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defined in the Certificate of Incorporation), and (c) the consummation of a Change of Control (as defined in the License Agreement) of the Company.</w:t>
      </w:r>
    </w:p>
    <w:p>
      <w:pPr>
        <w:spacing w:after="0" w:line="7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Unless otherwise set forth in this Agreement, the representations and warranties of the Company and the Purchaser contained in or made pursuant to this Agreement shall survive the execution and delivery of this Agreement and the Closing and shall in no way be affected by any investigation or knowledge of the subject matter thereof made by or on behalf of the Purchaser or the Company.</w:t>
      </w:r>
    </w:p>
    <w:p>
      <w:pPr>
        <w:spacing w:after="0" w:line="68"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Except with the written consent of the Company, the Purchaser shall not assign this Agreement, or any rights or obligations hereunder, (a) prior to the termination of the rights and obligations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or (b) to a Competitor, provided that the Purchaser’s rights (subject to such Purchaser’s obligations) hereunder may be transferred by such Purchaser with an interest in the Shares or Anti-Dilution Shares</w:t>
      </w:r>
    </w:p>
    <w:p>
      <w:pPr>
        <w:spacing w:after="0" w:line="2" w:lineRule="exact"/>
        <w:rPr>
          <w:sz w:val="20"/>
          <w:szCs w:val="20"/>
          <w:color w:val="auto"/>
        </w:rPr>
      </w:pPr>
    </w:p>
    <w:p>
      <w:pPr>
        <w:ind w:left="4" w:hanging="4"/>
        <w:spacing w:after="0" w:line="252" w:lineRule="auto"/>
        <w:tabs>
          <w:tab w:leader="none" w:pos="219"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equity holders of the Company in connection with a corporate dividend or distribution of the Shares or Anti-Dilution Shares made pro rata to the equity holders of the Company in accordance with their ownership interests in the Company or (ii) by operation of law. Any assignment or attempted assignment by the Purchaser in violation of the immediately preceding sentence shall be null, void and of no legal effect.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2"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U.S.A. without regard to its conflict of laws rules.</w:t>
      </w:r>
    </w:p>
    <w:p>
      <w:pPr>
        <w:spacing w:after="0" w:line="54"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0944"/>
          </w:cols>
          <w:pgMar w:left="436" w:top="269" w:right="519" w:bottom="1440" w:gutter="0" w:footer="0" w:header="0"/>
        </w:sectPr>
      </w:pPr>
    </w:p>
    <w:bookmarkStart w:id="603" w:name="page604"/>
    <w:bookmarkEnd w:id="603"/>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9.5.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54" w:lineRule="exact"/>
        <w:rPr>
          <w:sz w:val="20"/>
          <w:szCs w:val="20"/>
          <w:color w:val="auto"/>
        </w:rPr>
      </w:pPr>
    </w:p>
    <w:p>
      <w:pPr>
        <w:ind w:left="4" w:right="1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w:t>
      </w:r>
    </w:p>
    <w:p>
      <w:pPr>
        <w:spacing w:after="0" w:line="2" w:lineRule="exact"/>
        <w:rPr>
          <w:sz w:val="20"/>
          <w:szCs w:val="20"/>
          <w:color w:val="auto"/>
        </w:rPr>
      </w:pPr>
    </w:p>
    <w:p>
      <w:pPr>
        <w:jc w:val="both"/>
        <w:ind w:left="4" w:right="120" w:hanging="4"/>
        <w:spacing w:after="0" w:line="253" w:lineRule="auto"/>
        <w:tabs>
          <w:tab w:leader="none" w:pos="259"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If notice is given to the Company, a copy shall also be sent to Goodwin Procter LLP, 100 Northern Avenue, Boston, MA 02210, Attention: Richard A. Hoffman.</w:t>
      </w:r>
    </w:p>
    <w:p>
      <w:pPr>
        <w:spacing w:after="0" w:line="79"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each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81"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terminated or waived only with the written consent of the Company and the Purchaser. Any amendment or waiver effected in accordance with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be binding upon the Purchaser and each transferee of the Shares and/or any Anti-Dilution Shares, each future holder of all such Shares and/or any Anti-Dilution Shares, and the Company.</w:t>
      </w:r>
    </w:p>
    <w:p>
      <w:pPr>
        <w:spacing w:after="0" w:line="68"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54" w:lineRule="exact"/>
        <w:rPr>
          <w:sz w:val="20"/>
          <w:szCs w:val="20"/>
          <w:color w:val="auto"/>
        </w:rPr>
      </w:pPr>
    </w:p>
    <w:p>
      <w:pPr>
        <w:ind w:left="4" w:firstLine="991"/>
        <w:spacing w:after="0" w:line="273"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Delays or Omissions</w:t>
      </w:r>
      <w:r>
        <w:rPr>
          <w:rFonts w:ascii="Times New Roman" w:cs="Times New Roman" w:eastAsia="Times New Roman" w:hAnsi="Times New Roman"/>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004"/>
          </w:cols>
          <w:pgMar w:left="436" w:top="269" w:right="459" w:bottom="1440" w:gutter="0" w:footer="0" w:header="0"/>
        </w:sectPr>
      </w:pPr>
    </w:p>
    <w:bookmarkStart w:id="604" w:name="page605"/>
    <w:bookmarkEnd w:id="604"/>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full and entire understanding and agreement between the Parties with respect to the subject matter hereof, and any other written or oral agreement relating to the subject matter hereof existing between the Parties are expressly canceled. For the avoidance of doubt, the provisions of this Agreement shall supersede any conflicting or inconsistent provisions of the License Agreement, and any such provision of the License Agreement shall be of no further force and effect.</w:t>
      </w:r>
    </w:p>
    <w:p>
      <w:pPr>
        <w:spacing w:after="0" w:line="72"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84"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color w:val="auto"/>
        </w:rPr>
        <w:t xml:space="preserve">9.13.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000"/>
          </w:cols>
          <w:pgMar w:left="440" w:top="269"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Stock Subscription Agreement as of the date first written above.</w:t>
      </w:r>
    </w:p>
    <w:p>
      <w:pPr>
        <w:spacing w:after="0" w:line="24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CULLINAN PEARL CORP.</w:t>
      </w:r>
    </w:p>
    <w:p>
      <w:pPr>
        <w:spacing w:after="0" w:line="22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242570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24257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2425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Address: One Main Street, Suite 520</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8"/>
          <w:szCs w:val="18"/>
          <w:color w:val="auto"/>
        </w:rPr>
        <w:t>U.S.A.</w:t>
      </w:r>
    </w:p>
    <w:p>
      <w:pPr>
        <w:spacing w:after="0" w:line="2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TAIHO PHARMACEUTICAL, CO., LTD.</w:t>
      </w:r>
    </w:p>
    <w:p>
      <w:pPr>
        <w:spacing w:after="0" w:line="23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242570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24257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242570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Address: 1-27 Kandanishiki-cho</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Chiyoda-ku, Tokyo 101-8444</w:t>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Japan</w:t>
      </w:r>
    </w:p>
    <w:p>
      <w:pPr>
        <w:spacing w:after="0" w:line="2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[Signature page to Stock Subscription Agreement]</w:t>
      </w:r>
    </w:p>
    <w:p>
      <w:pPr>
        <w:spacing w:after="0" w:line="1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9159"/>
          </w:cols>
          <w:pgMar w:left="1300" w:top="269" w:right="1440" w:bottom="1440" w:gutter="0" w:footer="0" w:header="0"/>
        </w:sectPr>
      </w:pPr>
    </w:p>
    <w:bookmarkStart w:id="606" w:name="page607"/>
    <w:bookmarkEnd w:id="6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Development Plan</w:t>
      </w:r>
    </w:p>
    <w:p>
      <w:pPr>
        <w:spacing w:after="0" w:line="2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265" w:right="1440" w:bottom="1440" w:gutter="0" w:footer="0" w:header="0"/>
        </w:sectPr>
      </w:pPr>
    </w:p>
    <w:bookmarkStart w:id="607" w:name="page608"/>
    <w:bookmarkEnd w:id="6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sheets]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9019"/>
          </w:cols>
          <w:pgMar w:left="1440" w:top="265" w:right="1440"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Taiho Pharmaceutical and Cullinan Oncology Establish Collaboration to Develop TAS6417, Novel EFGR Tyrosine Kinase Inhibitor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TOKYO and CAMBRIDGE, Massachusetts, Feb. 04, 2019 /Kyodo JBN/—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-FIH Study in EGFR Exon 20 Insertions Will Commence in 2019-</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Taiho Pharmaceutical Co., Ltd. and Cullinan Oncology, LLC announced on February 04 an agreement to develop TAS6417, a novel EGFR (epidermal growth factor receptor) tyrosine kinase inhibitor discovered by Taiho Pharmaceutical.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(Logo1: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https://kyodonewsprwire.jp/prwfile/release/M000396/201812251776/_prw_PI1fl_7wNhWX41.png)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(Logo2: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https://kyodonewsprwire.jp/prwfile/release/M000396/201812251776/_prw_PI2fl_2fyyBq0X.png)</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Taiho Pharmaceutical will grant an exclusive, global license ex- Japan for the development and commercialization of TAS6417 to Cullinan Pearl, a newly formed US-based company under the Cullinan Oncology umbrella. Taiho Pharmaceutical will receive an upfront payment, regulatory and sales milestones, as well as royalties based on net sales. Taiho Ventures, LLC, a strategic corporate venture arm of Taiho Pharmaceutical, alongside Cullinan Oncology, will provide funding for Cullinan Pearl’s Series A.</w:t>
      </w:r>
    </w:p>
    <w:p>
      <w:pPr>
        <w:spacing w:after="0" w:line="180"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“The Taiho’s drug research team created a unique molecule targeting EGFR Exon 20 insertion mutation using proprietary drug discovery platform technology. This alliance, one of the first of its kind at Taiho Pharmaceutical, allows our organization to optimize its R&amp;D resource allocation and accelerate global development by accessing external talent and resources. We are pleased to partner with Cullinan Oncology and its experienced management team in bringing this novel treatment to NSCLC patients,” said Teruhiro Utsugi, Managing Director of Taiho Pharmaceutical.</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Cullinan Pearl will utilize Cullinan Oncology’s shared service platform to develop TAS6417, which relies on a central management team and a network of integrated collaborators to help drive the development of pre-clinical and clinical assets.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excited to partner with Taiho Pharmaceutical and Taiho Ventures in exploring the utility of this novel drug in a patient population with limited options to date. We are thankful for Taiho’s trust in our team’s ability to execute the clinical development of this exciting asset,” stated Owen Hughes, CEO of Cullinan Oncology.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0920"/>
          </w:cols>
          <w:pgMar w:left="440" w:top="271" w:right="53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TAS6417</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TAS6417 is an orally available tyrosine kinase inhibitor designed to target activating mutations in EGFR. The molecule was engineered to inhibit EGFR variants with exon 20 insertion mutations, while sparing wild-type EGFR. TAS6417 is a clinical candidate for NSCLC driven by EGFR exon 20 insertion mutations and is expected to be a novel therapeutic option for the patients with highly unmet medical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Taiho Pharmaceutical Co., Ltd. (Japan)</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Taiho Pharmaceutical, a subsidiary of Otsuka Holdings Co., Ltd., is an R&amp;D-driven specialty pharma focusing on the three fields of oncology, allergy and immunology, and urology. Its corporate philosophy takes the form of a pledge: “We strive to improve human health and contribute to a society enriched by smiles.” In the field of oncology in particular, Taiho Pharmaceutical is known as a leading company in Japan for developing innovative medicines for the treatment of cancer, a reputation that is rapidly expanding through their extensive global R&amp;D efforts. In areas other than oncology, as well, the company creates and markets quality products that effectively treat medical conditions and can help improve people’s quality of life. Always putting customers first, Taiho Pharmaceutical also aims to offer consumer healthcare products that support people’s efforts to lead fulfilling and rewarding lives.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https://www.taiho.co.jp/en/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Taiho Ventures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Taiho Ventures, LLC is the strategic corporate venture capital arm of Taiho Pharmaceutical Co. Ltd., a Japanese specialty pharma focusing on oncology, allergy and immunology, and urology. With the recently expanded $300M under management, Taiho Ventures is looking at early-stage preclinical oncology companies as well as platform technology companies for our core therapeutic areas. Taiho Ventures will review the wide variety of modalities for both biologics and small molecules. The company will also consider the option type of investments and spin-outs, in addition to the pure equity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Cullinan Oncology</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Cullinan Oncology was formed to develop a diversified portfolio of highly promising single asset oncology opportunities through both internal and external means and to do so in a unique, cost- efficient model that leverages a central management team and shared services model to drive speed and efficiency. For additional information, please visit www.cullinanoncology.com.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0980"/>
          </w:cols>
          <w:pgMar w:left="440" w:top="270" w:right="47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Source: Taiho Pharmaceutical Co., Ltd.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Cullinan Oncology,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0019"/>
          </w:cols>
          <w:pgMar w:left="440" w:top="271" w:right="1440" w:bottom="1440" w:gutter="0" w:footer="0" w:header="0"/>
        </w:sectPr>
      </w:pPr>
    </w:p>
    <w:bookmarkStart w:id="611" w:name="page612"/>
    <w:bookmarkEnd w:id="611"/>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w:t>
      </w:r>
    </w:p>
    <w:p>
      <w:pPr>
        <w:spacing w:after="0" w:line="225"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color w:val="auto"/>
        </w:rPr>
        <w:t>Initial Licensed Know How</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9579"/>
          </w:cols>
          <w:pgMar w:left="880" w:top="266" w:right="1440" w:bottom="1440" w:gutter="0" w:footer="0" w:header="0"/>
        </w:sectPr>
      </w:pPr>
    </w:p>
    <w:bookmarkStart w:id="612" w:name="page613"/>
    <w:bookmarkEnd w:id="612"/>
    <w:p>
      <w:pPr>
        <w:spacing w:after="0"/>
        <w:tabs>
          <w:tab w:leader="none" w:pos="5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-119380</wp:posOffset>
            </wp:positionV>
            <wp:extent cx="6995160" cy="137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5715</wp:posOffset>
            </wp:positionV>
            <wp:extent cx="6995160" cy="137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-1776730</wp:posOffset>
            </wp:positionV>
            <wp:extent cx="6995160" cy="1371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-1502410</wp:posOffset>
            </wp:positionV>
            <wp:extent cx="6995160"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-1228090</wp:posOffset>
            </wp:positionV>
            <wp:extent cx="6995160" cy="137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-953770</wp:posOffset>
            </wp:positionV>
            <wp:extent cx="6995160" cy="1371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-679450</wp:posOffset>
            </wp:positionV>
            <wp:extent cx="6995160" cy="13716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-405130</wp:posOffset>
            </wp:positionV>
            <wp:extent cx="6995160" cy="13716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-130810</wp:posOffset>
            </wp:positionV>
            <wp:extent cx="6995160" cy="13716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9999"/>
          </w:cols>
          <w:pgMar w:left="460" w:top="271" w:right="1440" w:bottom="1440" w:gutter="0" w:footer="0" w:header="0"/>
        </w:sectPr>
      </w:pPr>
    </w:p>
    <w:bookmarkStart w:id="613" w:name="page614"/>
    <w:bookmarkEnd w:id="613"/>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p>
    <w:p>
      <w:pPr>
        <w:spacing w:after="0" w:line="27"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-2188210</wp:posOffset>
            </wp:positionV>
            <wp:extent cx="6995160" cy="13716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-1913890</wp:posOffset>
            </wp:positionV>
            <wp:extent cx="6995160" cy="13716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-1639570</wp:posOffset>
            </wp:positionV>
            <wp:extent cx="6995160" cy="13716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-1365250</wp:posOffset>
            </wp:positionV>
            <wp:extent cx="6995160" cy="13716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-1090930</wp:posOffset>
            </wp:positionV>
            <wp:extent cx="6995160" cy="1371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-816610</wp:posOffset>
            </wp:positionV>
            <wp:extent cx="6995160" cy="13716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-542290</wp:posOffset>
            </wp:positionV>
            <wp:extent cx="6995160" cy="1371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-267970</wp:posOffset>
            </wp:positionV>
            <wp:extent cx="6995160" cy="1371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9999"/>
          </w:cols>
          <w:pgMar w:left="460" w:top="270" w:right="1440" w:bottom="1440" w:gutter="0" w:footer="0" w:header="0"/>
        </w:sectPr>
      </w:pPr>
    </w:p>
    <w:bookmarkStart w:id="614" w:name="page615"/>
    <w:bookmarkEnd w:id="614"/>
    <w:p>
      <w:pPr>
        <w:ind w:left="5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-119380</wp:posOffset>
            </wp:positionV>
            <wp:extent cx="6995160" cy="13716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-2462530</wp:posOffset>
            </wp:positionV>
            <wp:extent cx="6995160" cy="1371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-2188210</wp:posOffset>
            </wp:positionV>
            <wp:extent cx="6995160" cy="13716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-1913890</wp:posOffset>
            </wp:positionV>
            <wp:extent cx="6995160" cy="1371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-1639570</wp:posOffset>
            </wp:positionV>
            <wp:extent cx="6995160" cy="13716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-1365250</wp:posOffset>
            </wp:positionV>
            <wp:extent cx="6995160" cy="13716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-1090930</wp:posOffset>
            </wp:positionV>
            <wp:extent cx="6995160" cy="13716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-816610</wp:posOffset>
            </wp:positionV>
            <wp:extent cx="6995160" cy="13716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-542290</wp:posOffset>
            </wp:positionV>
            <wp:extent cx="6995160" cy="13716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-267970</wp:posOffset>
            </wp:positionV>
            <wp:extent cx="6995160" cy="1371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9999"/>
          </w:cols>
          <w:pgMar w:left="460" w:top="271" w:right="1440" w:bottom="1440" w:gutter="0" w:footer="0" w:header="0"/>
        </w:sectPr>
      </w:pPr>
    </w:p>
    <w:bookmarkStart w:id="615" w:name="page616"/>
    <w:bookmarkEnd w:id="615"/>
    <w:p>
      <w:pPr>
        <w:ind w:left="520" w:hanging="516"/>
        <w:spacing w:after="0"/>
        <w:tabs>
          <w:tab w:leader="none" w:pos="52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-679450</wp:posOffset>
            </wp:positionV>
            <wp:extent cx="6995160" cy="137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-405130</wp:posOffset>
            </wp:positionV>
            <wp:extent cx="6995160" cy="13716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-130810</wp:posOffset>
            </wp:positionV>
            <wp:extent cx="6995160" cy="13716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9999"/>
          </w:cols>
          <w:pgMar w:left="460" w:top="270" w:right="1440"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-350520</wp:posOffset>
            </wp:positionV>
            <wp:extent cx="7149465" cy="254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-256540</wp:posOffset>
            </wp:positionV>
            <wp:extent cx="6995160" cy="13716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17145</wp:posOffset>
            </wp:positionV>
            <wp:extent cx="6995160" cy="13716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840" w:space="720"/>
            <w:col w:w="4439"/>
          </w:cols>
          <w:pgMar w:left="460" w:top="271" w:right="1440" w:bottom="1440" w:gutter="0" w:footer="0" w:header="0"/>
        </w:sect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-5891530</wp:posOffset>
            </wp:positionV>
            <wp:extent cx="6995160" cy="13716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-5617210</wp:posOffset>
            </wp:positionV>
            <wp:extent cx="6995160" cy="1371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-5342890</wp:posOffset>
            </wp:positionV>
            <wp:extent cx="6995160" cy="1371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-5068570</wp:posOffset>
            </wp:positionV>
            <wp:extent cx="6995160" cy="1371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-4794250</wp:posOffset>
            </wp:positionV>
            <wp:extent cx="6995160" cy="1371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-4519930</wp:posOffset>
            </wp:positionV>
            <wp:extent cx="6995160" cy="137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-4245610</wp:posOffset>
            </wp:positionV>
            <wp:extent cx="6995160" cy="13716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-3971290</wp:posOffset>
            </wp:positionV>
            <wp:extent cx="6995160" cy="13716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-3696970</wp:posOffset>
            </wp:positionV>
            <wp:extent cx="6995160" cy="13716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-3422650</wp:posOffset>
            </wp:positionV>
            <wp:extent cx="6995160" cy="13716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-3148330</wp:posOffset>
            </wp:positionV>
            <wp:extent cx="6995160" cy="13716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-2874010</wp:posOffset>
            </wp:positionV>
            <wp:extent cx="6995160" cy="1371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-2599690</wp:posOffset>
            </wp:positionV>
            <wp:extent cx="6995160" cy="1371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-2325370</wp:posOffset>
            </wp:positionV>
            <wp:extent cx="6995160" cy="13716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-2051050</wp:posOffset>
            </wp:positionV>
            <wp:extent cx="6995160" cy="13716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-1776730</wp:posOffset>
            </wp:positionV>
            <wp:extent cx="6995160" cy="13716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-1502410</wp:posOffset>
            </wp:positionV>
            <wp:extent cx="6995160" cy="137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-1228090</wp:posOffset>
            </wp:positionV>
            <wp:extent cx="6995160" cy="13716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-953770</wp:posOffset>
            </wp:positionV>
            <wp:extent cx="6995160" cy="1371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-679450</wp:posOffset>
            </wp:positionV>
            <wp:extent cx="6995160" cy="1371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-405130</wp:posOffset>
            </wp:positionV>
            <wp:extent cx="6995160" cy="13716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-130810</wp:posOffset>
            </wp:positionV>
            <wp:extent cx="6995160" cy="1371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9999"/>
          </w:cols>
          <w:pgMar w:left="460" w:top="271" w:right="1440" w:bottom="1440" w:gutter="0" w:footer="0" w:header="0"/>
          <w:type w:val="continuous"/>
        </w:sectPr>
      </w:pPr>
    </w:p>
    <w:bookmarkStart w:id="617" w:name="page618"/>
    <w:bookmarkEnd w:id="617"/>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p>
    <w:p>
      <w:pPr>
        <w:spacing w:after="0" w:line="27"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0" w:hanging="516"/>
        <w:spacing w:after="0"/>
        <w:tabs>
          <w:tab w:leader="none" w:pos="52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-2462530</wp:posOffset>
            </wp:positionV>
            <wp:extent cx="6995160" cy="13716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-2188210</wp:posOffset>
            </wp:positionV>
            <wp:extent cx="6995160" cy="1371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-1913890</wp:posOffset>
            </wp:positionV>
            <wp:extent cx="6995160" cy="1371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-1639570</wp:posOffset>
            </wp:positionV>
            <wp:extent cx="6995160" cy="13716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-1365250</wp:posOffset>
            </wp:positionV>
            <wp:extent cx="6995160" cy="1371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-1090930</wp:posOffset>
            </wp:positionV>
            <wp:extent cx="6995160" cy="13716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-816610</wp:posOffset>
            </wp:positionV>
            <wp:extent cx="6995160" cy="13716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-542290</wp:posOffset>
            </wp:positionV>
            <wp:extent cx="6995160" cy="13716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-267970</wp:posOffset>
            </wp:positionV>
            <wp:extent cx="6995160" cy="13716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9999"/>
          </w:cols>
          <w:pgMar w:left="460" w:top="270" w:right="1440" w:bottom="1440" w:gutter="0" w:footer="0" w:header="0"/>
        </w:sectPr>
      </w:pPr>
    </w:p>
    <w:bookmarkStart w:id="618" w:name="page619"/>
    <w:bookmarkEnd w:id="618"/>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G</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0019"/>
          </w:cols>
          <w:pgMar w:left="440" w:top="267" w:right="1440" w:bottom="1440" w:gutter="0" w:footer="0" w:header="0"/>
        </w:sectPr>
      </w:pPr>
    </w:p>
    <w:bookmarkStart w:id="619" w:name="page620"/>
    <w:bookmarkEnd w:id="619"/>
    <w:p>
      <w:pPr>
        <w:ind w:left="10080"/>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redacted because they are both (i) not material and (ii) would be competitively harmful if publicly disclosed.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that was omitted has been noted in this document with a placeholder identified by the mark “[***]”.</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This Exclusive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is effective as of this 31st day of August, 2020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Cullinan Florentine Corp., a Delaware corporation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having an address at 1 Main Street Suite 520, Cambridge, MA 02142, U.S.A., on the one hand, and Deutsches Krebsforschungszentrum or the German Cancer Research Center (“</w:t>
      </w:r>
      <w:r>
        <w:rPr>
          <w:rFonts w:ascii="Times New Roman" w:cs="Times New Roman" w:eastAsia="Times New Roman" w:hAnsi="Times New Roman"/>
          <w:sz w:val="18"/>
          <w:szCs w:val="18"/>
          <w:b w:val="1"/>
          <w:bCs w:val="1"/>
          <w:color w:val="auto"/>
        </w:rPr>
        <w:t>DKFZ</w:t>
      </w:r>
      <w:r>
        <w:rPr>
          <w:rFonts w:ascii="Times New Roman" w:cs="Times New Roman" w:eastAsia="Times New Roman" w:hAnsi="Times New Roman"/>
          <w:sz w:val="18"/>
          <w:szCs w:val="18"/>
          <w:color w:val="auto"/>
        </w:rPr>
        <w:t>”), Eberhard Karls University of Tuebingen, Faculty of Medicine (“</w:t>
      </w:r>
      <w:r>
        <w:rPr>
          <w:rFonts w:ascii="Times New Roman" w:cs="Times New Roman" w:eastAsia="Times New Roman" w:hAnsi="Times New Roman"/>
          <w:sz w:val="18"/>
          <w:szCs w:val="18"/>
          <w:b w:val="1"/>
          <w:bCs w:val="1"/>
          <w:color w:val="auto"/>
        </w:rPr>
        <w:t>University of Tübingen</w:t>
      </w:r>
      <w:r>
        <w:rPr>
          <w:rFonts w:ascii="Times New Roman" w:cs="Times New Roman" w:eastAsia="Times New Roman" w:hAnsi="Times New Roman"/>
          <w:sz w:val="18"/>
          <w:szCs w:val="18"/>
          <w:color w:val="auto"/>
        </w:rPr>
        <w:t>”), and Universitätsmedizin Gesellschaft für Forschung und Entwicklung mbH, Tübingen (“</w:t>
      </w:r>
      <w:r>
        <w:rPr>
          <w:rFonts w:ascii="Times New Roman" w:cs="Times New Roman" w:eastAsia="Times New Roman" w:hAnsi="Times New Roman"/>
          <w:sz w:val="18"/>
          <w:szCs w:val="18"/>
          <w:b w:val="1"/>
          <w:bCs w:val="1"/>
          <w:color w:val="auto"/>
        </w:rPr>
        <w:t>UFE</w:t>
      </w:r>
      <w:r>
        <w:rPr>
          <w:rFonts w:ascii="Times New Roman" w:cs="Times New Roman" w:eastAsia="Times New Roman" w:hAnsi="Times New Roman"/>
          <w:sz w:val="18"/>
          <w:szCs w:val="18"/>
          <w:color w:val="auto"/>
        </w:rPr>
        <w:t>”), on the other hand. DKFZ and University of Tübingen are collectively referred to herein as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Each of DKFZ, University of Tübingen, UFE and Cullinan are individually referred to herein as a “Party,” and they are collectively referred to herein as the “Parties”.</w:t>
      </w:r>
    </w:p>
    <w:p>
      <w:pPr>
        <w:spacing w:after="0" w:line="1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Licensee is engaged in the research and development of therapeutics for the treatment of diseases;</w:t>
      </w:r>
    </w:p>
    <w:p>
      <w:pPr>
        <w:spacing w:after="0" w:line="225" w:lineRule="exact"/>
        <w:rPr>
          <w:sz w:val="20"/>
          <w:szCs w:val="20"/>
          <w:color w:val="auto"/>
        </w:rPr>
      </w:pPr>
    </w:p>
    <w:p>
      <w:pPr>
        <w:ind w:right="10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Licensor possesses certain technology and related intellectual property rights useful for the research,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therapeutics for the treatment of diseases;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Licensor and Licensee, intending to be legally bound, agree as follows:</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Accounting Standards Securities</w:t>
      </w:r>
      <w:r>
        <w:rPr>
          <w:rFonts w:ascii="Times New Roman" w:cs="Times New Roman" w:eastAsia="Times New Roman" w:hAnsi="Times New Roman"/>
          <w:sz w:val="18"/>
          <w:szCs w:val="18"/>
          <w:color w:val="auto"/>
        </w:rPr>
        <w:t>” means generally accepted accounting principles in the United States (GAAP) or international financial reporting standards outside the United States (IFRS), in each case consistently applied, as may be applicable to the relevant Invoicing Entity from time to time.</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xml:space="preserve">” means shares of capital stock, convertible securities or warrants, options, or other rights to subscribe for, purchase or acquire from Licensee any capital stock of Licensee;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rights to subscribe for, purchase or acquire” shall not include (i) preemptive or other rights to participate in new offerings of securities by Licensee after the Effective Date, (ii) obligations under a purchase agreement for preferred stock of Licensee to acquire additional shares of such preferred stock on the same terms as those purchased at an initial closing upon the passage of time or meeting (or waiver) of specified Licensee performance conditions or (iii) anti-dilution provisions that have not been triggered.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8" w:right="439" w:bottom="1440" w:gutter="0" w:footer="0" w:header="0"/>
        </w:sectPr>
      </w:pPr>
    </w:p>
    <w:bookmarkStart w:id="620" w:name="page621"/>
    <w:bookmarkEnd w:id="620"/>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xml:space="preserve">” means, with respect to a Party, any Person that controls, is controlled by, or is under common control with such Party. For purposes of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“control” shall refer to (i) in the case of a Person that is a corporate entity, direct or indirect ownership of more than fifty percent (50%) of the stock or shares having the right to vote for the election of directors of such Person and (ii) in the case of a Person that is not a corporate entity, the possession, directly or indirectly, of the power to direct, or cause the direction of, the management or policies of such Person, whether through the ownership of voting securities, by contract or otherwise. Notwithstanding the foregoing, for purposes of </w:t>
      </w:r>
      <w:r>
        <w:rPr>
          <w:rFonts w:ascii="Times New Roman" w:cs="Times New Roman" w:eastAsia="Times New Roman" w:hAnsi="Times New Roman"/>
          <w:sz w:val="17"/>
          <w:szCs w:val="17"/>
          <w:u w:val="single" w:color="auto"/>
          <w:color w:val="auto"/>
        </w:rPr>
        <w:t>Sections 1.47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Affiliates of Licensee shall exclude Persons controlled by Cullinan Oncology LLC or under common control of Cullinan Oncology LLC or any investor in Cullinan Oncology LLC (“</w:t>
      </w:r>
      <w:r>
        <w:rPr>
          <w:rFonts w:ascii="Times New Roman" w:cs="Times New Roman" w:eastAsia="Times New Roman" w:hAnsi="Times New Roman"/>
          <w:sz w:val="17"/>
          <w:szCs w:val="17"/>
          <w:b w:val="1"/>
          <w:bCs w:val="1"/>
          <w:color w:val="auto"/>
        </w:rPr>
        <w:t>Cullinan Affiliate Persons</w:t>
      </w:r>
      <w:r>
        <w:rPr>
          <w:rFonts w:ascii="Times New Roman" w:cs="Times New Roman" w:eastAsia="Times New Roman" w:hAnsi="Times New Roman"/>
          <w:sz w:val="17"/>
          <w:szCs w:val="17"/>
          <w:color w:val="auto"/>
        </w:rPr>
        <w:t>”) other than Licensee and its subsidiaries and Cullinan Affiliate Persons that have been granted rights by Licensee or its Affiliates with respect to Licensed Products. Notwithstanding the foregoing, for purposes of</w:t>
      </w:r>
    </w:p>
    <w:p>
      <w:pPr>
        <w:spacing w:after="0" w:line="4"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Affiliates of Licensor shall exclude Persons (i) controlled by DKFZ or under common control of DKFZ or (ii) controlled by University of Tübingen or under common control of University of Tübingen.</w:t>
      </w:r>
    </w:p>
    <w:p>
      <w:pPr>
        <w:spacing w:after="0" w:line="17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Asset</w:t>
      </w:r>
      <w:r>
        <w:rPr>
          <w:rFonts w:ascii="Times New Roman" w:cs="Times New Roman" w:eastAsia="Times New Roman" w:hAnsi="Times New Roman"/>
          <w:sz w:val="18"/>
          <w:szCs w:val="18"/>
          <w:color w:val="auto"/>
        </w:rPr>
        <w:t>” means all Licensor’s FLT3 binders described as part of the invention in the provisional patent application with the Application Numbers [***]and the subsequently filed international patent application [***], any such binders in any format (monospecific, bispecific or other) other than formats (a) invented or Controlled by Licensor after the Effective Date and (b) to the extent Covered by Patent Rights or Know-How to which Licensee does not have a license. The Asset shall explicitly exclude [***]as described in the patent application [***].</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Licensee, as it may be constituted from time to time.</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 day that is not a Saturday, Sunday or a day on which banking institutions in Boston, Massachusetts, U.S.A. or Heidelberg, Germany are authorized by Law to remain closed.</w:t>
      </w:r>
    </w:p>
    <w:p>
      <w:pPr>
        <w:spacing w:after="0" w:line="15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xml:space="preserve">” means each successive period of twelve (12) months commencing on January 1 and ending on December 31;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first Calendar Year hereunder shall commence on the Effective Date and the final Calendar Year hereunder shall end on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termination or expiration of this Agreement.</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means (a) with respect to Licensee, the Chief Executive Officer of Licensee or his or her designee, and (b) with respect to Licensor, the Chief Innovation Officer of DKFZ, or his or her designee.</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any and all activities that relate to producing, manufacturing, marketing, promoting, distributing, importing or selling a product, including activities related to regulatory review and/or approval of a product.</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Competitive Product</w:t>
      </w:r>
      <w:r>
        <w:rPr>
          <w:rFonts w:ascii="Times New Roman" w:cs="Times New Roman" w:eastAsia="Times New Roman" w:hAnsi="Times New Roman"/>
          <w:sz w:val="17"/>
          <w:szCs w:val="17"/>
          <w:color w:val="auto"/>
        </w:rPr>
        <w:t>” means any of the following: [***].</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any confidential or proprietary information furnished by one Party to the other Party in connection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7" w:right="479" w:bottom="1440" w:gutter="0" w:footer="0" w:header="0"/>
        </w:sectPr>
      </w:pPr>
    </w:p>
    <w:bookmarkStart w:id="621" w:name="page622"/>
    <w:bookmarkEnd w:id="621"/>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is (i) specifically designated as confidential or (ii) reasonably identifiable by an individual familiar with the industry as confidential or proprietary. Confidential Information includes but is not limited to:</w:t>
      </w:r>
    </w:p>
    <w:p>
      <w:pPr>
        <w:spacing w:after="0" w:line="54" w:lineRule="exact"/>
        <w:rPr>
          <w:sz w:val="20"/>
          <w:szCs w:val="20"/>
          <w:color w:val="auto"/>
        </w:rPr>
      </w:pPr>
    </w:p>
    <w:p>
      <w:pPr>
        <w:ind w:left="1360" w:hanging="373"/>
        <w:spacing w:after="0"/>
        <w:tabs>
          <w:tab w:leader="none" w:pos="13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non-public information disclosed by Licensee to Licensor in reports submitted by Licensee to Licensor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non-public information disclosed by Licensor to Licensee in connection with the matters contemplated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non-public information disclosed by Licensor to Licensee relating to patent application prosecution files for the Licensed Patent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w:t>
      </w:r>
    </w:p>
    <w:p>
      <w:pPr>
        <w:spacing w:after="0" w:line="207" w:lineRule="exact"/>
        <w:rPr>
          <w:sz w:val="20"/>
          <w:szCs w:val="20"/>
          <w:color w:val="auto"/>
        </w:rPr>
      </w:pPr>
    </w:p>
    <w:p>
      <w:pPr>
        <w:ind w:left="1380" w:hanging="393"/>
        <w:spacing w:after="0"/>
        <w:tabs>
          <w:tab w:leader="none" w:pos="138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of one Party received by the other Party prior to the Effective Date pursuant to the Exclusive Option Agreement.</w:t>
      </w:r>
    </w:p>
    <w:p>
      <w:pPr>
        <w:spacing w:after="0" w:line="221"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with respect to Patent Rights or Know-How, that a Party owns or has a license or sublicense to such Patent Rights or Know-How and has the ability to grant a license or sublicense to such Patent Rights or Know-How as provided for in this Agreement, or has the ability to assign its right, title and interest in and to such Patent Rights or Know-How, without violating the terms of any agreement or other arrangement with any Third Party.</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means, with respect to a product, technology, process or method, that in the absence of ownership of or a license granted under a Valid Claim, the manufacture, use, offer for sale, sale or importation of such product or the practice of such technology, process or method would infringe such Valid Claim (or, in the case of a Valid Claim that has not yet issued, would infringe such Valid Claim if it were to issue) or that in the absence of ownership of or a license granted to Know-How, the manufacture, use, offer for sale, sale or importation of such product or the practice of such technology, process or method would constitute a misappropriation of such Know-How.</w:t>
      </w:r>
    </w:p>
    <w:p>
      <w:pPr>
        <w:spacing w:after="0" w:line="17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means the European Medicines Agency and any successor governmental authority having substantially the same function.</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Exclusive Option Agreement</w:t>
      </w:r>
      <w:r>
        <w:rPr>
          <w:rFonts w:ascii="Times New Roman" w:cs="Times New Roman" w:eastAsia="Times New Roman" w:hAnsi="Times New Roman"/>
          <w:sz w:val="17"/>
          <w:szCs w:val="17"/>
          <w:color w:val="auto"/>
        </w:rPr>
        <w:t>” means that certain Exclusive Option Agreement by and among the Parties dated as of May 22, 2019.</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any successor United States governmental agency performing similar functions with respect to pharmaceutical products.</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all fields, including the diagnosis, prognosis, prevention or treatment of any human or animal disease or condition.</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Financing Threshold</w:t>
      </w:r>
      <w:r>
        <w:rPr>
          <w:rFonts w:ascii="Times New Roman" w:cs="Times New Roman" w:eastAsia="Times New Roman" w:hAnsi="Times New Roman"/>
          <w:sz w:val="18"/>
          <w:szCs w:val="18"/>
          <w:color w:val="auto"/>
        </w:rPr>
        <w:t>” means an aggregate total investment of [***] in cash since the date of incorporation or formation of Licensee, in one or a series of related or unrelated transactions, in each case, in exchange for Licensee’s capital stock.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22" w:name="page623"/>
    <w:bookmarkEnd w:id="62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1.19 “</w:t>
      </w:r>
      <w:r>
        <w:rPr>
          <w:rFonts w:ascii="Times New Roman" w:cs="Times New Roman" w:eastAsia="Times New Roman" w:hAnsi="Times New Roman"/>
          <w:sz w:val="18"/>
          <w:szCs w:val="18"/>
          <w:b w:val="1"/>
          <w:bCs w:val="1"/>
          <w:color w:val="auto"/>
        </w:rPr>
        <w:t>First Change of Control</w:t>
      </w:r>
      <w:r>
        <w:rPr>
          <w:rFonts w:ascii="Times New Roman" w:cs="Times New Roman" w:eastAsia="Times New Roman" w:hAnsi="Times New Roman"/>
          <w:sz w:val="18"/>
          <w:szCs w:val="18"/>
          <w:color w:val="auto"/>
        </w:rPr>
        <w:t xml:space="preserve">” means, with respect to Licensee, the first to occur of any of the following events: (a) any Third Party (or group of Third Parties) acquires through one or a series of related transactions (that shall be aggregated for the purposes hereof), directly or indirectly, shares of Licensee representing either (i) at least a majority of the voting power (where voting refers to being entitled to vote for the election of directors) then outstanding of Licensee or (ii) at least a majority of the equity then outstanding of Licensee; (b) Licensee consolidates with or merges into another corporation or entity which is a Third Party, or any corporation or entity which is a Third Party consolidates with or merges into Licensee, in either event pursuant to a transaction in which at least a majority of the voting power or at least a majority of the equity of the acquiring or resulting entity outstanding immediately after such consolidation or merger is not held by the holders of the outstanding voting power or equity of Licensee immediately preceding such consolidation or merger; (c) Licensee, through one or a series of related transactions (that shall be aggregated for the purposes hereof), conveys, transfers, licenses and/or leases all or substantially all of its assets to a Third Party; or (d) Licensee, through one or a series of related transactions (that shall be aggregated for the purpose hereof), conveys, assigns, transfers, licenses and/or leases, as applicable, this Agreement or all or substantially all of its rights granted under this Agreement to a Third Party. Notwithstanding anything to the contrary in this paragraph, the sale of equity securities by Licensee for capital raising purposes in a financing transaction shall not be deemed a First Change of Control and changes in the ownership of any stockholder of Licensee, or of ownership of any such stockholder, shall not be considered in making the determination of the occurrence of a First Change of Control. For purposes of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5.3(b)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consummation of a First Change of Control of Licensee shall cause permanently such expiration, termination or other effect for the Term, and no such provision shall be considered readjusted to its terms prior to such First Change of Control in the event of a subsequent transfer or assignment of this Agreement to a successor Licensee.</w:t>
      </w:r>
    </w:p>
    <w:p>
      <w:pPr>
        <w:spacing w:after="0" w:line="19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means, with respect to a Licensed Product and a country, the first bona fide, arms-length sale of such Licensed Product in such country by or on behalf of Licensee or a Related Party after receipt of Regulatory Approval in the jurisdiction in question;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clarity First Commercial Sale does not include the sale of a Licensed Product for compassionate use or clinical trial,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Licensed Product is supplied at or below cost.</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First IPO</w:t>
      </w:r>
      <w:r>
        <w:rPr>
          <w:rFonts w:ascii="Times New Roman" w:cs="Times New Roman" w:eastAsia="Times New Roman" w:hAnsi="Times New Roman"/>
          <w:sz w:val="18"/>
          <w:szCs w:val="18"/>
          <w:color w:val="auto"/>
        </w:rPr>
        <w:t xml:space="preserve">” means, with respect to Licensee, the first underwritten public offering of Licensee’s common stock under the Securities Act of 1933, as amended, or comparable law in a foreign jurisdiction, and the rules and regulations promulgated thereunder. For purposes of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consummation of the First IPO shall cause permanently such expiration, termination or other effect for the Term, and no such provision shall be considered readjusted to its terms prior to such First IPO in the event of a subsequent transfer or assignment of this Agreement to a successor Licensee.</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Fully-Diluted Basis</w:t>
      </w:r>
      <w:r>
        <w:rPr>
          <w:rFonts w:ascii="Times New Roman" w:cs="Times New Roman" w:eastAsia="Times New Roman" w:hAnsi="Times New Roman"/>
          <w:sz w:val="18"/>
          <w:szCs w:val="18"/>
          <w:color w:val="auto"/>
        </w:rPr>
        <w:t>” means, as of a specified date, the number of shares of common stock of Licensee then-outstanding plus the number of shares of common stock of Licensee issuable upon exercise or conversion of then-outstanding convertible securities or warrants, options, or other rights to subscribe for, purchase or acquire from Licensee any capital stock of Licensee (which shall be determined without regard to whether such securities or rights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7" w:right="459" w:bottom="1440" w:gutter="0" w:footer="0" w:header="0"/>
        </w:sectPr>
      </w:pPr>
    </w:p>
    <w:bookmarkStart w:id="623" w:name="page624"/>
    <w:bookmarkEnd w:id="62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are then vested, exercisable or convertible) plus, without duplication, the number of shares reserved and available for future grant under any then-existing equity incentive plan of Licensee;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clarity, “other rights to subscribe for, purchase or acquire” shall not include (i) preemptive or other rights to participate in new offerings of securities by Licensee after the Effective Date, (ii) obligations under a purchase agreement for preferred stock of Licensee to acquire additional shares of such preferred stock on the same terms as those purchased at an initial closing upon the passage of time or meeting (or waiver) of specified Licensee performance conditions or (iii) anti-dilution provisions that have not been triggered.</w:t>
      </w:r>
    </w:p>
    <w:p>
      <w:pPr>
        <w:spacing w:after="0" w:line="179"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filed with the FDA under 21 C.F.R. Part 312 for permission to conduct human clinical investigations.</w:t>
      </w:r>
    </w:p>
    <w:p>
      <w:pPr>
        <w:spacing w:after="0" w:line="15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ideas, concepts, discoveries, inventions, developments, Know-How, trade secrets, techniques, methodologies, modifications, innovations, improvements, writings, documentation, electronic code, data and rights (whether or not protectable under Law) or the like existing anywhere in the world, whether or not written or otherwise fixed in any form or medium, regardless of the media on which contained and whether or not patentable or copyrightable.</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Inventors</w:t>
      </w:r>
      <w:r>
        <w:rPr>
          <w:rFonts w:ascii="Times New Roman" w:cs="Times New Roman" w:eastAsia="Times New Roman" w:hAnsi="Times New Roman"/>
          <w:sz w:val="17"/>
          <w:szCs w:val="17"/>
          <w:color w:val="auto"/>
        </w:rPr>
        <w:t>” means [***] and [***].</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and all commercial, technical, regulatory, scientific and other know-how and information, knowledge, technology,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 and know-how, including study designs and protocols), whether or not confidential, proprietary or patentable, in written, electronic or any other form.</w:t>
      </w:r>
    </w:p>
    <w:p>
      <w:pPr>
        <w:spacing w:after="0" w:line="182"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Knowledge of Licensor</w:t>
      </w:r>
      <w:r>
        <w:rPr>
          <w:rFonts w:ascii="Times New Roman" w:cs="Times New Roman" w:eastAsia="Times New Roman" w:hAnsi="Times New Roman"/>
          <w:sz w:val="18"/>
          <w:szCs w:val="18"/>
          <w:color w:val="auto"/>
        </w:rPr>
        <w:t>” means the actual knowledge of [***] and [***] as of the Effective Date, and for the avoidance of doubt, not including any deemed knowledge or what should have been known by any such person.</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all laws, statutes, rules, codes, regulations, orders, judgments or ordinances applicable to a Party, this Agreement or the activities contemplated hereunder.</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Licensed Information</w:t>
      </w:r>
      <w:r>
        <w:rPr>
          <w:rFonts w:ascii="Times New Roman" w:cs="Times New Roman" w:eastAsia="Times New Roman" w:hAnsi="Times New Roman"/>
          <w:sz w:val="18"/>
          <w:szCs w:val="18"/>
          <w:color w:val="auto"/>
        </w:rPr>
        <w:t>” means the Technical Information, non-public Licensed Know-How and unpublished information contained within the Licensed Patent Rights.</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IP Rights</w:t>
      </w:r>
      <w:r>
        <w:rPr>
          <w:rFonts w:ascii="Times New Roman" w:cs="Times New Roman" w:eastAsia="Times New Roman" w:hAnsi="Times New Roman"/>
          <w:sz w:val="17"/>
          <w:szCs w:val="17"/>
          <w:color w:val="auto"/>
        </w:rPr>
        <w:t>” means the Licensed Know-How and Licensed Patent Rights.</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xml:space="preserve">” means any and all Know-How Covering, and to the extent Covering, the Asset, including the Know-How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any Know-How Controlled by Licensor not specific to [***]; provided, however, that Licensed Know-How shall exclude Know-How Covering, and to the extent Covering, [***].</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24" w:name="page625"/>
    <w:bookmarkEnd w:id="62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1.32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means all Patent Rights Covering the Asset, including all (i) patents, patent applications, and patent equivalents of this patent family [***]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any claims of patent application [***] and (ii) any patent or patent application, utility patent or utility patent application, and innovation patent or innovation patent application claiming priority to any patent application identified in clause (i) (excluding continuation-in-part patents or patent applications except to the extent described in (iv) below) or any divisional, continuation, reissue, renewal, reexamination, substitution or extension of any patent or patent application identified in clause (i) or this clause (ii), (iii) all patents issuing from such patent applications identified in clause (i), (ii) or (iv), including any reissues, renewals, reexaminations, substitutions or extensions thereof, (iv) all continuations and claims of continuations-in-part applications that claim priority to and are entitled to the priority date of, and are directed specifically to subject matter specifically described in, at least one of the patents or patent applications identified in clause (i), (ii) or (iii) or any divisional, continuation, reissue, renewal, reexamination, substitution or extension of any patent application identified in this clause (iv), (v) all foreign counterparts of any of the foregoing and (vi) any supplementary protection certificates or patent term extensions in a country based on any patents or patent applications identified in any of clauses (i) through (v). For clarity, with respect to patent application [***], the patents or patent applications of the type described in the foregoing clause (ii) through (vi) shall only include such patents or patent applications Covering, and to the extent Covering, the Asset. Notwithstanding the foregoing provisions of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Licensed Patent Rights shall exclude claims of Patent Rights Covering, and to the extent Covering, novel bispecific binder formats invented or Controlled by Licensor after the Effective Date.</w:t>
      </w:r>
    </w:p>
    <w:p>
      <w:pPr>
        <w:spacing w:after="0" w:line="185" w:lineRule="exact"/>
        <w:rPr>
          <w:sz w:val="20"/>
          <w:szCs w:val="20"/>
          <w:color w:val="auto"/>
        </w:rPr>
      </w:pPr>
    </w:p>
    <w:p>
      <w:pPr>
        <w:ind w:right="320" w:firstLine="440"/>
        <w:spacing w:after="0" w:line="259"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any product (a) on a country-by-country basis, the making, using, selling, offering for sale, importing or exporting of which in such country would, but for the licenses granted herein, infringe directly at least one (1) pending Valid Claim, were such Valid Claim to have issued, or issued Valid Claim under any of the Licensed Patent Rights in such country or (b) incorporates or comprises any Licensed Know-How. For clarity, the term “Licensed Product” as used in this Agreement does not reflect any stage or status of development or regulatory approval.</w:t>
      </w:r>
    </w:p>
    <w:p>
      <w:pPr>
        <w:spacing w:after="0" w:line="179"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Licensee Technology</w:t>
      </w:r>
      <w:r>
        <w:rPr>
          <w:rFonts w:ascii="Times New Roman" w:cs="Times New Roman" w:eastAsia="Times New Roman" w:hAnsi="Times New Roman"/>
          <w:sz w:val="18"/>
          <w:szCs w:val="18"/>
          <w:color w:val="auto"/>
        </w:rPr>
        <w:t xml:space="preserve">” shall mean (i) any and all Patent Rights and Know-How Controlled by Licensee or its Affiliates or permitted Sublicenses on the Effective Date or during the term of this Agreement and required or used for the development, manufacture or Commercialization of any Licensed Product;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trademarks and designs Controlled by Licensee or its Affiliates or permitted Sublicensees and required or used for the Comercialization of the Licensed Products. For the avoidance of doubt, Licensee Technology includes improvements to the Licensed Patent Rights developed by Licensee.</w:t>
      </w:r>
    </w:p>
    <w:p>
      <w:pPr>
        <w:spacing w:after="0" w:line="17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European Market</w:t>
      </w:r>
      <w:r>
        <w:rPr>
          <w:rFonts w:ascii="Times New Roman" w:cs="Times New Roman" w:eastAsia="Times New Roman" w:hAnsi="Times New Roman"/>
          <w:sz w:val="17"/>
          <w:szCs w:val="17"/>
          <w:color w:val="auto"/>
        </w:rPr>
        <w:t>” means any of United Kingdom, France, Germany, Italy or Spain.</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(as defined in the United States Federal Food, Drug, and Cosmetic Act and the regulations promulgated thereunder (21 C.F.R. §§ 314 et seq.).</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Sales</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7" w:right="459" w:bottom="1440" w:gutter="0" w:footer="0" w:header="0"/>
        </w:sectPr>
      </w:pPr>
    </w:p>
    <w:bookmarkStart w:id="625" w:name="page626"/>
    <w:bookmarkEnd w:id="625"/>
    <w:p>
      <w:pPr>
        <w:ind w:left="1360" w:hanging="373"/>
        <w:spacing w:after="0"/>
        <w:tabs>
          <w:tab w:leader="none" w:pos="13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Net Sales shall not include [***];</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 and</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20" w:hanging="384"/>
        <w:spacing w:after="0"/>
        <w:tabs>
          <w:tab w:leader="none" w:pos="82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with respect to any patents or patent applications, any and all (a) patents and patents issuing from such patent applications, (b) substitutions, divisionals, renewals, continuations or continuations-in-part (only to the extent of claims that are entitled to the priority date of the parent application); (c) patents of addition, restorations, extensions, supplementary protection certificates, registration or confirmation patents, patents resulting from post-grant proceedings, re-issues and re-examinations; (d) other patents or patent applications claiming and entitled to claim priority to (i) such patents and patent applications and any patent or patent application specified in (a), (b) or (c), or (ii) any patent or patent application from which such patents and patent applications or a patent or patent application specified in (a), (b) or (c) claims and is entitled to claim priority; (d) all rights of priority attendant to such patents and patent applications and any of the patents and patent applications listed in (a) through (c); and (e) in each case of such patents and patent applications and of the patents and patent applications described in (a) through (d), including all counterparts and foreign equivalents thereof filed in any country, territory or jurisdiction in the world.</w:t>
      </w:r>
    </w:p>
    <w:p>
      <w:pPr>
        <w:spacing w:after="0" w:line="188"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or any corporation, company, partnership, joint venture, firm or other entity, including a Party, or any government or agency or political subdivision thereof.</w:t>
      </w:r>
    </w:p>
    <w:p>
      <w:pPr>
        <w:spacing w:after="0" w:line="15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Phase I Clinical Trial</w:t>
      </w:r>
      <w:r>
        <w:rPr>
          <w:rFonts w:ascii="Times New Roman" w:cs="Times New Roman" w:eastAsia="Times New Roman" w:hAnsi="Times New Roman"/>
          <w:sz w:val="17"/>
          <w:szCs w:val="17"/>
          <w:color w:val="auto"/>
        </w:rPr>
        <w:t>” means, as to a Licensed Product,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Phase II Clinical Trial</w:t>
      </w:r>
      <w:r>
        <w:rPr>
          <w:rFonts w:ascii="Times New Roman" w:cs="Times New Roman" w:eastAsia="Times New Roman" w:hAnsi="Times New Roman"/>
          <w:sz w:val="17"/>
          <w:szCs w:val="17"/>
          <w:color w:val="auto"/>
        </w:rPr>
        <w:t>” means, as to a Licensed Product, [***].</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Phase III Clinical Trial</w:t>
      </w:r>
      <w:r>
        <w:rPr>
          <w:rFonts w:ascii="Times New Roman" w:cs="Times New Roman" w:eastAsia="Times New Roman" w:hAnsi="Times New Roman"/>
          <w:sz w:val="17"/>
          <w:szCs w:val="17"/>
          <w:color w:val="auto"/>
        </w:rPr>
        <w:t>” means, as to a Licensed Product, [***].</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Pro Rata Basis</w:t>
      </w:r>
      <w:r>
        <w:rPr>
          <w:rFonts w:ascii="Times New Roman" w:cs="Times New Roman" w:eastAsia="Times New Roman" w:hAnsi="Times New Roman"/>
          <w:sz w:val="18"/>
          <w:szCs w:val="18"/>
          <w:color w:val="auto"/>
        </w:rPr>
        <w:t>” means allocated among DKFZ and UFE in such proportion such that DKFZ holds [***] and UFE holds [***] of any such amount.</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color w:val="auto"/>
        </w:rPr>
        <w:t>Prosecution and Maintenance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Prosecute and Maintain</w:t>
      </w:r>
      <w:r>
        <w:rPr>
          <w:rFonts w:ascii="Times New Roman" w:cs="Times New Roman" w:eastAsia="Times New Roman" w:hAnsi="Times New Roman"/>
          <w:sz w:val="18"/>
          <w:szCs w:val="18"/>
          <w:color w:val="auto"/>
        </w:rPr>
        <w:t>” means, with respect to the applicable Patent Rights, the preparation, filing, prosecution and maintenance of such Patent Rights, as well as re-examinations, reissues, appeals, and requests for patent term adjustments and patent term extensions with respect to such Patent Rights, together with the initiation or defense of interferences, the initiation or defense of oppositions, post grant review, and other similar proceedings with respect to the particular Patent Rights, and any appeals therefrom. For clarification, “Prosecution and Maintenance” or “Prosecute and Maintain” shall not include any other enforcement actions taken with respect to Patent Rights.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626" w:name="page627"/>
    <w:bookmarkEnd w:id="626"/>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1.45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NDA or comparable filing in the United States or approval of a comparable filing in any other country or jurisdiction, including a marketing authorization approval by the EMA.</w:t>
      </w:r>
    </w:p>
    <w:p>
      <w:pPr>
        <w:spacing w:after="0" w:line="176"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Licensee’s Affiliates, Sublicensees, and Third Parties granted rights by Licensee or its Affiliates with respect to Licensed Products.</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shall mean with respect to a Licensed Product in a country, the period commencing on the date of First Commercial Sale of such Licensed Product in such country and ending on the later of (i) the expiration or termination of the last to expire Valid Claim of a patent covering the researching, developing, making, having made, using, selling, having sold, offering for sale, exporting or importing of such Licensed Product in such country and (ii) [***] of the date of First Commercial Sale of such Licensed Product in such country, [***].</w:t>
      </w:r>
    </w:p>
    <w:p>
      <w:pPr>
        <w:spacing w:after="0" w:line="176"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Sale Proceeds</w:t>
      </w:r>
      <w:r>
        <w:rPr>
          <w:rFonts w:ascii="Times New Roman" w:cs="Times New Roman" w:eastAsia="Times New Roman" w:hAnsi="Times New Roman"/>
          <w:sz w:val="18"/>
          <w:szCs w:val="18"/>
          <w:color w:val="auto"/>
        </w:rPr>
        <w:t>” means the net consideration (after deduction of (a) any commissions, fees, expenses and other charges incurred by Licensee on an arm’s length basis with any non-Affiliate or non-Cullinan Affiliate Person, (b) any fees and expenses incurred on behalf of Licensee under the terms of any management services agreement between Licensee and an Affiliate of Licensee or a Cullinan Affiliate Person and (c) any transaction bonuses, retention payments and other similar compensation, and expense reimbursements in the ordinary course, paid to employees of or consultants to Licensee) actually received by Licensee or any shareholder of Licensee (other than amounts allocable to any equity of Licensee held by Subscribers) in a First Change of Control, including, when and as received, (i) any net consideration received by Licensee or any shareholder of Licensee in such First Change of Control after the date of consummation of such First Change of Control, including milestone payments, royalties, escrow payments released back or refunded, earnout payments and other contingent payments (other than amounts allocable to any equity of Licensee held by Subscribers), and (ii) any net consideration received by Licensee or any shareholder of Licensee in each transaction that is a part of a First Change of Control that is a series of related transactions.</w:t>
      </w:r>
    </w:p>
    <w:p>
      <w:pPr>
        <w:spacing w:after="0" w:line="18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Sublicensee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xml:space="preserve">” means collectively the Subscription Agreements in the applicable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entered into by and between Licensee and the applicable Subscriber in connection with the issuance of equity securities by Licensee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7" w:right="459" w:bottom="1440" w:gutter="0" w:footer="0" w:header="0"/>
        </w:sectPr>
      </w:pPr>
    </w:p>
    <w:bookmarkStart w:id="627" w:name="page628"/>
    <w:bookmarkEnd w:id="627"/>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Subscribers</w:t>
      </w:r>
      <w:r>
        <w:rPr>
          <w:rFonts w:ascii="Times New Roman" w:cs="Times New Roman" w:eastAsia="Times New Roman" w:hAnsi="Times New Roman"/>
          <w:sz w:val="17"/>
          <w:szCs w:val="17"/>
          <w:color w:val="auto"/>
        </w:rPr>
        <w:t>” means DKFZ and UFE.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Technical Information</w:t>
      </w:r>
      <w:r>
        <w:rPr>
          <w:rFonts w:ascii="Times New Roman" w:cs="Times New Roman" w:eastAsia="Times New Roman" w:hAnsi="Times New Roman"/>
          <w:sz w:val="18"/>
          <w:szCs w:val="18"/>
          <w:color w:val="auto"/>
        </w:rPr>
        <w:t xml:space="preserve">” means all non-public Know-How Controlled by Licensor that is reasonably necessary to enable skilled employees of Licensee to use the Licensed IP Rights pursuant to the licenses granted herein and/or to use the Technology Transfer Materials, including any information described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Technology Transfer Materials</w:t>
      </w:r>
      <w:r>
        <w:rPr>
          <w:rFonts w:ascii="Times New Roman" w:cs="Times New Roman" w:eastAsia="Times New Roman" w:hAnsi="Times New Roman"/>
          <w:sz w:val="18"/>
          <w:szCs w:val="18"/>
          <w:color w:val="auto"/>
        </w:rPr>
        <w:t>” means embodiments of the Licensed Patent Rights and Licensed Know-How, including nucleic acids, proteins, plasmids and cell lines, reasonably necessary to enable skilled employees of or consultants to Licensee to use the Licensed IP Rights pursuant to the licenses granted herein.</w:t>
      </w:r>
    </w:p>
    <w:p>
      <w:pPr>
        <w:spacing w:after="0" w:line="17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means the term of this Agreement as provided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worldwide.</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Person other than a Party or any of its Affiliates.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a pending claim of a patent application included within the Licensed Patent Rights that has been neither abandoned, nor finally rejected without the possibility of appeal or refiling or without such appeal having been taken or refiling having been made within the applicable time so allowed, nor pending for more than [***] years from the priority date of such patent application or (b) an issued and unexpired claim of a patent included within the Licensed Patent Rights that has not been (i) abandoned or disclaimed or rendered unenforceable through disclaimer or otherwise or (ii) permanently revoked, withdrawn, canceled or disclaimed or held unenforceable, unpatentable, or invalid by a court or governmental authority of competent jurisdiction in an unappealable decision or unappealed in the time allowed for appeal.</w:t>
      </w:r>
    </w:p>
    <w:p>
      <w:pPr>
        <w:spacing w:after="0" w:line="18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7"/>
          <w:szCs w:val="17"/>
          <w:u w:val="single" w:color="auto"/>
          <w:color w:val="auto"/>
        </w:rPr>
        <w:t>Additional Definitions</w:t>
      </w:r>
      <w:r>
        <w:rPr>
          <w:rFonts w:ascii="Times New Roman" w:cs="Times New Roman" w:eastAsia="Times New Roman" w:hAnsi="Times New Roman"/>
          <w:sz w:val="17"/>
          <w:szCs w:val="17"/>
          <w:color w:val="auto"/>
        </w:rPr>
        <w:t>. Each of the following definitions is set forth in the section of this Agreement indicated below:</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Definition</w:t>
            </w:r>
          </w:p>
        </w:tc>
        <w:tc>
          <w:tcPr>
            <w:tcW w:w="22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Section</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Anti-Dilution Shares</w:t>
            </w:r>
          </w:p>
        </w:tc>
        <w:tc>
          <w:tcPr>
            <w:tcW w:w="3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20" w:type="dxa"/>
            <w:vAlign w:val="bottom"/>
            <w:gridSpan w:val="2"/>
            <w:vMerge w:val="continue"/>
          </w:tcPr>
          <w:p>
            <w:pPr>
              <w:spacing w:after="0"/>
              <w:rPr>
                <w:sz w:val="19"/>
                <w:szCs w:val="19"/>
                <w:color w:val="auto"/>
              </w:rPr>
            </w:pPr>
          </w:p>
        </w:tc>
        <w:tc>
          <w:tcPr>
            <w:tcW w:w="39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30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Bankruptcy Code</w:t>
            </w:r>
          </w:p>
        </w:tc>
        <w:tc>
          <w:tcPr>
            <w:tcW w:w="398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2.5(a)</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Cullinan Affiliate Persons</w:t>
            </w:r>
          </w:p>
        </w:tc>
        <w:tc>
          <w:tcPr>
            <w:tcW w:w="4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Deemed Calculation</w:t>
            </w:r>
          </w:p>
        </w:tc>
        <w:tc>
          <w:tcPr>
            <w:tcW w:w="4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Enforcement Notice</w:t>
            </w:r>
          </w:p>
        </w:tc>
        <w:tc>
          <w:tcPr>
            <w:tcW w:w="39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5.3(b)</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Enforcement Right</w:t>
            </w:r>
          </w:p>
        </w:tc>
        <w:tc>
          <w:tcPr>
            <w:tcW w:w="39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5.3(b)</w:t>
            </w: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628" w:name="page629"/>
    <w:bookmarkEnd w:id="6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91"/>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Definition</w:t>
            </w:r>
          </w:p>
        </w:tc>
        <w:tc>
          <w:tcPr>
            <w:tcW w:w="62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w:t>
            </w:r>
          </w:p>
        </w:tc>
      </w:tr>
      <w:tr>
        <w:trPr>
          <w:trHeight w:val="221"/>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Indemnified Party</w:t>
            </w:r>
          </w:p>
        </w:tc>
        <w:tc>
          <w:tcPr>
            <w:tcW w:w="4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8.3</w:t>
            </w:r>
          </w:p>
        </w:tc>
        <w:tc>
          <w:tcPr>
            <w:tcW w:w="220" w:type="dxa"/>
            <w:vAlign w:val="bottom"/>
          </w:tcPr>
          <w:p>
            <w:pPr>
              <w:spacing w:after="0"/>
              <w:rPr>
                <w:sz w:val="19"/>
                <w:szCs w:val="19"/>
                <w:color w:val="auto"/>
              </w:rPr>
            </w:pPr>
          </w:p>
        </w:tc>
      </w:tr>
      <w:tr>
        <w:trPr>
          <w:trHeight w:val="30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Indemnifying Party</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Joint Inventions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Joint Patent Rights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Benchmark</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3.1(b)</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Date</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3.1(b)</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PhD Research</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PhD Student</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Prosecuting Party</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5.2(b)</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Publication</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 Filing</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6.5(d)</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4.2(a)</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Party Payments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4.4(a)</w:t>
            </w:r>
          </w:p>
        </w:tc>
      </w:tr>
    </w:tbl>
    <w:p>
      <w:pPr>
        <w:spacing w:after="0" w:line="200" w:lineRule="exact"/>
        <w:rPr>
          <w:sz w:val="20"/>
          <w:szCs w:val="20"/>
          <w:color w:val="auto"/>
        </w:rPr>
      </w:pPr>
    </w:p>
    <w:p>
      <w:pPr>
        <w:spacing w:after="0" w:line="2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Grant of License; Technology Transfer</w:t>
      </w:r>
    </w:p>
    <w:p>
      <w:pPr>
        <w:spacing w:after="0" w:line="9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 xml:space="preserve">. Licensor hereby grants to Licensee (i) an exclusive (even as to Licensor, UFE and its and their Affiliates), worldwide, milestone- and royalty-bearing, license under the Licensed IP Rights, with the right to grant sublicenses through multiple tiers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to research, develop, make, have made, use, sell, have sold, offer to sell, import, export, Commercialize or otherwise exploit Licensed Products, itself and through its Affiliates and Third Parties, within the Field.</w:t>
      </w:r>
    </w:p>
    <w:p>
      <w:pPr>
        <w:spacing w:after="0" w:line="18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371"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shall have the right to grant sublicenses under the license granted to it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to Affiliates and Third Parties (each, a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xml:space="preserve">”) through multiple tiers;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sublicense granted to a Third Party shall be pursuant to a written agreement and each sublicense shall be subject to all relevant provisions, restrictions and limitations set forth in this Agreement and (ii) any such sublicense shall be granted for consideration negotiated by the parties on an arm’s length basis. Licensee shall be responsible for each of its Sublicensee’s complying with all obligations of Licensee under this Agreement that are applicable to sublicenses.</w:t>
      </w:r>
    </w:p>
    <w:p>
      <w:pPr>
        <w:spacing w:after="0" w:line="1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440" w:top="266" w:right="919" w:bottom="1440" w:gutter="0" w:footer="0" w:header="0"/>
        </w:sectPr>
      </w:pPr>
    </w:p>
    <w:bookmarkStart w:id="629" w:name="page630"/>
    <w:bookmarkEnd w:id="629"/>
    <w:p>
      <w:pPr>
        <w:jc w:val="both"/>
        <w:ind w:right="40" w:firstLine="987"/>
        <w:spacing w:after="0" w:line="258" w:lineRule="auto"/>
        <w:tabs>
          <w:tab w:leader="none" w:pos="1381"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this Agreement is terminated for any reason other than by Licensee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(Termination for Convenience), then, at the option of any Sublicensee not in default of the applicable sublicense (or any provision of this Agreement applicable to such Sublicensee) and subject to the prior written consent of Licensor, not to be unreasonably withheld, conditioned or delayed, it shall become a direct licensee under, and subject to the terms and conditions of, this Agreement, subject only to modifications with respect to territory, field and exclusivity so as to accommodate all such Sublicensees and without application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any such Sublicensee.</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Licensee may exercise or perform, or have exercised or performed on its behalf, some or all of its rights or obligations under this Agreement by one or more of Licensee’s Affiliates. Licensee shall be responsible for each of its Affiliates’ compliance with all obligations of Licensee under this Agreement.</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Licensee may exercise or perform some or all of its rights or obligations under this Agreement by subcontracting the exercise or performance of all or any portion of such rights and obligations on Licensee’s behalf, provided that Licensee shall be responsible for each of its subcontractors complying with all obligations of Licensee under this Agreement.</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Section 365(n) of the Bankruptcy Code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987"/>
        <w:spacing w:after="0" w:line="256" w:lineRule="auto"/>
        <w:tabs>
          <w:tab w:leader="none" w:pos="1361"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licenses granted under or pursuant to any section of this Agreement are and will otherwise be deemed to be for purposes of Section 365(n) of the United States Bankruptcy Code (Title 11, U.S. Code), as amended or any comparable Law outside the United States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licenses of rights to “intellectual property” as defined in Section 101(35A) of the Bankruptcy Code. Licensor agrees that Licensee, as licensee of such rights under this Agreement, will retain and may fully exercise all of its rights and elections under the Bankruptcy Code or any other provisions of Law outside the United States that provide similar protection for “intellectual property.” Any agreement supplemental hereto will be deemed to be “agreements supplementary to” this Agreement for purposes of Section 365(n) of the Bankruptcy Code.</w:t>
      </w:r>
    </w:p>
    <w:p>
      <w:pPr>
        <w:spacing w:after="0" w:line="187" w:lineRule="exact"/>
        <w:rPr>
          <w:rFonts w:ascii="Times New Roman" w:cs="Times New Roman" w:eastAsia="Times New Roman" w:hAnsi="Times New Roman"/>
          <w:sz w:val="18"/>
          <w:szCs w:val="18"/>
          <w:color w:val="auto"/>
        </w:rPr>
      </w:pPr>
    </w:p>
    <w:p>
      <w:pPr>
        <w:ind w:right="140" w:firstLine="987"/>
        <w:spacing w:after="0" w:line="254" w:lineRule="auto"/>
        <w:tabs>
          <w:tab w:leader="none" w:pos="1381"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as a result of bankruptcy, insolvency, or other similar proceeding by or against Licensor, Licensee is unable to obtain or retain the licenses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Agreement under Section 365(n) of the Bankruptcy Code or provisions of applicable federal, state or foreign law analogous to Section 365(n) of the Bankruptcy Code, Licensee shall have a right to purchase Licensor’s right, title and interest in and to the Licensed IP Rights at fair market value, provided that Licensee gives Licensor written notice of such intention no later than four (4) weeks after Licensee becomes aware of the commencement of such bankruptcy proceeding. The fair market value of the Licensed IP Rights shall be determined by an assessment made by a mutually agreed upon third party, or, if the Parties do not agree within thirty (30) days of Licensee’s written notice, a third party reasonably selected by Licensee with a background in conducting such assessments. The costs of any such assessment shall be borne equally by the Parties.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630" w:name="page631"/>
    <w:bookmarkEnd w:id="630"/>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Technology Transfer</w:t>
      </w:r>
      <w:r>
        <w:rPr>
          <w:rFonts w:ascii="Times New Roman" w:cs="Times New Roman" w:eastAsia="Times New Roman" w:hAnsi="Times New Roman"/>
          <w:sz w:val="18"/>
          <w:szCs w:val="18"/>
          <w:color w:val="auto"/>
        </w:rPr>
        <w:t xml:space="preserve">. Promptly following the Effective Date and payment by Licensee of the amount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Licensor will convey to Licensee the Technical Information and Technology Transfer Materials in the Control of any Inventor as of the Effective Date that have not been conveyed to Licensee prior to the Effective Date in connection with the Exclusive Option Agreement. During the Term, Licensor will from time to time promptly convey to Licensee any additional Technical Information and Technology Transfer Materials that are generated, developed, invented or conceived by any Inventor or that come under the Control of any Inventor after the Effective Date. Licensor will also provide Licensee with reasonable, mutually agreed upon access (which may include, at Licensee’s request, access by phone or in person at Licensor’s facilities or at Licensee’s facilities) to Licensor personnel involved in the research and development of any Licensed IP Rights in order to enable skilled employees of or consultants to Licensee to practice the licenses granted herein. Licensor shall not be required to incur any out-of-pocket expenses to conduct any of the above transfers or provide technical assistance; any such reasonable, documented expenses shall be reimbursed by Licensee.</w:t>
      </w:r>
    </w:p>
    <w:p>
      <w:pPr>
        <w:spacing w:after="0" w:line="188"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Additional Covenants</w:t>
      </w:r>
      <w:r>
        <w:rPr>
          <w:rFonts w:ascii="Times New Roman" w:cs="Times New Roman" w:eastAsia="Times New Roman" w:hAnsi="Times New Roman"/>
          <w:sz w:val="17"/>
          <w:szCs w:val="17"/>
          <w:color w:val="auto"/>
        </w:rPr>
        <w:t xml:space="preserve">. During the Term, except in connection with the fulfillment of any obligations of Licensor to Licensee under this Agreement or another written agreement between the Parties, Licensor shall not permit either of the Inventors to, research, develop, manufacture, use, import, export, offer to sell, sell, have sold or Commercialize any Competitive Product, and shall not grant any Third Party any right or license, or any option or other right to acquire a right or license, to research, develop, make, have made, use, import, export, offer to sell, sell, have sold or Commercialize any Competitive Product anywhere in the world. For clarity,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imposes no restrictions on any employee or member of the faculty or staff of Licensor, other than the Inventors. The Parties agree that the provisions of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do not restrict customary supervision by [***].</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Permitted Research</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to the contrary, if during the Term, Licensee approves the conduct of any research of a Competitive Product as proposed by the Inventors, such approval shall be set forth in a written agreement signed by Licensee and Licensor that sets forth in reasonable detail the scope of such research. Any such research shall be strictly non-commercial, and no Third Party shall have any rights in or to the results of such research. Licensor shall provide Licensee with semi-annual, written reports of planned experiments within the scope of the approved research and the results of completed experiment. The Parties agree that the provisions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do not require a further written approval by Licensee in connection with the conduct of the PhD Research by the PhD Student, and that in lieu of the semi-annual reports provided above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Licensor shall provide Licensee with a copy of the final results of the PhD Research, including a copy of the resulting thesis as submitted by the Student. Any publications related to such approved research or the PhD Research or the results thereof shall be subject to pre-publication review and delay on the terms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1" w:right="479" w:bottom="1440" w:gutter="0" w:footer="0" w:header="0"/>
        </w:sectPr>
      </w:pPr>
    </w:p>
    <w:bookmarkStart w:id="631" w:name="page632"/>
    <w:bookmarkEnd w:id="6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Development and Commercialization</w:t>
      </w:r>
    </w:p>
    <w:p>
      <w:pPr>
        <w:spacing w:after="0" w:line="20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Diligence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987"/>
        <w:spacing w:after="0" w:line="261" w:lineRule="auto"/>
        <w:tabs>
          <w:tab w:leader="none" w:pos="1371"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Licensee shall use commercially reasonable efforts, either itself or through its Affiliates and Sublicensees, to research and develop [***] Licensed Product for use in the Field and to obtain Regulatory Approval of [***] Licensed Product for use in the Field in a country in the Territory. For each Licensed Product that obtains Regulatory Approval in a country in the Territory, Licensee shall use commercially reasonable efforts to make such product available to patients.</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381"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w:t>
      </w:r>
      <w:r>
        <w:rPr>
          <w:rFonts w:ascii="Times New Roman" w:cs="Times New Roman" w:eastAsia="Times New Roman" w:hAnsi="Times New Roman"/>
          <w:sz w:val="18"/>
          <w:szCs w:val="18"/>
          <w:color w:val="auto"/>
        </w:rPr>
        <w:t xml:space="preserve">. Licensee shall achieve, either itself or through its Affiliates and Sublicensees, each of the benchmarks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Performance Benchmark</w:t>
      </w:r>
      <w:r>
        <w:rPr>
          <w:rFonts w:ascii="Times New Roman" w:cs="Times New Roman" w:eastAsia="Times New Roman" w:hAnsi="Times New Roman"/>
          <w:sz w:val="18"/>
          <w:szCs w:val="18"/>
          <w:color w:val="auto"/>
        </w:rPr>
        <w:t xml:space="preserve">”) by the date specified for such benchmark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Performance Date</w:t>
      </w:r>
      <w:r>
        <w:rPr>
          <w:rFonts w:ascii="Times New Roman" w:cs="Times New Roman" w:eastAsia="Times New Roman" w:hAnsi="Times New Roman"/>
          <w:sz w:val="18"/>
          <w:szCs w:val="18"/>
          <w:color w:val="auto"/>
        </w:rPr>
        <w:t>”). If a Performance Benchmark is not achieved by the applicable Performance Date, Licensee may, at its option, extend the Performance Date for achievement of such Performance Benchmark by [***] by providing written notice to Licensor, such notice setting forth in reasonable detail the reasons for such delay and a plan for achieving such Performance Benchmark, and paying to Licensor a non-refundable, non-creditable extension fee of [***] per each such extension. Licensee may extend the Performance Date for any single Performance Benchmark up to [***] times; provided that the total number of extensions available under this Agreement is [***] extensions. The extension of the Performance Date for a Performance Benchmark shall also extend, automatically and without further action or payment by Licensee, all subsequent Performance Dates for subsequent Performance Benchmarks. If a Performance Benchmark is not achieved by the applicable Performance Date as adjusted to the maximum extent provided above in this Section 3.1(b), Licensee may seek a further extension by providing written notice to Licensor, such notice setting forth in reasonable detail the reasons for such delay and a plan for achieving such Performance Benchmark, and any such extension shall be subject to the prior written approval of Licensor, such approval not to be unreasonably withheld or delayed.</w:t>
      </w:r>
    </w:p>
    <w:p>
      <w:pPr>
        <w:spacing w:after="0" w:line="190"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Progress Reports</w:t>
      </w:r>
      <w:r>
        <w:rPr>
          <w:rFonts w:ascii="Times New Roman" w:cs="Times New Roman" w:eastAsia="Times New Roman" w:hAnsi="Times New Roman"/>
          <w:sz w:val="17"/>
          <w:szCs w:val="17"/>
          <w:color w:val="auto"/>
        </w:rPr>
        <w:t>. Until the First Commercial Sale of a Licensed Product in any country, for so long as Licensee or any of its Affiliates or Sublicensees is developing Licensed Products, Licensee shall provide, within [***] after the end of each Calendar Year, a written progress report to Licensor that summarizes in reasonable detail the status of Licensee’s development efforts with respect to Licensed Products during such Calendar Year.</w:t>
      </w:r>
    </w:p>
    <w:p>
      <w:pPr>
        <w:spacing w:after="0" w:line="15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Licensee shall, and shall ensure that its Affiliates and Sublicensees, and its and their subcontractors, conduct all development, manufacture and Commercialization of Licensed Products in compliance with all Laws.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Clinical Sites</w:t>
      </w:r>
      <w:r>
        <w:rPr>
          <w:rFonts w:ascii="Times New Roman" w:cs="Times New Roman" w:eastAsia="Times New Roman" w:hAnsi="Times New Roman"/>
          <w:sz w:val="18"/>
          <w:szCs w:val="18"/>
          <w:color w:val="auto"/>
        </w:rPr>
        <w:t>. Licensee shall use commercially reasonable efforts to offer DKFZ and/or University of T</w:t>
      </w:r>
      <w:r>
        <w:rPr>
          <w:rFonts w:ascii="Times New Roman" w:cs="Times New Roman" w:eastAsia="Times New Roman" w:hAnsi="Times New Roman"/>
          <w:sz w:val="18"/>
          <w:szCs w:val="18"/>
          <w:u w:val="single" w:color="auto"/>
          <w:color w:val="auto"/>
        </w:rPr>
        <w:t>ü</w:t>
      </w:r>
      <w:r>
        <w:rPr>
          <w:rFonts w:ascii="Times New Roman" w:cs="Times New Roman" w:eastAsia="Times New Roman" w:hAnsi="Times New Roman"/>
          <w:sz w:val="18"/>
          <w:szCs w:val="18"/>
          <w:color w:val="auto"/>
        </w:rPr>
        <w:t>bingen an opportunity to act as clinical trial sites in each clinical trial of a Licensed Product that will be conducted under a Clinical Trial Application (“CTA”) in the European Union. DKFZ and University of Tübingen acknowledge and agree that such efforts of Licensee are not a guarantee that DKFZ and/or University of Tübingen will, in fact, be chosen as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632" w:name="page633"/>
    <w:bookmarkEnd w:id="63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clinical trial sites, and that any selection of DKFZ and/or University of Tübingen as clinical trial sites is subject to a determination of the suitability in all respects of DKFZ and/or University of Tübingen to act as a clinical trial site for such clinical trial. The rights of DKFZ and University of Tübingen set forth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terminate and be of no further force or effect immediately before the closing of the First Change of Control.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and Payment Terms</w:t>
      </w:r>
    </w:p>
    <w:p>
      <w:pPr>
        <w:spacing w:after="0" w:line="20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Option Exercise Payment</w:t>
      </w:r>
      <w:r>
        <w:rPr>
          <w:rFonts w:ascii="Times New Roman" w:cs="Times New Roman" w:eastAsia="Times New Roman" w:hAnsi="Times New Roman"/>
          <w:sz w:val="17"/>
          <w:szCs w:val="17"/>
          <w:color w:val="auto"/>
        </w:rPr>
        <w:t>. Licensee shall pay to Licensor a non-refundable, non-creditable option exercise fee Six Hundred Thousand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($600,000). Licensor shall provide an invoice for such option exercise fee promptly upon request of Licensee.</w:t>
      </w:r>
    </w:p>
    <w:p>
      <w:pPr>
        <w:spacing w:after="0" w:line="20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Equity.</w:t>
      </w:r>
    </w:p>
    <w:p>
      <w:pPr>
        <w:spacing w:after="0" w:line="225" w:lineRule="exact"/>
        <w:rPr>
          <w:sz w:val="20"/>
          <w:szCs w:val="20"/>
          <w:color w:val="auto"/>
        </w:rPr>
      </w:pPr>
    </w:p>
    <w:p>
      <w:pPr>
        <w:jc w:val="both"/>
        <w:ind w:right="20" w:firstLine="987"/>
        <w:spacing w:after="0" w:line="256" w:lineRule="auto"/>
        <w:tabs>
          <w:tab w:leader="none" w:pos="1371"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Issuances</w:t>
      </w:r>
      <w:r>
        <w:rPr>
          <w:rFonts w:ascii="Times New Roman" w:cs="Times New Roman" w:eastAsia="Times New Roman" w:hAnsi="Times New Roman"/>
          <w:sz w:val="18"/>
          <w:szCs w:val="18"/>
          <w:color w:val="auto"/>
        </w:rPr>
        <w:t>. In accordance with the terms of the Subscription Agreements, as applicable, Licensee has issued to Subscribers, on or before the Effective Date and as partial consideration for the licenses granted hereunder, 725,118 shares of common stock of Licensee (which shares shall be allocated among DKFZ and UFE on a Pro Rata Basis), representing collectively eight percent (8%) of Licensee’s outstanding capital stock on a Fully-Diluted Basis as of the date of such issuance after giving effect to such issuance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For clarity, University of Tübingen, as a Licensor, has agreed that any rights to receive its portion of the Shares as consideration as a Licensor shall be provided to UFE and UFE shall hold [***] % of the Shares instead of University of Tübingen. The Parties agree that the Shares have a value as of the Effective Date of $[***].</w:t>
      </w:r>
    </w:p>
    <w:p>
      <w:pPr>
        <w:spacing w:after="0" w:line="187" w:lineRule="exact"/>
        <w:rPr>
          <w:rFonts w:ascii="Times New Roman" w:cs="Times New Roman" w:eastAsia="Times New Roman" w:hAnsi="Times New Roman"/>
          <w:sz w:val="18"/>
          <w:szCs w:val="18"/>
          <w:color w:val="auto"/>
        </w:rPr>
      </w:pPr>
    </w:p>
    <w:p>
      <w:pPr>
        <w:ind w:right="100" w:firstLine="987"/>
        <w:spacing w:after="0" w:line="256" w:lineRule="auto"/>
        <w:tabs>
          <w:tab w:leader="none" w:pos="1381"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Member</w:t>
      </w:r>
      <w:r>
        <w:rPr>
          <w:rFonts w:ascii="Times New Roman" w:cs="Times New Roman" w:eastAsia="Times New Roman" w:hAnsi="Times New Roman"/>
          <w:sz w:val="18"/>
          <w:szCs w:val="18"/>
          <w:color w:val="auto"/>
        </w:rPr>
        <w:t xml:space="preserve">. For so long as Subscribers hold of record at least [***] of the shares of capital stock issued to Subscribers in accordance with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DKFZ and UFE, acting jointly, shall have the right to appoint [***] to serve as a voting member of the Board, subject to the provisions of this Agreement or any voting or investors’ rights agreement to which Subscribers become a party, provided that at such time as Licensee has issued debt, equity, derivative or convertible securities in a financing of Licensee after the achievement of the Financing Threshold, such right to appoint such representative shall expire and service of such representative shall continue at the discretion of the Board and stockholders of Licensee.</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Licensee shall pay to Licensor non-refundable, non-creditable milestone payments in the following amounts after the occurrence of the following events, whether triggered by Licensee, its Affiliates or Sublicensees in connection with the first achievement by a Licensed Product of the respective milestones set forth below:</w:t>
      </w:r>
    </w:p>
    <w:p>
      <w:pPr>
        <w:spacing w:after="0" w:line="19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Milestone Event</w:t>
            </w:r>
          </w:p>
        </w:tc>
        <w:tc>
          <w:tcPr>
            <w:tcW w:w="540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Milestone Payment</w:t>
            </w: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gridSpan w:val="2"/>
            <w:shd w:val="clear" w:color="auto" w:fill="CCEEFF"/>
          </w:tcPr>
          <w:p>
            <w:pPr>
              <w:ind w:left="54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960" w:type="dxa"/>
            <w:vAlign w:val="bottom"/>
          </w:tcPr>
          <w:p>
            <w:pPr>
              <w:spacing w:after="0"/>
              <w:rPr>
                <w:sz w:val="24"/>
                <w:szCs w:val="24"/>
                <w:color w:val="auto"/>
              </w:rPr>
            </w:pPr>
          </w:p>
        </w:tc>
        <w:tc>
          <w:tcPr>
            <w:tcW w:w="54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r>
    </w:tbl>
    <w:p>
      <w:pPr>
        <w:sectPr>
          <w:pgSz w:w="11900" w:h="16838" w:orient="portrait"/>
          <w:cols w:equalWidth="0" w:num="1">
            <w:col w:w="11000"/>
          </w:cols>
          <w:pgMar w:left="440" w:top="271" w:right="459" w:bottom="1440" w:gutter="0" w:footer="0" w:header="0"/>
        </w:sectPr>
      </w:pPr>
    </w:p>
    <w:bookmarkStart w:id="633" w:name="page634"/>
    <w:bookmarkEnd w:id="633"/>
    <w:p>
      <w:pPr>
        <w:ind w:left="1360" w:hanging="373"/>
        <w:spacing w:after="0"/>
        <w:tabs>
          <w:tab w:leader="none" w:pos="136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the milestone events set forth above, [***].</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381"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milestone payments shall be due and payable within [***] after the occurrence of the applicable event by Licensee or its Affiliates and within [***] after the occurrence of the applicable event by a Sublicensee. Licensor shall provide an invoice for each milestone payment promptly upon request of Licensee.</w:t>
      </w:r>
    </w:p>
    <w:p>
      <w:pPr>
        <w:spacing w:after="0" w:line="17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foregoing milestone payments is paid one time only, and the aggregate amount of all milestones payments payable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is [***].</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xml:space="preserve">. Subject to the adjustments provided in </w:t>
      </w:r>
      <w:r>
        <w:rPr>
          <w:rFonts w:ascii="Times New Roman" w:cs="Times New Roman" w:eastAsia="Times New Roman" w:hAnsi="Times New Roman"/>
          <w:sz w:val="18"/>
          <w:szCs w:val="18"/>
          <w:u w:val="single" w:color="auto"/>
          <w:color w:val="auto"/>
        </w:rPr>
        <w:t>Sections 4.4(a)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4.4(b)</w:t>
      </w:r>
      <w:r>
        <w:rPr>
          <w:rFonts w:ascii="Times New Roman" w:cs="Times New Roman" w:eastAsia="Times New Roman" w:hAnsi="Times New Roman"/>
          <w:sz w:val="18"/>
          <w:szCs w:val="18"/>
          <w:color w:val="auto"/>
        </w:rPr>
        <w:t xml:space="preserve"> below and the limitations provided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below, Licensee shall pay to Licensor a running royalty on Net Sales of each Licensed Product in each country in the Territory during the applicable Royalty Term for such Licensed Product in such country, with the royalty percentage calculated on a Licensed Product-by-Licensed Product basis in accordance with the table set forth below within [***] following the last day of the Calendar Year in which such royalty accrues:</w:t>
      </w:r>
    </w:p>
    <w:p>
      <w:pPr>
        <w:spacing w:after="0" w:line="19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For that portion of worldwide Net Sales of a Licensed Product in such calendar year on a Licensed</w:t>
            </w:r>
          </w:p>
        </w:tc>
        <w:tc>
          <w:tcPr>
            <w:tcW w:w="116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Royalty</w:t>
            </w:r>
          </w:p>
        </w:tc>
      </w:tr>
      <w:tr>
        <w:trPr>
          <w:trHeight w:val="18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Product-by-Licensed Product basis that is:</w:t>
            </w:r>
          </w:p>
        </w:tc>
        <w:tc>
          <w:tcPr>
            <w:tcW w:w="116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Percentage</w:t>
            </w:r>
          </w:p>
        </w:tc>
      </w:tr>
      <w:tr>
        <w:trPr>
          <w:trHeight w:val="203"/>
        </w:trPr>
        <w:tc>
          <w:tcPr>
            <w:tcW w:w="56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than or equal to [***]</w:t>
            </w:r>
          </w:p>
        </w:tc>
        <w:tc>
          <w:tcPr>
            <w:tcW w:w="1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w:t>
            </w:r>
          </w:p>
        </w:tc>
        <w:tc>
          <w:tcPr>
            <w:tcW w:w="1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0" w:firstLine="987"/>
        <w:spacing w:after="0" w:line="258" w:lineRule="auto"/>
        <w:tabs>
          <w:tab w:leader="none" w:pos="1371"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Payment Offset</w:t>
      </w:r>
      <w:r>
        <w:rPr>
          <w:rFonts w:ascii="Times New Roman" w:cs="Times New Roman" w:eastAsia="Times New Roman" w:hAnsi="Times New Roman"/>
          <w:sz w:val="18"/>
          <w:szCs w:val="18"/>
          <w:color w:val="auto"/>
        </w:rPr>
        <w:t>. In the event that Licensee, in order to exploit the licenses granted to it under this Agreement, makes running royalty payments on net sales of a Licensed Product in any country to one or more third parties (“</w:t>
      </w:r>
      <w:r>
        <w:rPr>
          <w:rFonts w:ascii="Times New Roman" w:cs="Times New Roman" w:eastAsia="Times New Roman" w:hAnsi="Times New Roman"/>
          <w:sz w:val="18"/>
          <w:szCs w:val="18"/>
          <w:b w:val="1"/>
          <w:bCs w:val="1"/>
          <w:color w:val="auto"/>
        </w:rPr>
        <w:t>Third Party Payments</w:t>
      </w:r>
      <w:r>
        <w:rPr>
          <w:rFonts w:ascii="Times New Roman" w:cs="Times New Roman" w:eastAsia="Times New Roman" w:hAnsi="Times New Roman"/>
          <w:sz w:val="18"/>
          <w:szCs w:val="18"/>
          <w:color w:val="auto"/>
        </w:rPr>
        <w:t xml:space="preserve">”) as consideration for a license to intellectual property rights held by such parties that Company believes in good faith claim are necessary to Commercialize a Licensed Product in such country, Company shall have the right, on a country-by-country basis, to reduce the royalty payments otherwise due to Licensor under this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for such Licensed Product by [***] of such Third Party Payments</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381"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Patent Coverage</w:t>
      </w:r>
      <w:r>
        <w:rPr>
          <w:rFonts w:ascii="Times New Roman" w:cs="Times New Roman" w:eastAsia="Times New Roman" w:hAnsi="Times New Roman"/>
          <w:sz w:val="18"/>
          <w:szCs w:val="18"/>
          <w:color w:val="auto"/>
        </w:rPr>
        <w:t xml:space="preserve">. In the event that a Licensed Product at the time of sale during the Royalty Term in a given country is a Licensed Product due only to the application of clause (ii) of the definition of Licensed Product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not clause (i) thereof, then the royalty rate provided for such Licensed Product in such country shall be reduced by [***] from that set forth in the table above in this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for such portions of the Royalty Term for such Licensed Product in such country.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634" w:name="page635"/>
    <w:bookmarkEnd w:id="634"/>
    <w:p>
      <w:pPr>
        <w:ind w:left="4" w:right="60" w:firstLine="987"/>
        <w:spacing w:after="0" w:line="266" w:lineRule="auto"/>
        <w:tabs>
          <w:tab w:leader="none" w:pos="137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Maximum Reduction</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4.4(b)</w:t>
      </w:r>
      <w:r>
        <w:rPr>
          <w:rFonts w:ascii="Times New Roman" w:cs="Times New Roman" w:eastAsia="Times New Roman" w:hAnsi="Times New Roman"/>
          <w:sz w:val="18"/>
          <w:szCs w:val="18"/>
          <w:color w:val="auto"/>
        </w:rPr>
        <w:t xml:space="preserve"> above to the contrary, in no event shall the aggregate, worldwide royalties due to Licensor for Net Sales of any Licensed Product in a Calendar Year be reduced to an amount less than the amount that would be calculated using the following minimum royalty percentages:</w:t>
      </w:r>
    </w:p>
    <w:p>
      <w:pPr>
        <w:spacing w:after="0" w:line="18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 that portion of Net Sales of a Licensed Product in such calendar year on a Licensed</w:t>
            </w:r>
          </w:p>
        </w:tc>
        <w:tc>
          <w:tcPr>
            <w:tcW w:w="18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0" w:type="dxa"/>
            <w:vAlign w:val="bottom"/>
          </w:tcPr>
          <w:p>
            <w:pPr>
              <w:spacing w:after="0"/>
              <w:rPr>
                <w:sz w:val="1"/>
                <w:szCs w:val="1"/>
                <w:color w:val="auto"/>
              </w:rPr>
            </w:pPr>
          </w:p>
        </w:tc>
      </w:tr>
      <w:tr>
        <w:trPr>
          <w:trHeight w:val="144"/>
        </w:trPr>
        <w:tc>
          <w:tcPr>
            <w:tcW w:w="50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Royalty</w:t>
            </w:r>
          </w:p>
        </w:tc>
        <w:tc>
          <w:tcPr>
            <w:tcW w:w="0" w:type="dxa"/>
            <w:vAlign w:val="bottom"/>
          </w:tcPr>
          <w:p>
            <w:pPr>
              <w:spacing w:after="0"/>
              <w:rPr>
                <w:sz w:val="1"/>
                <w:szCs w:val="1"/>
                <w:color w:val="auto"/>
              </w:rPr>
            </w:pPr>
          </w:p>
        </w:tc>
      </w:tr>
      <w:tr>
        <w:trPr>
          <w:trHeight w:val="182"/>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Product-by-Licensed Product basis that is:</w:t>
            </w:r>
          </w:p>
        </w:tc>
        <w:tc>
          <w:tcPr>
            <w:tcW w:w="180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Percentage</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than or equal to [***]</w:t>
            </w:r>
          </w:p>
        </w:tc>
        <w:tc>
          <w:tcPr>
            <w:tcW w:w="1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w:t>
            </w:r>
          </w:p>
        </w:tc>
        <w:tc>
          <w:tcPr>
            <w:tcW w:w="24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80" w:firstLine="987"/>
        <w:spacing w:after="0" w:line="261" w:lineRule="auto"/>
        <w:tabs>
          <w:tab w:leader="none" w:pos="1385"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Licensee shall deliver to DKFZ within [***] after the end of each Calendar Year beginning with the first Calendar Year for which royalties are due pursuant to this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a royalty report setting forth for such Calendar Year, on a Licensed Product-by-Licensed Product basis, the following: the gross sales of Licensed Product; the Net Sales of Licensed Product; and, if applicable, the currency conversion rates used to convert Net Sales of Licensed Product in currencies other than the US Dollar into US Dollars.</w:t>
      </w:r>
    </w:p>
    <w:p>
      <w:pPr>
        <w:spacing w:after="0" w:line="180"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Success Fee</w:t>
      </w:r>
      <w:r>
        <w:rPr>
          <w:rFonts w:ascii="Times New Roman" w:cs="Times New Roman" w:eastAsia="Times New Roman" w:hAnsi="Times New Roman"/>
          <w:sz w:val="18"/>
          <w:szCs w:val="18"/>
          <w:color w:val="auto"/>
        </w:rPr>
        <w:t>. Upon the First Change of Control, Licensee shall pay a non-refundable, non-creditable “Success Fee” equal to the Sale Proceeds, when and as received (including, in the case of a First Change of Control that is a series of related transactions, when and as received in each transaction that is a part of such First Change of Control), multiplied by the applicable Success Percentage set forth in the table set forth below:</w:t>
      </w:r>
    </w:p>
    <w:p>
      <w:pPr>
        <w:spacing w:after="0" w:line="18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 a First Change of Control that closes:</w:t>
            </w:r>
          </w:p>
        </w:tc>
        <w:tc>
          <w:tcPr>
            <w:tcW w:w="4440" w:type="dxa"/>
            <w:vAlign w:val="bottom"/>
            <w:vMerge w:val="restart"/>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Success</w:t>
            </w:r>
          </w:p>
        </w:tc>
        <w:tc>
          <w:tcPr>
            <w:tcW w:w="0" w:type="dxa"/>
            <w:vAlign w:val="bottom"/>
          </w:tcPr>
          <w:p>
            <w:pPr>
              <w:spacing w:after="0"/>
              <w:rPr>
                <w:sz w:val="1"/>
                <w:szCs w:val="1"/>
                <w:color w:val="auto"/>
              </w:rPr>
            </w:pPr>
          </w:p>
        </w:tc>
      </w:tr>
      <w:tr>
        <w:trPr>
          <w:trHeight w:val="178"/>
        </w:trPr>
        <w:tc>
          <w:tcPr>
            <w:tcW w:w="240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64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w w:val="97"/>
              </w:rPr>
              <w:t>Percentage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Prior to Licensee’s having incurred aggregate expenses since inception of at [***]</w:t>
            </w: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Licensee’s having incurred aggregate expenses since inception of at [***]</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Such payment shall be accompanied by a report setting forth in reasonable detail the calculation of Sale Proceeds. The rights of Licensor set forth in this</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Sections 4.5</w:t>
      </w:r>
      <w:r>
        <w:rPr>
          <w:rFonts w:ascii="Times New Roman" w:cs="Times New Roman" w:eastAsia="Times New Roman" w:hAnsi="Times New Roman"/>
          <w:sz w:val="18"/>
          <w:szCs w:val="18"/>
          <w:color w:val="auto"/>
        </w:rPr>
        <w:t xml:space="preserve"> shall terminate and be of no further force or effect, and no Success Fee shall be due or payable hereunder, upon the earliest to occur of:</w:t>
      </w:r>
    </w:p>
    <w:p>
      <w:pPr>
        <w:spacing w:after="0" w:line="9" w:lineRule="exact"/>
        <w:rPr>
          <w:sz w:val="20"/>
          <w:szCs w:val="20"/>
          <w:color w:val="auto"/>
        </w:rPr>
      </w:pPr>
    </w:p>
    <w:p>
      <w:pPr>
        <w:ind w:left="4" w:right="20" w:hanging="4"/>
        <w:spacing w:after="0" w:line="253" w:lineRule="auto"/>
        <w:tabs>
          <w:tab w:leader="none" w:pos="219"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the consummation of the First IPO, (ii) immediately before Licensee becomes a reporting company under the Securities Exchange Act of 1934, as amended, and the rules and regulations promulgated thereunder; or (iii) immediately after payment of amounts due hereunder in connection with the closing of the First Change of Control, provided that such termination in the case of a First Change of Control shall not alter or terminate Licensor’s right to receive pursuant to this Section 4.5 amounts due to Licensor on account of receipt of Sale Proceeds after the date of consummation of such First Change of Control.</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1" w:right="499" w:bottom="1440" w:gutter="0" w:footer="0" w:header="0"/>
        </w:sectPr>
      </w:pPr>
    </w:p>
    <w:bookmarkStart w:id="635" w:name="page636"/>
    <w:bookmarkEnd w:id="635"/>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7"/>
          <w:szCs w:val="17"/>
          <w:u w:val="single" w:color="auto"/>
          <w:color w:val="auto"/>
        </w:rPr>
        <w:t>Payment Provisions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00" w:firstLine="987"/>
        <w:spacing w:after="0" w:line="282" w:lineRule="auto"/>
        <w:tabs>
          <w:tab w:leader="none" w:pos="1371"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Each element of consideration set forth in this Article 4 shall be provided by Licensee to DKFZ in accordance with the payment methods set forth herein, except that the Shares shall be issued to DKFZ and UFE on a Pro Rata Basis in accordance with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381"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Unless otherwise expressly provided herein, all payments by Licensee shall be due [***] after the date on which such payment obligation arises. Licensee shall pay interest to Licensor on the aggregate amount of any payment that is not paid on or before the date such payment is due under this Agreement at a rate of [***] above the basic rate of interest announced from time to time by the Deutsche Bundesbank as required pursuant to Section 247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or any successor law, per annum for the period during which such payment remains overdue.</w:t>
      </w:r>
    </w:p>
    <w:p>
      <w:pPr>
        <w:spacing w:after="0" w:line="183" w:lineRule="exact"/>
        <w:rPr>
          <w:rFonts w:ascii="Times New Roman" w:cs="Times New Roman" w:eastAsia="Times New Roman" w:hAnsi="Times New Roman"/>
          <w:sz w:val="18"/>
          <w:szCs w:val="18"/>
          <w:color w:val="auto"/>
        </w:rPr>
      </w:pPr>
    </w:p>
    <w:p>
      <w:pPr>
        <w:ind w:right="80" w:firstLine="987"/>
        <w:spacing w:after="0" w:line="261" w:lineRule="auto"/>
        <w:tabs>
          <w:tab w:leader="none" w:pos="1371"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Mode of Payment; Currency Conversion</w:t>
      </w:r>
      <w:r>
        <w:rPr>
          <w:rFonts w:ascii="Times New Roman" w:cs="Times New Roman" w:eastAsia="Times New Roman" w:hAnsi="Times New Roman"/>
          <w:sz w:val="18"/>
          <w:szCs w:val="18"/>
          <w:color w:val="auto"/>
        </w:rPr>
        <w:t>. All payments under this Agreement, shall be made by deposit of U.S. Dollars in the requisite amount to such bank account as each of DKFZ and University of Tübingen, as Licensor, may from time to time designate by notice to Licensee. All sums due under this Agreement shall be payable in U.S. dollars, and Licensor shall bear any exchange fees as a result of the conversion of U.S. dollars into any other currency in which such bank account may be denominated.</w:t>
      </w:r>
    </w:p>
    <w:p>
      <w:pPr>
        <w:spacing w:after="0" w:line="179" w:lineRule="exact"/>
        <w:rPr>
          <w:rFonts w:ascii="Times New Roman" w:cs="Times New Roman" w:eastAsia="Times New Roman" w:hAnsi="Times New Roman"/>
          <w:sz w:val="18"/>
          <w:szCs w:val="18"/>
          <w:color w:val="auto"/>
        </w:rPr>
      </w:pPr>
    </w:p>
    <w:p>
      <w:pPr>
        <w:ind w:right="40" w:firstLine="987"/>
        <w:spacing w:after="0" w:line="261" w:lineRule="auto"/>
        <w:tabs>
          <w:tab w:leader="none" w:pos="1381"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Blocked Payments</w:t>
      </w:r>
      <w:r>
        <w:rPr>
          <w:rFonts w:ascii="Times New Roman" w:cs="Times New Roman" w:eastAsia="Times New Roman" w:hAnsi="Times New Roman"/>
          <w:sz w:val="18"/>
          <w:szCs w:val="18"/>
          <w:color w:val="auto"/>
        </w:rPr>
        <w:t>. In the event that, by reason of applicable Laws or regulations in any country, it becomes impossible or illegal for Licensee or its Affiliates to transfer, or have transferred on its behalf, payments due hereunder to Licensor, such payments shall be deposited in local currency in the relevant country to the credit of Licensor in a recognized banking institution designated by Licensor or, if none is designated by Licensor within a period of [***], in a recognized banking institution selected by Licensee or its Affiliates.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371"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Indirect taxes (such as sales tax, consumption tax and other similar taxes) in connection with this Agreement shall be borne by Licensor, and Licensee may deduct, withhold or offset from any payments hereunder any sales taxes, or other similar taxes or governmental charges and any penalties levied thereon, however value added tax (VAT) shall economically be borne by the Party whose jurisdiction of domicile imposes such VAT (e.g., Licensee shall bear any VAT imposed by the United States on payments to Licensor hereunder and shall not deduct such amount from any payment to Licensor). Income taxes based upon a payment hereunder as income of Licensor shall be solely the responsibility of Licensor. If Licensee is required to withhold taxes imposed upon payments to Licensor due hereunder (other than any VAT imposed by the United States on payments to Licensor hereunder), then Licensee may deduct from such payments to Licensor any such withholding taxes and shall pay such withheld amounts to the proper tax authorities for credit to the tax account of Licensor. Licensee shall provide to Licensor receipts of payment of any such withholding taxes promptly after payment. Licensee shall provide Licensor with reasonable assistance in efforts by Licensor to reduce any withholding taxes as far as possible under the provisions of any relevant tax treaty or other statutory or regulatory provision.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636" w:name="page637"/>
    <w:bookmarkEnd w:id="636"/>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4.7</w:t>
      </w:r>
      <w:r>
        <w:rPr>
          <w:sz w:val="20"/>
          <w:szCs w:val="20"/>
          <w:color w:val="auto"/>
        </w:rPr>
        <w:tab/>
      </w:r>
      <w:r>
        <w:rPr>
          <w:rFonts w:ascii="Times New Roman" w:cs="Times New Roman" w:eastAsia="Times New Roman" w:hAnsi="Times New Roman"/>
          <w:sz w:val="18"/>
          <w:szCs w:val="18"/>
          <w:u w:val="single" w:color="auto"/>
          <w:color w:val="auto"/>
        </w:rPr>
        <w:t>Records; Audit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371"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Licensee shall keep, and shall cause its Affiliates and Sublicensees to keep, complete and accurate books and records of all Licensed Products sold which enable the royalties and other amounts payable hereunder to be verified. Licensee shall maintain (and shall cause its Affiliates and its and their Sublicensees to maintain) such records for at least three (3) Calendar Years following the end of the Calendar Year to which they pertain.</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Audits of Licensee</w:t>
      </w:r>
      <w:r>
        <w:rPr>
          <w:rFonts w:ascii="Times New Roman" w:cs="Times New Roman" w:eastAsia="Times New Roman" w:hAnsi="Times New Roman"/>
          <w:sz w:val="18"/>
          <w:szCs w:val="18"/>
          <w:color w:val="auto"/>
        </w:rPr>
        <w:t xml:space="preserve">. During the Term and for [***] thereafter, upon the written request of DKFZ and not more than [***]in each Calendar Year, Licensee shall permit, and shall cause its relevant Affiliate(s) to permit, an independent certified public accounting firm of internationally recognized standing selected by DKFZ, and reasonably acceptable to Licensee or such relevant Affiliate(s), to have access to and to review, during normal business hours upon reasonable prior written notice, the applicable records of Licensee or its Affiliates, as applicable, to verify the accuracy of the royalty reports and payments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Such review shall consist solely of a review of the information and reports in the possession of Licensee or such relevant Affiliate(s) relating to Net Sales in any Calendar Year ending not more than [***] prior to the date of such request. Such accounting firm shall disclose to DKFZ and Licensee only whether the royalty reports and related amounts paid are correct or incorrect and the specific details concerning any discrepancies. No other information shall be provided to DKFZ.</w:t>
      </w:r>
    </w:p>
    <w:p>
      <w:pPr>
        <w:spacing w:after="0" w:line="191" w:lineRule="exact"/>
        <w:rPr>
          <w:rFonts w:ascii="Times New Roman" w:cs="Times New Roman" w:eastAsia="Times New Roman" w:hAnsi="Times New Roman"/>
          <w:sz w:val="18"/>
          <w:szCs w:val="18"/>
          <w:color w:val="auto"/>
        </w:rPr>
      </w:pPr>
    </w:p>
    <w:p>
      <w:pPr>
        <w:ind w:right="40" w:firstLine="987"/>
        <w:spacing w:after="0" w:line="254" w:lineRule="auto"/>
        <w:tabs>
          <w:tab w:leader="none" w:pos="1371"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Audits of Sublicensees</w:t>
      </w:r>
      <w:r>
        <w:rPr>
          <w:rFonts w:ascii="Times New Roman" w:cs="Times New Roman" w:eastAsia="Times New Roman" w:hAnsi="Times New Roman"/>
          <w:sz w:val="18"/>
          <w:szCs w:val="18"/>
          <w:color w:val="auto"/>
        </w:rPr>
        <w:t xml:space="preserve">. Licensee shall ensure that any sublicense granted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include audit provisions consistent in all material respects to those set forth in this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During the term of each such sublicense and for [***] thereafter, upon the written request of DKFZ and not more than [***] in each Calendar Year, Licensee shall direct, and shall cause, each of its Sublicensees to permit, an independent certified public accounting firm of nationally recognized standing selected by DKFZ, and reasonably acceptable to Licensee and such Sublicensee, to have access to and to review, during normal business hours upon reasonable prior written notice, the applicable records of such Sublicensee to verify the accuracy of the royalty reports and applicable payments provided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Such review may cover the records for Licensed Product sales made in any Calendar Year ending not more than [***] prior to the date of such request. Such accounting firm shall disclose to Licensee and such Sublicensee whether the royalty reports and related amounts paid are correct or incorrect and the specific details concerning any discrepancies.</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Terms of General Application</w:t>
      </w:r>
      <w:r>
        <w:rPr>
          <w:rFonts w:ascii="Times New Roman" w:cs="Times New Roman" w:eastAsia="Times New Roman" w:hAnsi="Times New Roman"/>
          <w:sz w:val="18"/>
          <w:szCs w:val="18"/>
          <w:color w:val="auto"/>
        </w:rPr>
        <w:t xml:space="preserve">. (i) If an accounting firm performing an audit pursuant to </w:t>
      </w:r>
      <w:r>
        <w:rPr>
          <w:rFonts w:ascii="Times New Roman" w:cs="Times New Roman" w:eastAsia="Times New Roman" w:hAnsi="Times New Roman"/>
          <w:sz w:val="18"/>
          <w:szCs w:val="18"/>
          <w:u w:val="single" w:color="auto"/>
          <w:color w:val="auto"/>
        </w:rPr>
        <w:t>Section 4.7(b)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4.7(c)</w:t>
      </w:r>
      <w:r>
        <w:rPr>
          <w:rFonts w:ascii="Times New Roman" w:cs="Times New Roman" w:eastAsia="Times New Roman" w:hAnsi="Times New Roman"/>
          <w:sz w:val="18"/>
          <w:szCs w:val="18"/>
          <w:color w:val="auto"/>
        </w:rPr>
        <w:t xml:space="preserve"> concludes that additional payments were owed to Licensor during an audited period, Licensee shall pay such additional payments within [***] after the date DKFZ delivers to Licensee such accounting firm’s written report identifying such underpayment. For clarity, in the case of a sublicense, Licensor shall have no obligation to seek payment from the applicable Sublicensee, and it shall be Licensee’s responsibility to collect any amounts owed by such Sublicensee. If such accounting firm concludes that an overpayment was made, such overpayment shall be fully creditable against amounts payable to Licensor in subsequent payment periods (or fully refundable, if no future amounts are payable to Licensor). DKFZ shall pay for the cost of any such audit conducted by, on behalf of or upon the request of Licensor pursuant to </w:t>
      </w:r>
      <w:r>
        <w:rPr>
          <w:rFonts w:ascii="Times New Roman" w:cs="Times New Roman" w:eastAsia="Times New Roman" w:hAnsi="Times New Roman"/>
          <w:sz w:val="18"/>
          <w:szCs w:val="18"/>
          <w:u w:val="single" w:color="auto"/>
          <w:color w:val="auto"/>
        </w:rPr>
        <w:t>Section 4.7(b)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4.7(c)</w:t>
      </w:r>
      <w:r>
        <w:rPr>
          <w:rFonts w:ascii="Times New Roman" w:cs="Times New Roman" w:eastAsia="Times New Roman" w:hAnsi="Times New Roman"/>
          <w:sz w:val="18"/>
          <w:szCs w:val="18"/>
          <w:color w:val="auto"/>
        </w:rPr>
        <w:t>, unless Licensee has underpaid Licensor by [***] or more, in which case Licensee shall pay for the costs of such audit.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1" w:right="459" w:bottom="1440" w:gutter="0" w:footer="0" w:header="0"/>
        </w:sectPr>
      </w:pPr>
    </w:p>
    <w:bookmarkStart w:id="637" w:name="page638"/>
    <w:bookmarkEnd w:id="637"/>
    <w:p>
      <w:pPr>
        <w:ind w:right="20" w:firstLine="987"/>
        <w:spacing w:after="0" w:line="258" w:lineRule="auto"/>
        <w:tabs>
          <w:tab w:leader="none" w:pos="1371"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Licensor shall treat all information that it receives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as Confidential Information of Licensee subject to the confidentiality provisions of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shall cause its accounting firm to enter into a confidentiality agreement with, and reasonably acceptable to, Licensee or the Sublicensee, as applicable, obligating such firm to retain all such information in confidence pursuant to terms at least as protective of Licensee or such Sublicensee as those contained herein, provided that such obligation shall not restrict the right of such accounting firm to disclose such information to Licensor to the extent necessary for Licensor to enforce its rights under this Agreement.</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 Protection and Related Matters</w:t>
      </w:r>
    </w:p>
    <w:p>
      <w:pPr>
        <w:spacing w:after="0" w:line="9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As between the Parties, each Party shall solely own all Intellectual Property, including Patent Rights related thereto, made, conceived, reduced to practice, or otherwise discovered, whether prior to, on or after the Effective Date, solely by employees, agents and consultants of such Party or its Affiliates. In the case of Licensor as the Party owning any such Patent Rights or other Intellectual Property that are: (y) derived from the Licensed Patent Rights; or (z) derived from Licensed Know-How, Licensor shall promptly notify Licensee of such Patent Rights (and provide Licensee with a copy of any filings related thereto promptly after filing) or other Intellectual Property. Each Party shall own an equal, undivided interest in all Intellectual Property, including Patent Rights related thereto, made, conceived, reduced to practice, or otherwise discovered in the course of conducting such Party’s obligations or exercising its rights under this Agreement, jointly by or on behalf of each Party (or their respective Affiliates, independent contractors or sublicensees (including Sublicensees) or its or their respective directors, officers, employees or agents) (collectively, “</w:t>
      </w:r>
      <w:r>
        <w:rPr>
          <w:rFonts w:ascii="Times New Roman" w:cs="Times New Roman" w:eastAsia="Times New Roman" w:hAnsi="Times New Roman"/>
          <w:sz w:val="18"/>
          <w:szCs w:val="18"/>
          <w:b w:val="1"/>
          <w:b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and the Patent Rights based on or Covering such Joint Inventions, the “</w:t>
      </w:r>
      <w:r>
        <w:rPr>
          <w:rFonts w:ascii="Times New Roman" w:cs="Times New Roman" w:eastAsia="Times New Roman" w:hAnsi="Times New Roman"/>
          <w:sz w:val="18"/>
          <w:szCs w:val="18"/>
          <w:b w:val="1"/>
          <w:bCs w:val="1"/>
          <w:color w:val="auto"/>
        </w:rPr>
        <w:t>Joint Patent Rights</w:t>
      </w:r>
      <w:r>
        <w:rPr>
          <w:rFonts w:ascii="Times New Roman" w:cs="Times New Roman" w:eastAsia="Times New Roman" w:hAnsi="Times New Roman"/>
          <w:sz w:val="18"/>
          <w:szCs w:val="18"/>
          <w:color w:val="auto"/>
        </w:rPr>
        <w:t>”). Each Party shall have full rights to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and exploit such Party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s interest in such Joint Inventions and Joint Patent Rights anywhere in the world, without any requirement of gaining the consent of, or accounting to, the other Party, subject to the licenses granted herein and subject to any other intellectual property held by such other Party. Each Party shall promptly disclose to the other all Joint Inventions, in each case, including all invention disclosures or other similar documents submitted to such Party by its, or its Affiliates’, independent contractors’ or sublicensees’ (including Sublicensees’) directors, officers, employees or agents describing such Joint Inventions. For purposes of determining ownership under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inventorship shall be determined in accordance with the applicable Laws. The rights of Licensor in any Joint Inventions shall become Licensed Know-How hereunder, and the rights of Licensor in any Joint Patent Rights shall become Licensed Patent Rights hereunder, in each case without any further action by the Parties.</w:t>
      </w:r>
    </w:p>
    <w:p>
      <w:pPr>
        <w:spacing w:after="0" w:line="19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Prosecution and Maintenance of Licensed Patent Rights.</w:t>
      </w:r>
    </w:p>
    <w:p>
      <w:pPr>
        <w:spacing w:after="0" w:line="225" w:lineRule="exact"/>
        <w:rPr>
          <w:sz w:val="20"/>
          <w:szCs w:val="20"/>
          <w:color w:val="auto"/>
        </w:rPr>
      </w:pPr>
    </w:p>
    <w:p>
      <w:pPr>
        <w:ind w:right="120" w:firstLine="987"/>
        <w:spacing w:after="0" w:line="282" w:lineRule="auto"/>
        <w:tabs>
          <w:tab w:leader="none" w:pos="1371"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Licensee shall assume responsibility – including, but not limited to, fiscal responsibility – for the Prosecution and Maintenance of all Licensed Patent Rights worldwide and, unless otherwise provided in this Agreement, shall have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638" w:name="page639"/>
    <w:bookmarkEnd w:id="63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sole right, at its discretion, to Prosecute and Maintain all Licensed Patent Rights worldwide. Licensor shall use its commercially reasonable efforts to transition the Prosecution and Maintenance of all Licensed Patent Rights to Licensee promptly after the Effective Date and to reasonably assist Licensee in such transition and assumption. Licensee shall pay for all reasonable and documented out-of-pocket costs associated with such transition, including any costs to Licensor’s extant patent attorneys and staff but excluding any amounts for reimbursement of past expenses. Unless otherwise provided in this Agreement, Licensee shall have the sole right, but not the obligation, to Prosecute and Maintain any patent contained in the Licensed Patent Rights in a country. If Licensee elects to cease the Prosecution or Maintenance of a Licensed Patent Right, including a Joint Patent Right, Licensee shall provide Licensor with written notice immediately upon the decision to discontinue the Prosecution or Maintenance of such Patent Right, as the case may be, in any event, however, not later than ninety (90) calendar days before any relevant deadline relating to or any public disclosure of the relevant Patent Rights. In such event, Licensee shall permit Licensor, at Licensor’s sole discretion but after discussion with Licensee and in good faith consideration of the reasons of Licensee for ceasing the Prosecution or Maintenance of such Licensed Patent Right, to take over or continue, as the case may be, the Prosecution and Maintenance of such Patent Right at Licensor’s own expense. Licensee shall execute such documents and perform such acts, at the Licensor’s expense, as may be reasonably necessary to permit Licensor to take over and continue the Prosecution and Maintenance of such Patent Right on behalf and in the name of Licensee. Any such Patent Rights shall remain Licensed Patent Rights.</w:t>
      </w:r>
    </w:p>
    <w:p>
      <w:pPr>
        <w:spacing w:after="0" w:line="187" w:lineRule="exact"/>
        <w:rPr>
          <w:sz w:val="20"/>
          <w:szCs w:val="20"/>
          <w:color w:val="auto"/>
        </w:rPr>
      </w:pPr>
    </w:p>
    <w:p>
      <w:pPr>
        <w:ind w:right="40" w:firstLine="987"/>
        <w:spacing w:after="0" w:line="253" w:lineRule="auto"/>
        <w:tabs>
          <w:tab w:leader="none" w:pos="1378"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controlling the Prosecution and Maintenance of the applicable Licensed Patent Rights or Joint Patent Rights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With respect to the Prosecution and Maintenance of Licensed Patent Rights, the Prosecuting Party shall: (i) choose patent counsel reasonably acceptable to the other Party; (ii) instruct such patent counsel to furnish the other Party with copies of all correspondence relating to the Licensed Patent Rights received from the United States Patent and Trademark Office and any other patent office promptly after receipt; (iii) instruct such patent counsel to furnish the other Party with copies of all correspondence relating to the Licensed Patent Rights sent to the United States Patent and Trademark Office and any other patent office promptly after it is sent; and (iv) to the extent practicable, instruct such patent counsel to furnish the other Party with copies of all proposed filings or other correspondence to the United States Patent and Trademark Office and any other patent office sufficiently in advance of such filing to permit the other Party a reasonable opportunity to review and comment on such response. The Prosecuting Party shall consider in good faith the comments and requests of the other Party with respect to the Prosecution and Maintenance of the applicable Licensed Patent Rights and shall communicate such comments and requests to its patent counsel.</w:t>
      </w:r>
    </w:p>
    <w:p>
      <w:pPr>
        <w:spacing w:after="0" w:line="194" w:lineRule="exact"/>
        <w:rPr>
          <w:rFonts w:ascii="Times New Roman" w:cs="Times New Roman" w:eastAsia="Times New Roman" w:hAnsi="Times New Roman"/>
          <w:sz w:val="18"/>
          <w:szCs w:val="18"/>
          <w:color w:val="auto"/>
        </w:rPr>
      </w:pPr>
    </w:p>
    <w:p>
      <w:pPr>
        <w:ind w:right="40" w:firstLine="987"/>
        <w:spacing w:after="0" w:line="258" w:lineRule="auto"/>
        <w:tabs>
          <w:tab w:leader="none" w:pos="1361"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non-public information exchanged between the Parties regarding Prosecution, Maintenance and enforcement of the Licensed Patent Rights, and all shared information regarding analyses or opinions of third party intellectual property, shall be deemed Confidential Information of the disclosing Party (except in the case of Licensed Patent Rights that are Joint Patent Rights, in which case such non-public information shall be deemed the Confidential Information of both Parties). In addition, the Parties acknowledge and agree that, with regard to Prosecution, Maintenance and enforcement of the Licensed Patent Rights, the interests of the Parties as licensor and licensee are to obtain the strongest patent protection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1" w:right="459" w:bottom="1440" w:gutter="0" w:footer="0" w:header="0"/>
        </w:sectPr>
      </w:pPr>
    </w:p>
    <w:bookmarkStart w:id="639" w:name="page640"/>
    <w:bookmarkEnd w:id="639"/>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possible, and as such, are aligned and are legal in nature. The Parties agree and acknowledge that they have not waived, and nothing in this Agreement constitutes a waiver of, any legal privilege concerning the Licensed Patent Rights or the Confidential Information, including privilege under the common interest doctrine and similar or related doctrines.</w:t>
      </w:r>
    </w:p>
    <w:p>
      <w:pPr>
        <w:spacing w:after="0" w:line="176" w:lineRule="exact"/>
        <w:rPr>
          <w:sz w:val="20"/>
          <w:szCs w:val="20"/>
          <w:color w:val="auto"/>
        </w:rPr>
      </w:pPr>
    </w:p>
    <w:p>
      <w:pPr>
        <w:ind w:right="40" w:firstLine="987"/>
        <w:spacing w:after="0" w:line="261" w:lineRule="auto"/>
        <w:tabs>
          <w:tab w:leader="none" w:pos="1381"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cooperate with the Prosecuting Party and its patent counsel in Prosecution and Maintenance of the Licensed Patent Rights in all countries, including, as applicable, (i) providing the Prosecuting Party and its patent counsel with data and other information as appropriate with respect thereto, (ii) providing any necessary powers of attorney (including limited powers of attorney) and (iii) executing any other required documents or instruments for such Prosecution and Maintenance.</w:t>
      </w:r>
    </w:p>
    <w:p>
      <w:pPr>
        <w:spacing w:after="0" w:line="179" w:lineRule="exact"/>
        <w:rPr>
          <w:rFonts w:ascii="Times New Roman" w:cs="Times New Roman" w:eastAsia="Times New Roman" w:hAnsi="Times New Roman"/>
          <w:sz w:val="18"/>
          <w:szCs w:val="18"/>
          <w:color w:val="auto"/>
        </w:rPr>
      </w:pPr>
    </w:p>
    <w:p>
      <w:pPr>
        <w:ind w:right="60" w:firstLine="987"/>
        <w:spacing w:after="0" w:line="258" w:lineRule="auto"/>
        <w:tabs>
          <w:tab w:leader="none" w:pos="1371"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be responsible for all fees and costs charged by patent counsel with respect to the Prosecution and Maintenance of the Licensed Patent Rights at Licensee’s request and all other out-of-pocket costs and expenses incurred by Licensee as Prosecuting Party in connection with such Prosecution and Maintenance of the Licensed Patent Rights during the Term. For clarity, such expenses shall not include any expenses of Licensor incurred by Licensor in connection with (i) its rights to review and comment on patent prosecution, (ii) its rights to undertake enforcement actions, or (iii) any actions undertaken by Licensor other than at Licensee’s request.</w:t>
      </w:r>
    </w:p>
    <w:p>
      <w:pPr>
        <w:spacing w:after="0" w:line="183"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Third Party Infringement.</w:t>
      </w:r>
    </w:p>
    <w:p>
      <w:pPr>
        <w:spacing w:after="0" w:line="225" w:lineRule="exact"/>
        <w:rPr>
          <w:sz w:val="20"/>
          <w:szCs w:val="20"/>
          <w:color w:val="auto"/>
        </w:rPr>
      </w:pPr>
    </w:p>
    <w:p>
      <w:pPr>
        <w:ind w:right="80" w:firstLine="987"/>
        <w:spacing w:after="0" w:line="261" w:lineRule="auto"/>
        <w:tabs>
          <w:tab w:leader="none" w:pos="1371"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notify the other Party promptly of any knowledge it acquires of any actual or potential (i) infringements of the Licensed Patent Rights or (ii) unauthorized use or misappropriation of any of the Licensed Know-How, in each case of (i) and (ii), with respect to any activities of a Third Party in the Field in any country in the world and shall provide the other Party with all available evidence regarding such known or suspected infringement or unauthorized use.</w:t>
      </w:r>
    </w:p>
    <w:p>
      <w:pPr>
        <w:spacing w:after="0" w:line="179"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Enforcement.</w:t>
      </w:r>
    </w:p>
    <w:p>
      <w:pPr>
        <w:spacing w:after="0" w:line="225" w:lineRule="exact"/>
        <w:rPr>
          <w:rFonts w:ascii="Times New Roman" w:cs="Times New Roman" w:eastAsia="Times New Roman" w:hAnsi="Times New Roman"/>
          <w:sz w:val="18"/>
          <w:szCs w:val="18"/>
          <w:color w:val="auto"/>
        </w:rPr>
      </w:pPr>
    </w:p>
    <w:p>
      <w:pPr>
        <w:ind w:firstLine="1428"/>
        <w:spacing w:after="0" w:line="253" w:lineRule="auto"/>
        <w:tabs>
          <w:tab w:leader="none" w:pos="1782"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this Agreement, Licensee shall have the sole right, but not the obligation, to initiate a lawsuit or take other reasonable action to enforce the Licensed Patent Rights and to defend the Licensed Know-How (“</w:t>
      </w:r>
      <w:r>
        <w:rPr>
          <w:rFonts w:ascii="Times New Roman" w:cs="Times New Roman" w:eastAsia="Times New Roman" w:hAnsi="Times New Roman"/>
          <w:sz w:val="18"/>
          <w:szCs w:val="18"/>
          <w:b w:val="1"/>
          <w:bCs w:val="1"/>
          <w:color w:val="auto"/>
        </w:rPr>
        <w:t>Enforcement Right</w:t>
      </w:r>
      <w:r>
        <w:rPr>
          <w:rFonts w:ascii="Times New Roman" w:cs="Times New Roman" w:eastAsia="Times New Roman" w:hAnsi="Times New Roman"/>
          <w:sz w:val="18"/>
          <w:szCs w:val="18"/>
          <w:color w:val="auto"/>
        </w:rPr>
        <w:t>”). Licensor shall cooperate fully in the prosecution of any such suit or action as may be reasonably requested by Licensee upon notifying Licensor in writing of making use of its Enforcement Right (such written notice the “</w:t>
      </w:r>
      <w:r>
        <w:rPr>
          <w:rFonts w:ascii="Times New Roman" w:cs="Times New Roman" w:eastAsia="Times New Roman" w:hAnsi="Times New Roman"/>
          <w:sz w:val="18"/>
          <w:szCs w:val="18"/>
          <w:b w:val="1"/>
          <w:bCs w:val="1"/>
          <w:color w:val="auto"/>
        </w:rPr>
        <w:t>Enforcement Notice</w:t>
      </w:r>
      <w:r>
        <w:rPr>
          <w:rFonts w:ascii="Times New Roman" w:cs="Times New Roman" w:eastAsia="Times New Roman" w:hAnsi="Times New Roman"/>
          <w:sz w:val="18"/>
          <w:szCs w:val="18"/>
          <w:color w:val="auto"/>
        </w:rPr>
        <w:t xml:space="preserve">”), including joining any action as party-plaintiff if required by law, regulation or court or administrative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Licensee shall promptly reimburse all out-of-pocket expenses (including reasonable counsel fees and expenses) actually incurred by Licensor in connection with such cooperation. Should Licensee make use of the Enforcement Right, (i) Licensee shall have the sole and exclusive right to select counsel for any suit or action initiated by it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shall bear its own out-of-pocket costs incurred in any such suit or action, including the fees and expenses of the counsel selected by it, and (ii) any amount recovered in any suit or action or settlement of any such suit or action brought pursuant to this </w:t>
      </w:r>
      <w:r>
        <w:rPr>
          <w:rFonts w:ascii="Times New Roman" w:cs="Times New Roman" w:eastAsia="Times New Roman" w:hAnsi="Times New Roman"/>
          <w:sz w:val="18"/>
          <w:szCs w:val="18"/>
          <w:u w:val="single" w:color="auto"/>
          <w:color w:val="auto"/>
        </w:rPr>
        <w:t>Section 5.3(b)(i)</w:t>
      </w:r>
      <w:r>
        <w:rPr>
          <w:rFonts w:ascii="Times New Roman" w:cs="Times New Roman" w:eastAsia="Times New Roman" w:hAnsi="Times New Roman"/>
          <w:sz w:val="18"/>
          <w:szCs w:val="18"/>
          <w:color w:val="auto"/>
        </w:rPr>
        <w:t xml:space="preserve"> shall be applied first to reimburse Licensee in an amount equal to its out-of-pocket costs and expenses of the suit or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640" w:name="page641"/>
    <w:bookmarkEnd w:id="640"/>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action, with the remainder to be divided as follows: [***] to Licensee; and [***] to Licensor. Notwithstanding anything in the foregoing to the contrary, Licensee shall not settle or compromise any suit or action brought pursuant to this </w:t>
      </w:r>
      <w:r>
        <w:rPr>
          <w:rFonts w:ascii="Times New Roman" w:cs="Times New Roman" w:eastAsia="Times New Roman" w:hAnsi="Times New Roman"/>
          <w:sz w:val="18"/>
          <w:szCs w:val="18"/>
          <w:u w:val="single" w:color="auto"/>
          <w:color w:val="auto"/>
        </w:rPr>
        <w:t>Section 5.3(b)(i)</w:t>
      </w:r>
      <w:r>
        <w:rPr>
          <w:rFonts w:ascii="Times New Roman" w:cs="Times New Roman" w:eastAsia="Times New Roman" w:hAnsi="Times New Roman"/>
          <w:sz w:val="18"/>
          <w:szCs w:val="18"/>
          <w:color w:val="auto"/>
        </w:rPr>
        <w:t xml:space="preserve"> in a manner that imposes any limitations or restrictions on the Licensed IP Rights, without Licensor’s written consent.</w:t>
      </w:r>
    </w:p>
    <w:p>
      <w:pPr>
        <w:spacing w:after="0" w:line="176" w:lineRule="exact"/>
        <w:rPr>
          <w:sz w:val="20"/>
          <w:szCs w:val="20"/>
          <w:color w:val="auto"/>
        </w:rPr>
      </w:pPr>
    </w:p>
    <w:p>
      <w:pPr>
        <w:ind w:left="1824" w:hanging="392"/>
        <w:spacing w:after="0"/>
        <w:tabs>
          <w:tab w:leader="none" w:pos="1824"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Licensee after notification pursuant to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does not provide Licensor with an Enforcement Notice within three</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a respective request by Licensor (which request shall state with reasonable specificity the nature of the alleged infringement of the Licensed Patent Rights and/or alleged misappropriation of the Licensed Know-How in the case at hand and the name of the person or entity engaging in such alleged infringement and/or alleged misappropriation), the Parties shall meet promptly to discuss the reasons for Licensee’s failure to provide such Enforcement Notice and the potential economic or other effects on Licensee and Licensor of any enforcement action or failure to take such action. If within four (4) weeks after such meeting the Parties have not agreed on whether or not Licensee will exercise the Enforcement Right and Licensee still does not provide Licensor with an Enforcement Notice, then Licensor may notify Licensee that Licensor will be exercising the Enforcement Right, at Licensor’s sole expense, with respect to the alleged infringement and/or alleged misappropriation in the case at hand. Prior to exercising the Enforcement Right, Licensor shall discuss with Licensee and consider in good faith the reasons of Licensee for its not exercising the Enforcement Right. Upon such notice, the Enforcement Right of Licensee with respect to the alleged infringement and/or alleged misappropriation in the case at hand (and not with respect to any other case of alleged infringement and/or alleged misappropriation) shall terminate. Should Licensor make use of the Enforcement Right, (i) Licensor shall have the sole and exclusive right to select counsel for the applicable suit or action initiated by it pursuant to this </w:t>
      </w:r>
      <w:r>
        <w:rPr>
          <w:rFonts w:ascii="Times New Roman" w:cs="Times New Roman" w:eastAsia="Times New Roman" w:hAnsi="Times New Roman"/>
          <w:sz w:val="18"/>
          <w:szCs w:val="18"/>
          <w:u w:val="single" w:color="auto"/>
          <w:color w:val="auto"/>
        </w:rPr>
        <w:t>Section 5.3(b)(ii)</w:t>
      </w:r>
      <w:r>
        <w:rPr>
          <w:rFonts w:ascii="Times New Roman" w:cs="Times New Roman" w:eastAsia="Times New Roman" w:hAnsi="Times New Roman"/>
          <w:sz w:val="18"/>
          <w:szCs w:val="18"/>
          <w:color w:val="auto"/>
        </w:rPr>
        <w:t xml:space="preserve"> and shall bear its own out-of-pocket costs incurred in any such suit or action, including the fees and expenses of the counsel selected by it, (ii) Licensor shall keep Licensee reasonably informed of the progress and status of any such lawsuit or other action and shall consider in good faith the comments of Licensee with respect to such lawsuit or other action and the settlement or other disposition thereof, and (iii) any amount recovered in any suit or action or settlement of any such suit or action brought pursuant to this </w:t>
      </w:r>
      <w:r>
        <w:rPr>
          <w:rFonts w:ascii="Times New Roman" w:cs="Times New Roman" w:eastAsia="Times New Roman" w:hAnsi="Times New Roman"/>
          <w:sz w:val="18"/>
          <w:szCs w:val="18"/>
          <w:u w:val="single" w:color="auto"/>
          <w:color w:val="auto"/>
        </w:rPr>
        <w:t>Section 5.3(b)(ii)</w:t>
      </w:r>
      <w:r>
        <w:rPr>
          <w:rFonts w:ascii="Times New Roman" w:cs="Times New Roman" w:eastAsia="Times New Roman" w:hAnsi="Times New Roman"/>
          <w:sz w:val="18"/>
          <w:szCs w:val="18"/>
          <w:color w:val="auto"/>
        </w:rPr>
        <w:t xml:space="preserve"> shall be applied first to reimburse each Party in an amount equal to its out-of-pocket costs and expenses of the suit or action, with the remainder to be divided as follows: [***] to Licensor; and [***] to Licensee. Notwithstanding anything in the foregoing to the contrary, Licensor shall not settle or compromise any suit or action brought pursuant to this </w:t>
      </w:r>
      <w:r>
        <w:rPr>
          <w:rFonts w:ascii="Times New Roman" w:cs="Times New Roman" w:eastAsia="Times New Roman" w:hAnsi="Times New Roman"/>
          <w:sz w:val="18"/>
          <w:szCs w:val="18"/>
          <w:u w:val="single" w:color="auto"/>
          <w:color w:val="auto"/>
        </w:rPr>
        <w:t>Section 5.3(b)(ii)</w:t>
      </w:r>
      <w:r>
        <w:rPr>
          <w:rFonts w:ascii="Times New Roman" w:cs="Times New Roman" w:eastAsia="Times New Roman" w:hAnsi="Times New Roman"/>
          <w:sz w:val="18"/>
          <w:szCs w:val="18"/>
          <w:color w:val="auto"/>
        </w:rPr>
        <w:t xml:space="preserve"> in a manner that imposes any limitations or restrictions on the rights and licenses granted to Licensee under this Agreement, without Licensee’s written consent.</w:t>
      </w:r>
    </w:p>
    <w:p>
      <w:pPr>
        <w:spacing w:after="0" w:line="189"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Patent Invalidity Claim</w:t>
      </w:r>
      <w:r>
        <w:rPr>
          <w:rFonts w:ascii="Times New Roman" w:cs="Times New Roman" w:eastAsia="Times New Roman" w:hAnsi="Times New Roman"/>
          <w:sz w:val="18"/>
          <w:szCs w:val="18"/>
          <w:color w:val="auto"/>
        </w:rPr>
        <w:t>. During the Term, Licensor shall promptly notify Licensee in the event of any legal or administrative action by any Third Party against a Licensed Patent Right of which Licensor becomes aware, including any nullity, revocation, reexamination or compulsory license proceeding or similar proceeding. Unless otherwise provided in this Agreement, Licensee shall have the sole right, but not the obligation, to defend or take any other action with respect to such legal or administrative action by a Third Party. Licensor shall cooperate fully with Licensee in preparing and formulating a response to such legal or administrative action and taking any further defense or other actions with respect thereto. If Licensee elects to cease the defense of a Licensed Patent Right described above, Licensee shall provide Licensor with written notice immediately upon the decision to discontinue the defense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1" w:right="459" w:bottom="1440" w:gutter="0" w:footer="0" w:header="0"/>
        </w:sectPr>
      </w:pPr>
    </w:p>
    <w:bookmarkStart w:id="641" w:name="page642"/>
    <w:bookmarkEnd w:id="64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Patent Right, as the case may be, in any event, however, not later than [***] before any relevant deadline relating to or any public disclosure of the relevant Patent Rights. In such event, Licensee shall permit Licensor, at Licensor’s sole discretion, to take over or continue, as the case may be, the defense of such Patent Right at Licensor’s own expense. Licensee shall execute such documents and perform such acts, at the Licensor’s expense, as may be reasonably necessary to permit Licensor to take over and continue the defense of such Patent Right on behalf and in the name of Licensee.</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Patent Term Extensions</w:t>
      </w:r>
      <w:r>
        <w:rPr>
          <w:rFonts w:ascii="Times New Roman" w:cs="Times New Roman" w:eastAsia="Times New Roman" w:hAnsi="Times New Roman"/>
          <w:sz w:val="18"/>
          <w:szCs w:val="18"/>
          <w:color w:val="auto"/>
        </w:rPr>
        <w:t>. Licensee shall have the sole right to obtain patent term extensions or supplemental protection certificates or their equivalents with respect to any Licensed Patent Right in any country worldwide, including with respect to any Licensed Product in the Field, and Licensor shall reasonably cooperate with Licensee in connection therewith.</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Joint IP Rights</w:t>
      </w:r>
      <w:r>
        <w:rPr>
          <w:rFonts w:ascii="Times New Roman" w:cs="Times New Roman" w:eastAsia="Times New Roman" w:hAnsi="Times New Roman"/>
          <w:sz w:val="18"/>
          <w:szCs w:val="18"/>
          <w:color w:val="auto"/>
        </w:rPr>
        <w:t>. During the term of this Agreement, and subject to the rights, licenses and obligations (including royalty obligations) of Licensee hereunder with respect to Licensor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rights in Joint Inventions and Joint Patent Rights: (a) Licensee is entitled to practice Joint Inventions and Joint Patent Rights for all purposes on a worldwide basis and license Joint Inventions and Joint Patent Rights without consent of and without a duty of accounting to Licensor; and (b) Licensor will grant and hereby does grant all permissions, consents and waivers with respect to, and all licenses under, the Joint Inventions and Joint Patent Rights, throughout the world, necessary to provide Licensee with such rights of use and exploitation of the Joint Inventions and Joint Patent Rights, and will execute documents as necessary to accomplish the foregoing. In the event of any expiration or termination of this Agreement: (A) both Parties are entitled to practice Joint Inventions and Joint Patent Rights for all purposes on a worldwide basis and license Joint Inventions and Joint Patent Rights without consent of and without a duty of accounting to the other Party; and (B) each Party will grant and hereby does grant all permissions, consents and waivers with respect to, and all licenses under, the Joint Inventions and Joint Patent Rights, throughout the world, necessary to provide the other Party with such rights of use and exploitation of the Joint Inventions and Joint Patent Rights, and will execute documents as necessary to accomplish the foregoing.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Confidential Obligations</w:t>
      </w:r>
      <w:r>
        <w:rPr>
          <w:rFonts w:ascii="Times New Roman" w:cs="Times New Roman" w:eastAsia="Times New Roman" w:hAnsi="Times New Roman"/>
          <w:sz w:val="18"/>
          <w:szCs w:val="18"/>
          <w:color w:val="auto"/>
        </w:rPr>
        <w:t xml:space="preserve">. Each Party shall (a) maintain in strict confidence the 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and (c) not use such Confidential Information for any purpose except those expressly permitted by this Agreement. The obligations of confidentiality, non-disclosure and non-use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in full force during the Term and for a period of [***] thereafter. Each Party, upon the request of the other Party, will return all copies of or destroy (and certify such destruction in writing) the Confidential Information disclosed or transferred to it by the other Party pursuant to this Agreement, within [***] of such request or, if earlier, the termination or expiration of this Agreement; provided however that a Party may retain (i) Confidential Information of the other Party which expressly survives such termination pursuant to this Agreement, and (ii) one (1)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642" w:name="page643"/>
    <w:bookmarkEnd w:id="642"/>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copy of all other Confidential Information in archives solely for the purpose of establishing the contents thereof; provided, further, that a Party is not required to return or destroy Confidential Information contained in electronic back-ups unless and until such Confidential Information is accessed. The Confidential Information of Licensee includes (w) the Licensed Know-How insofar as it relates to researching, developing, using, manufacturing, selling, offering to sell, importation, exportation, Commercializing or otherwise exploiting Licensed Products, (x) the Licensed Information, (y) the identity, function, molecular mechanism and/or stage of development of a Licensed Product, and (z) any reports or other information provided to Licensor hereunder, including the information provided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p>
    <w:p>
      <w:pPr>
        <w:spacing w:after="0" w:line="18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Exceptions to Confidentiality</w:t>
      </w:r>
      <w:r>
        <w:rPr>
          <w:rFonts w:ascii="Times New Roman" w:cs="Times New Roman" w:eastAsia="Times New Roman" w:hAnsi="Times New Roman"/>
          <w:sz w:val="18"/>
          <w:szCs w:val="18"/>
          <w:color w:val="auto"/>
        </w:rPr>
        <w:t xml:space="preserve">. Notwithstanding the foregoing, the obligations of confidentiality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apply to information that, in each case as demonstrated by competent written documentation:</w:t>
      </w:r>
    </w:p>
    <w:p>
      <w:pPr>
        <w:spacing w:after="0" w:line="54" w:lineRule="exact"/>
        <w:rPr>
          <w:sz w:val="20"/>
          <w:szCs w:val="20"/>
          <w:color w:val="auto"/>
        </w:rPr>
      </w:pPr>
    </w:p>
    <w:p>
      <w:pPr>
        <w:ind w:left="1360" w:hanging="373"/>
        <w:spacing w:after="0"/>
        <w:tabs>
          <w:tab w:leader="none" w:pos="136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publicly disclosed or made generally available to the public by the disclosing Party, either before or after it becomes known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Party;</w:t>
      </w:r>
    </w:p>
    <w:p>
      <w:pPr>
        <w:spacing w:after="0" w:line="206" w:lineRule="exact"/>
        <w:rPr>
          <w:rFonts w:ascii="Times New Roman" w:cs="Times New Roman" w:eastAsia="Times New Roman" w:hAnsi="Times New Roman"/>
          <w:sz w:val="18"/>
          <w:szCs w:val="18"/>
          <w:color w:val="auto"/>
        </w:rPr>
      </w:pPr>
    </w:p>
    <w:p>
      <w:pPr>
        <w:ind w:right="60" w:firstLine="987"/>
        <w:spacing w:after="0" w:line="282" w:lineRule="auto"/>
        <w:tabs>
          <w:tab w:leader="none" w:pos="1381"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the receiving Party, without any obligation to keep it confidential, prior to the date of first disclosure by the disclosing Party to the receiving Party, as shown by the receiving Party’s files and records;</w:t>
      </w:r>
    </w:p>
    <w:p>
      <w:pPr>
        <w:spacing w:after="0" w:line="161" w:lineRule="exact"/>
        <w:rPr>
          <w:rFonts w:ascii="Times New Roman" w:cs="Times New Roman" w:eastAsia="Times New Roman" w:hAnsi="Times New Roman"/>
          <w:sz w:val="18"/>
          <w:szCs w:val="18"/>
          <w:color w:val="auto"/>
        </w:rPr>
      </w:pPr>
    </w:p>
    <w:p>
      <w:pPr>
        <w:ind w:right="680" w:firstLine="987"/>
        <w:spacing w:after="0" w:line="282" w:lineRule="auto"/>
        <w:tabs>
          <w:tab w:leader="none" w:pos="1371"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by a Third Party lawfully in possession thereof without obligation to keep it confidential and without a breach of such Third Party’s obligations of confidentiality;</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81"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publicly disclosed or made generally available to the public other than through any act or omission of the receiving Party or its Affiliates in breach of this Agreement; or</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371"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independently developed by the receiving Party without the aid, application or use of the disclosing Party’s Confidential Information (the competent written proof of which must be contemporaneous with such independent development).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 Party may disclose Confidential Information of the other Party to the extent such disclosure is reasonably necessary in the following instances:</w:t>
      </w:r>
    </w:p>
    <w:p>
      <w:pPr>
        <w:spacing w:after="0" w:line="52" w:lineRule="exact"/>
        <w:rPr>
          <w:sz w:val="20"/>
          <w:szCs w:val="20"/>
          <w:color w:val="auto"/>
        </w:rPr>
      </w:pPr>
    </w:p>
    <w:p>
      <w:pPr>
        <w:jc w:val="both"/>
        <w:ind w:firstLine="987"/>
        <w:spacing w:after="0" w:line="267" w:lineRule="auto"/>
        <w:tabs>
          <w:tab w:leader="none" w:pos="1371"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Prosecuting and Maintaining Patent Rights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381"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communicating and making filings with Regulatory Authorities or otherwise complying with applicable Laws or submitting information to tax or other governmental authorities;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1" w:right="499" w:bottom="1440" w:gutter="0" w:footer="0" w:header="0"/>
        </w:sectPr>
      </w:pPr>
    </w:p>
    <w:bookmarkStart w:id="643" w:name="page644"/>
    <w:bookmarkEnd w:id="643"/>
    <w:p>
      <w:pPr>
        <w:ind w:left="4" w:right="240" w:firstLine="987"/>
        <w:spacing w:after="0" w:line="282" w:lineRule="auto"/>
        <w:tabs>
          <w:tab w:leader="none" w:pos="137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Regulatory Approval of Licensed Products or to research, develop, make, have made, use, have used, offer to sell, sell, import, export, Commercialize or otherwise exploit Licensed Products in accordance with this Agreement;</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38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Affiliates, and to prospective and actual acquirers, lenders, licensees, and sublicensees, and to each of their employees, consultants, contractors, agents, accountants, lawyers, advisors, investors and underwriters, on a need to know basis, each of whom, in the case of Third Parties, prior to disclosure must be bound by written or professional ethical obligations of confidentiality and non-use equivalent in scope to those set forth in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mutually agreed to in writing by the Parties.</w:t>
      </w:r>
    </w:p>
    <w:p>
      <w:pPr>
        <w:spacing w:after="0" w:line="225"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Scientific Publications</w:t>
      </w:r>
      <w:r>
        <w:rPr>
          <w:rFonts w:ascii="Times New Roman" w:cs="Times New Roman" w:eastAsia="Times New Roman" w:hAnsi="Times New Roman"/>
          <w:sz w:val="18"/>
          <w:szCs w:val="18"/>
          <w:color w:val="auto"/>
        </w:rPr>
        <w:t>. Licensor shall provide Licensee with a copy of any manuscript, abstract or other proposed publication relating to a Competitive Product, Licensed IP Rights, Licensed Information or Technology Transfer Materials on which any Inventor or any member of the laboratory of either of the Inventors is an author or any research permitted by Licensee in accordance with Section 2.8 (each, a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prior to submission thereof to a publisher or to any Third Party, and in any case, not less than [***] prior to any public disclosure, for the purposes of</w:t>
      </w:r>
    </w:p>
    <w:p>
      <w:pPr>
        <w:spacing w:after="0" w:line="3" w:lineRule="exact"/>
        <w:rPr>
          <w:sz w:val="20"/>
          <w:szCs w:val="20"/>
          <w:color w:val="auto"/>
        </w:rPr>
      </w:pPr>
    </w:p>
    <w:p>
      <w:pPr>
        <w:ind w:left="4" w:hanging="4"/>
        <w:spacing w:after="0" w:line="251" w:lineRule="auto"/>
        <w:tabs>
          <w:tab w:leader="none" w:pos="249"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disclosure of Licensed Information or Confidential Information of Licensee that might be contained in such Publication and (b) securing patent protection for any patentable inventions described in such Publication. Following receipt of such proposed Publication, Licensee shall, within [***] after receipt of the Publication, have the right to recommend any deletions it reasonably believes are necessary to remove from public disclosure any Licensed Information or Confidential Information of Licensee, and Licensor shall make such deletions. In addition, Licensee shall, within [***] after receipt of the Publication, have the right to cause Licensor to delay such submission or public disclosure for a period of up to [***], in order to provide Licensor and Licensee time to obtain appropriate intellectual property protection of any patentable inventions described in such Publication. Licensor shall cooperate reasonably with any request by Licensee to obtain such intellectual property protection during such [***] period. Licensor shall not disclose, and shall not permit the disclosure, in any Publication any Licensed Information or Confidential Information of Licensee without Licensee’s prior written consent.</w:t>
      </w:r>
    </w:p>
    <w:p>
      <w:pPr>
        <w:spacing w:after="0" w:line="193"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u w:val="single" w:color="auto"/>
          <w:color w:val="auto"/>
        </w:rPr>
        <w:t>Press Releases and Other Permitted Disclosures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100" w:firstLine="987"/>
        <w:spacing w:after="0" w:line="277" w:lineRule="auto"/>
        <w:tabs>
          <w:tab w:leader="none" w:pos="1375"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Licensor and Licensee each agree not to disclose any of the terms and conditions of this Agreement to any Third Party, except as described below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as otherwise agreed in writing by the Parties. If requested by any Party, the Parties will, in good faith, agree on a press release to be issued by Licensee announcing this Agreement; provided that the timing of the publication and release of such press release is in the sole discretion of Licensee. Subject to the other provisions of this Agreement, no other press release, public statement or public disclosure concerning the existence or terms of this Agreement shall be made, either directly or indirectly, by a Party without the prior written approval of the other</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644" w:name="page645"/>
    <w:bookmarkEnd w:id="64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Party. If disclosure of the terms and conditions of this Agreement, including the amount of any payment, or its filing publicly is required by applicable Law or applicable stock exchange regulation, or by order or other ruling of a competent court or governmental authority, as set forth in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 xml:space="preserve">, then Licensor or Licensee, as the case may be, may also disclose such terms or this Agreement in a public statement or disclosure. Once any public statement or public disclosure has been approved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either Party may appropriately communicate information contained in such permitted statement or disclosure.</w:t>
      </w:r>
    </w:p>
    <w:p>
      <w:pPr>
        <w:spacing w:after="0" w:line="183" w:lineRule="exact"/>
        <w:rPr>
          <w:sz w:val="20"/>
          <w:szCs w:val="20"/>
          <w:color w:val="auto"/>
        </w:rPr>
      </w:pPr>
    </w:p>
    <w:p>
      <w:pPr>
        <w:ind w:firstLine="987"/>
        <w:spacing w:after="0" w:line="255" w:lineRule="auto"/>
        <w:tabs>
          <w:tab w:leader="none" w:pos="1381"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disclose the terms and conditions of this Agreement to (i) its Affiliates, employees, consultants, agents or professional advisors (including attorneys, accountants and actual and prospective investment bankers), (ii) actual or potential investors, lenders, Sublicensees, licensees, licensors or collaborators, or (iii) acquirers or merger partners that have entered into a letter of intent or are actively negotiating a license, acquisition or merger agreement with Licensee; in each case under the foregoing clause (i), (ii) or (iii), under obligations of confidentiality materially consistent with those set forth herein (other than with respect to duration of confidentiality obligations, with respect to which Licensee may agree to a shorter period), and solely in connection with Licensee performing its obligations or exercising its rights under this Agreement or for the purpose of assisting the recipient with evaluating and entering into a transaction with Licensee.</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371"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disclose the terms and conditions of this Agreement under obligations of confidentiality materially consistent with those set forth herein to (i) its Affiliates, employees, consultants, agents or professional advisors (including attorneys, accountants and actual and prospective investment bankers) solely in connection with Licensor performing its obligations or exercising its rights under this Agreement or for the purpose of assisting the recipient with evaluating and entering into a transaction with Licensor; provided, however, that Licensor shall redact financial terms from any such disclosure made to any actual or potential licensee, and (ii) [***] solely in connection with Licensor performing its obligations under the terms of any agreement regarding the funding of research from which the Licensed IP Rights were generated.</w:t>
      </w:r>
    </w:p>
    <w:p>
      <w:pPr>
        <w:spacing w:after="0" w:line="187" w:lineRule="exact"/>
        <w:rPr>
          <w:rFonts w:ascii="Times New Roman" w:cs="Times New Roman" w:eastAsia="Times New Roman" w:hAnsi="Times New Roman"/>
          <w:sz w:val="18"/>
          <w:szCs w:val="18"/>
          <w:color w:val="auto"/>
        </w:rPr>
      </w:pPr>
    </w:p>
    <w:p>
      <w:pPr>
        <w:ind w:right="60" w:firstLine="987"/>
        <w:spacing w:after="0" w:line="254" w:lineRule="auto"/>
        <w:tabs>
          <w:tab w:leader="none" w:pos="1381"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a Party may disclose the existence and terms of this Agreement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 advance written notice of any such legally required disclosure to comment and the disclosing Party shall reasonably consider such comments provided by such other Party on the proposed disclosure. In case either Party is obliged to publicly disclose or file this Agreement as a “material agreement” in accordance with applicable Law or applicable stock exchange regulations (“</w:t>
      </w:r>
      <w:r>
        <w:rPr>
          <w:rFonts w:ascii="Times New Roman" w:cs="Times New Roman" w:eastAsia="Times New Roman" w:hAnsi="Times New Roman"/>
          <w:sz w:val="18"/>
          <w:szCs w:val="18"/>
          <w:b w:val="1"/>
          <w:bCs w:val="1"/>
          <w:color w:val="auto"/>
        </w:rPr>
        <w:t>SEC Filing</w:t>
      </w:r>
      <w:r>
        <w:rPr>
          <w:rFonts w:ascii="Times New Roman" w:cs="Times New Roman" w:eastAsia="Times New Roman" w:hAnsi="Times New Roman"/>
          <w:sz w:val="18"/>
          <w:szCs w:val="18"/>
          <w:color w:val="auto"/>
        </w:rPr>
        <w:t xml:space="preserve">”), this Agreement shall be redacted by the filing Party to the extent permissible upon the advice of legal counsel, and the filing Party shall provide the other Party a copy of such redacted Agreement in advance of such SEC Filing to enable the other Party to review and comment on the scope of such redaction;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filing Party shall consider in good faith any comments provided by such other Party.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71" w:right="539" w:bottom="1440" w:gutter="0" w:footer="0" w:header="0"/>
        </w:sectPr>
      </w:pPr>
    </w:p>
    <w:bookmarkStart w:id="645" w:name="page646"/>
    <w:bookmarkEnd w:id="6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9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Representations of Authority</w:t>
      </w:r>
      <w:r>
        <w:rPr>
          <w:rFonts w:ascii="Times New Roman" w:cs="Times New Roman" w:eastAsia="Times New Roman" w:hAnsi="Times New Roman"/>
          <w:sz w:val="18"/>
          <w:szCs w:val="18"/>
          <w:color w:val="auto"/>
        </w:rPr>
        <w:t>. Each Party represents and warrants to the other that as of the Effective Date it has full right, power and authority to enter into this Agreement and to perform its respective obligations under this Agreement.</w:t>
      </w:r>
    </w:p>
    <w:p>
      <w:pPr>
        <w:spacing w:after="0" w:line="162"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Each Party represents and warrants that as of the Effective Date all necessary consents, approvals and authorizations of all government authorities and other Persons required to be obtained by such Party in connection with execution, delivery and performance of this Agreement have been obtained.</w:t>
      </w:r>
    </w:p>
    <w:p>
      <w:pPr>
        <w:spacing w:after="0" w:line="176"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Each Party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 contractual obligations of such Party, except such consents as have been obtained as of the Effective Date.</w:t>
      </w:r>
    </w:p>
    <w:p>
      <w:pPr>
        <w:spacing w:after="0" w:line="180"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Employee, Consultant and Advisor Obligations</w:t>
      </w:r>
      <w:r>
        <w:rPr>
          <w:rFonts w:ascii="Times New Roman" w:cs="Times New Roman" w:eastAsia="Times New Roman" w:hAnsi="Times New Roman"/>
          <w:sz w:val="18"/>
          <w:szCs w:val="18"/>
          <w:color w:val="auto"/>
        </w:rPr>
        <w:t xml:space="preserve">. Each Party represents and warrants that, as of the Effective Date, each of its and its Affiliates’ employees, consultants and advisors who may receive Confidential Information of the other Party under this Agreement has executed an agreement or has an existing obligation under law obligating such employee, consultant or advisor to maintain the confidentiality of Confidential Information to the extent required under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987"/>
        <w:spacing w:after="0" w:line="253" w:lineRule="auto"/>
        <w:tabs>
          <w:tab w:leader="none" w:pos="1371"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represents and warrants to Licensee that (i) Licensor owns the entire right, title and interest in and to the Licensed IP Rights, Technical Information and Technology Transfer Materials, free and clear of all liens, charges and encumbrances, (ii) Licensor has the right to grant to Licensee the rights and licenses under the Licensed IP Rights, Technical Information and Technology Transfer Materials granted in this Agreement and has not previously assigned, transferred, conveyed or otherwise encumbered its right, title and interest in Licensed IP Rights, Technical Information or Technology Transfer Materials in any manner inconsistent with the terms hereof, and will not take any of the foregoing actions in any manner inconsistent with the terms hereof, (iii) none of the Licensed Patent Rights was fraudulently procured from the relevant governmental patent granting authority, (iv) as of the Effective Date, and, to the Knowledge of Licensor, there is no claim or demand of any Person pertaining to, or any proceeding which is pending or threatened, that asserts the invalidity, misuse or unenforceability of the Licensed Patent Rights or misappropriation of the Licensed Know-How, Technical Information or Technology Transfer Materials or challenges Licensor’s ownership of the Licensed Patent Rights, Licensed Know-How, Technical Information or Technology Transfer Materials or makes any adverse claim with respect thereto, including any claim the exercise of the Licensed Patent Rights, or the exercise or use of the Licensed Know-How, Technical Information or Technology Transfer Materials, infringes or misappropriates Intellectual Property of any Third Party, and, to the Knowledge of Licensor, there is no basis for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646" w:name="page647"/>
    <w:bookmarkEnd w:id="646"/>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claim, demand or proceeding, (v) to the Knowledge of Licensor, as of the Effective Date, the Licensed Patent Rights are not being infringed by any Third Party and neither the Licensed Know-How, Technical Information or Technology Transfer Materials is being misappropriated by any Third Party, and (vi) as of the Effective Date, the Licensed Patent Rights include all Patent Rights Controlled by Licensor that Cover the Asset.</w:t>
      </w:r>
    </w:p>
    <w:p>
      <w:pPr>
        <w:spacing w:after="0" w:line="176" w:lineRule="exact"/>
        <w:rPr>
          <w:sz w:val="20"/>
          <w:szCs w:val="20"/>
          <w:color w:val="auto"/>
        </w:rPr>
      </w:pPr>
    </w:p>
    <w:p>
      <w:pPr>
        <w:ind w:left="4" w:right="200" w:firstLine="987"/>
        <w:spacing w:after="0" w:line="266" w:lineRule="auto"/>
        <w:tabs>
          <w:tab w:leader="none" w:pos="1385"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not, during the Term, sell, assign, transfer, license, pledge, fail to maintain Control of, otherwise dispose of, or grant any option or other right, title or interest in to or under, or incur any lien or encumbrance on, any Licensed IP Rights, Technical Information or Technology Transfer Materials.</w:t>
      </w:r>
    </w:p>
    <w:p>
      <w:pPr>
        <w:spacing w:after="0" w:line="176"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Third Party Agreements</w:t>
      </w:r>
      <w:r>
        <w:rPr>
          <w:rFonts w:ascii="Times New Roman" w:cs="Times New Roman" w:eastAsia="Times New Roman" w:hAnsi="Times New Roman"/>
          <w:sz w:val="18"/>
          <w:szCs w:val="18"/>
          <w:color w:val="auto"/>
        </w:rPr>
        <w:t>. Licensor represents and warrants to Licensee that it has made available to Licensee true, correct and complete copies of all agreements with Third Parties relating to the Licensed IP Rights, Technical Information or Technology Transfer Materials effective at any time prior to the Effective Date, including any and all material transfer agreements, subject to the confidentiality agreement requirements therein. Further, Licensor shall deliver to Licensee any and all data and reports received from Third Parties regarding the Asset pursuant to such agreements, subject to the confidentiality requirements therein.</w:t>
      </w:r>
    </w:p>
    <w:p>
      <w:pPr>
        <w:spacing w:after="0" w:line="179"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 AS OTHERWISE EXPRESSLY SET FORTH HEREIN AND TO THE FULLEST EXTENT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LAW, THE PARTIES MAKE NO REPRESENTATIONS AND EXTEND NO WARRANTIES OF ANY KIND, EITHER EXPRESS OR IMPLIED, INCLUDING WARRANTIES OF MERCHANTABILITY, FITNESS FOR A PARTICULAR PURPOSE, NON-INFRINGEMENT, OR NON-MISAPPROPRIATION OF THIRD PARTY INTELLECTUAL PROPERTY RIGHTS. EXCEPT AS EXPRESSLY STATED IN THIS AGREEMENT AND TO THE FULLEST EXTENT PERMITTED BY LAW, ALL REPRESENTATIONS AND WARRANTIES, WHETHER ARISING BY OPERATION OF LAW OR OTHERWISE, ARE HEREBY EXPRESSLY EXCLUDED.</w:t>
      </w:r>
    </w:p>
    <w:p>
      <w:pPr>
        <w:spacing w:after="0" w:line="3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Indemnification; Insurance; and Limitation on Damages</w:t>
      </w:r>
    </w:p>
    <w:p>
      <w:pPr>
        <w:spacing w:after="0" w:line="99"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By Licensee</w:t>
      </w:r>
      <w:r>
        <w:rPr>
          <w:rFonts w:ascii="Times New Roman" w:cs="Times New Roman" w:eastAsia="Times New Roman" w:hAnsi="Times New Roman"/>
          <w:sz w:val="18"/>
          <w:szCs w:val="18"/>
          <w:color w:val="auto"/>
        </w:rPr>
        <w:t>. Licensee agrees to defend Licensor, its Affiliates and their respective directors, officers, employees, consultants and agents at Licensee’s cost and expense, and shall indemnify and hold harmless Licensor and its Affiliates and their respective directors, officers, employees, consultants and agents from and against any liabilities, losses, costs, damages, reasonable fees or expenses arising out of any Third Party claim, suit, action or demand relating to (i) any breach by Licensee of any of its representations, warranties or obligations pursuant to this Agreement or</w:t>
      </w:r>
    </w:p>
    <w:p>
      <w:pPr>
        <w:spacing w:after="0" w:line="3" w:lineRule="exact"/>
        <w:rPr>
          <w:sz w:val="20"/>
          <w:szCs w:val="20"/>
          <w:color w:val="auto"/>
        </w:rPr>
      </w:pPr>
    </w:p>
    <w:p>
      <w:pPr>
        <w:ind w:left="4" w:right="460" w:hanging="4"/>
        <w:spacing w:after="0" w:line="260" w:lineRule="auto"/>
        <w:tabs>
          <w:tab w:leader="none" w:pos="269"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 property damage or other damage resulting from the research, development, making, having made, using, selling, having sold, importing exporting or Commercialization Licensed Products by or on behalf of Licensee or its Affiliates or Sublicensees.</w:t>
      </w:r>
    </w:p>
    <w:p>
      <w:pPr>
        <w:spacing w:after="0" w:line="181"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By Licensor</w:t>
      </w:r>
      <w:r>
        <w:rPr>
          <w:rFonts w:ascii="Times New Roman" w:cs="Times New Roman" w:eastAsia="Times New Roman" w:hAnsi="Times New Roman"/>
          <w:sz w:val="18"/>
          <w:szCs w:val="18"/>
          <w:color w:val="auto"/>
        </w:rPr>
        <w:t>. Licensor agrees to defend Licensee, its Affiliates and their respective directors, officers, employees, consultants and agents at Licensor’s cost and expense, and shall indemnify and hold harmless Licensee and its Affiliates and their respective directors,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647" w:name="page648"/>
    <w:bookmarkEnd w:id="64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officers, employees, consultants and agents from and against any liabilities, losses, costs, damages, reasonable fees or expenses arising out of any Third Party claim, suit, action or demand relating to (i) any breach by Licensor of any of its representations, warranties or obligations pursuant to this Agreement or (ii) personal injury, property damage or other damage resulting from the research and development of Licensed Products by or on behalf of Licensor or its Affiliates.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xml:space="preserve">. A Person entitled to indemnification under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give prompt written notification to the Party from whom indemnification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194"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Licensee shall procure and maintain insurance or self-insurance, including general liability insurance and, starting at the time at which a Licensed Product first enters clinical testing in human subjects by or on behalf of Licensee or its Affiliates or Sublicensees, product liability insurance, in each case adequate to cover its obligations hereunder and consistent with normal business practices of prudent companies similarly situated, which insurance shall identify Licensor as an additional insured starting at the time at which a Licensed Product first enters clinical testing in human subjects by or on behalf of Licensee or its Affiliates or Sublicensees. It is understood that any such insurance shall not be construed to create a limit of liability with respect to the indemnification obligations under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Licensee shall provide Licensor with written evidence of such insurance upon request. Licensee shall provide Licensor with written notice at least thirty (30) days prior to the cancellation, non-renewal or material change in such insurance or self-insurance which could adversely affect rights hereunder.</w:t>
      </w:r>
    </w:p>
    <w:p>
      <w:pPr>
        <w:spacing w:after="0" w:line="188"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 Consequential or Punitive Damages; Limitation of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 WITH RESPECT TO (A) THE 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RIGHTS OR OBLIGATIONS OF EITHER PARTY UNDER THIS AGREEMENT WITH RESPECT TO THIRD PARTY CLAIMS, SUITS, ACTIONS OR DEMANDS, (B) A BREACH OF THE CONFIDENTIALITY OBLIGATIONS OF </w:t>
      </w:r>
      <w:r>
        <w:rPr>
          <w:rFonts w:ascii="Times New Roman" w:cs="Times New Roman" w:eastAsia="Times New Roman" w:hAnsi="Times New Roman"/>
          <w:sz w:val="18"/>
          <w:szCs w:val="18"/>
          <w:b w:val="1"/>
          <w:bCs w:val="1"/>
          <w:u w:val="single" w:color="auto"/>
          <w:color w:val="auto"/>
        </w:rPr>
        <w:t>ARTICLE 6</w:t>
      </w:r>
      <w:r>
        <w:rPr>
          <w:rFonts w:ascii="Times New Roman" w:cs="Times New Roman" w:eastAsia="Times New Roman" w:hAnsi="Times New Roman"/>
          <w:sz w:val="18"/>
          <w:szCs w:val="18"/>
          <w:b w:val="1"/>
          <w:bCs w:val="1"/>
          <w:color w:val="auto"/>
        </w:rPr>
        <w:t>, OR (C) A PARTY’S GROSS NEGLIGENCE OR WILLFUL MISCONDUCT, NEITHER PARTY HERETO WILL BE LIABLE FOR: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648" w:name="page649"/>
    <w:bookmarkEnd w:id="648"/>
    <w:p>
      <w:pPr>
        <w:ind w:left="1360" w:hanging="373"/>
        <w:spacing w:after="0"/>
        <w:tabs>
          <w:tab w:leader="none" w:pos="13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INDIRECT, INCIDENTAL, CONSEQUENTIAL, SPECIAL, EXEMPLARY OR PUNITIVE DAMAGES, OR</w:t>
      </w:r>
    </w:p>
    <w:p>
      <w:pPr>
        <w:spacing w:after="0" w:line="225" w:lineRule="exact"/>
        <w:rPr>
          <w:rFonts w:ascii="Times New Roman" w:cs="Times New Roman" w:eastAsia="Times New Roman" w:hAnsi="Times New Roman"/>
          <w:sz w:val="18"/>
          <w:szCs w:val="18"/>
          <w:color w:val="auto"/>
        </w:rPr>
      </w:pPr>
    </w:p>
    <w:p>
      <w:pPr>
        <w:jc w:val="both"/>
        <w:ind w:right="1700" w:firstLine="987"/>
        <w:spacing w:after="0" w:line="530" w:lineRule="auto"/>
        <w:tabs>
          <w:tab w:leader="none" w:pos="1381" w:val="left"/>
        </w:tabs>
        <w:numPr>
          <w:ilvl w:val="0"/>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LOSS OF PROFITS, DATA, GOODWILL OR REPUTATION, WHETHER DIRECT OR INDIRECT, ARISING FROM OR RELATING TO THIS AGREEMENT, REGARDLESS OF ANY NOTICE OF SUCH DAMAGES.</w:t>
      </w:r>
    </w:p>
    <w:p>
      <w:pPr>
        <w:spacing w:after="0" w:line="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EXCEPT WITH RESPECT TO WILLFUL MISCONDUCT BY LICENSOR, THE LIABILITY OF LICENSOR UNDER THIS AGREEMENT IS LIMITED TO A MAXIMUM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 THE TOTAL AMOUNT LICENSOR HAS RECEIVED PURSUANT TO THIS AGREEMENT FROM THE EFFECTIVE DATE UP TO THE DATE THE DAMAGE OCCURRED, WHICHEVER IS LESS.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color w:val="auto"/>
        </w:rPr>
        <w:t>EXCEPT WITH RESPECT TO LIMITATION OF LICENSOR’S LIABILITY AS SET FORTH IN THE LAST PRECEDING PARAGRAPH, NOTHING IN THIS AGREEMENT SHALL BE CONSTRUED SO AS TO LIMIT OR EXCLUDE A PARTY’S LIABILITY FOR DEATH OR PERSONAL INJURY CAUSED BY ITS NEGLIGENCE. NOTHING IN THIS AGREEMENT SHALL BE CONSTRUED SO AS TO LIMIT OR EXCLUDE A PARTY’S LIABILITY CAUSED BY FRAUD OR ANY OTHER LIABILITY THAT CANNOT BE EXCLUDED BY LAW.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9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become effective as of the Effective Date and unless earlier terminated as set forth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shall otherwise remain in effect on a perpetual basis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Upon any material breach of this Agreement by either Party, the other Party may terminate this Agreement by providing [***] prior written notice ([***] prior written notice with respect to a payment breach) to the breaching Party, specifying the material breach. The termination shall become effective at the end of the [***] (or [***], as applicable) period unless the breaching Party cures such breach during such [***] (or [***], as applicable) period.</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Termination for Insolvency Event</w:t>
      </w:r>
      <w:r>
        <w:rPr>
          <w:rFonts w:ascii="Times New Roman" w:cs="Times New Roman" w:eastAsia="Times New Roman" w:hAnsi="Times New Roman"/>
          <w:sz w:val="17"/>
          <w:szCs w:val="17"/>
          <w:color w:val="auto"/>
        </w:rPr>
        <w:t>. To the extent allowed under applicable Law, a Party shall have the right to terminate this Agreement in the event that (a) the other Party becomes unable to pay its debts as they fall due, or the value of its assets is less than the amount of its liabilities taking into account its contingent and prospective liabilities, (b) in relation to the other Party, a statutory demand is served, a receiver is appointed or any insolvency procedure is instituted or occurs (other than pursuant to a corporate restructuring) that is not dismissed or otherwise disposed of within [***] thereafter and/or the relevant administrator, liquidator or receiver has not, within [***] after the receipt of an inquiry from the other Party, confirmed that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649" w:name="page650"/>
    <w:bookmarkEnd w:id="649"/>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(on behalf of the affected Party) will adopt this Agreement, or (c) any order is made for or there occur proceedings constituting main proceedings in relation to the other Party in any member state of the European Union, or (d) any analogous demand, appointment or procedure is instituted or occurs in relation to the other Party in any jurisdiction in which the other Party carries on business.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for Convenience</w:t>
      </w:r>
      <w:r>
        <w:rPr>
          <w:rFonts w:ascii="Times New Roman" w:cs="Times New Roman" w:eastAsia="Times New Roman" w:hAnsi="Times New Roman"/>
          <w:sz w:val="18"/>
          <w:szCs w:val="18"/>
          <w:color w:val="auto"/>
        </w:rPr>
        <w:t>. Licensee may terminate this Agreement, at any time and for any reason or no reason after the first filing for IND or CTA, by providing [***] prior written notice to Licensor. The termination shall become effective at the end of the [***] period.</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Termination for Challenge of Licensed Patent Rights</w:t>
      </w:r>
      <w:r>
        <w:rPr>
          <w:rFonts w:ascii="Times New Roman" w:cs="Times New Roman" w:eastAsia="Times New Roman" w:hAnsi="Times New Roman"/>
          <w:sz w:val="18"/>
          <w:szCs w:val="18"/>
          <w:color w:val="auto"/>
        </w:rPr>
        <w:t>. If Licensee or any of its Affiliates (directly or upon its instruction, individually or in association with any other person or entity) challenges the validity of the Licensed Patent Rights in a legal proceeding or knowingly supports a Third Party in the challenge of a Licensed Patent Right in a legal proceeding (in each case before a court of competent jurisdiction) (each, a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Challenge</w:t>
      </w:r>
      <w:r>
        <w:rPr>
          <w:rFonts w:ascii="Times New Roman" w:cs="Times New Roman" w:eastAsia="Times New Roman" w:hAnsi="Times New Roman"/>
          <w:sz w:val="18"/>
          <w:szCs w:val="18"/>
          <w:color w:val="auto"/>
        </w:rPr>
        <w:t>”), Licensor may terminate this Agreement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notice. Any such termination shall only become effective if Licensee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 has not withdrawn such action upon notification by Licensor before the end of the above notice period. In the event a Sublicensee of Licensee (directly or upon its instruction, individually or in association with any other person or entity) initiates a Patent Challenge, Licensor may terminate this Agreement hereunder upon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prior written notice. Any such termination shall only become effective if Licensee does not reasonably assert its rights under the applicable sublicense agreement to terminate such sublicense before the end of the above notice period; provided, however, that Licensee shall not be required to assert a right to terminate the applicable sublicense, and Licensor shall have no right to terminate this Agreement, if Licensee does not assert its rights under the applicable sublicense agreement to terminate such sublicense upon advice of reputable intellectual property counsel to Licensee that such rights, or asserting or seeking to assert such rights, are contrary to applicable law or are unenforceable against such Sublicensee. For clarity, a Patent Challenge shall not include: (1) arguments that distinguish the inventions claimed in patents or patent applications owned or controlled by Licensee, its Affiliate or relevant Sublicensee (“</w:t>
      </w:r>
      <w:r>
        <w:rPr>
          <w:rFonts w:ascii="Times New Roman" w:cs="Times New Roman" w:eastAsia="Times New Roman" w:hAnsi="Times New Roman"/>
          <w:sz w:val="18"/>
          <w:szCs w:val="18"/>
          <w:b w:val="1"/>
          <w:bCs w:val="1"/>
          <w:color w:val="auto"/>
        </w:rPr>
        <w:t>Licensee Patents</w:t>
      </w:r>
      <w:r>
        <w:rPr>
          <w:rFonts w:ascii="Times New Roman" w:cs="Times New Roman" w:eastAsia="Times New Roman" w:hAnsi="Times New Roman"/>
          <w:sz w:val="18"/>
          <w:szCs w:val="18"/>
          <w:color w:val="auto"/>
        </w:rPr>
        <w:t>”) from those claimed in the License Patent Rights under applicable patent laws, regulations or administrative rules, in each case (i) in the ordinary course of ex parte prosecution of the Licensee Patents or (ii) in inter partes proceedings before the United States Patent and Trademark Office or other agency or tribunal in any jurisdiction, or in arbitration, wherein the Licensee Patents have been challenged; (2) arguments or assertions as to whether the Licensed Patent Rights claim a given product; (3) payments of patent costs to another licensor or assignor of Licensee Patents as required by the agreement under which rights to such patent rights were obtained, even if such other licensor or assignor is engaging in behavior or presenting arguments that would themselves be considered a Patent Challenge if done by the Licensee, its Affiliate or relevant Sublicensee; or (4) Licensee, its Affiliate or relevant Sublicensee being named as an essential party, real party in interest or other status similar to either of the foregoing in an adversarial proceeding or making such filings or responses as may be legally required in a proceeding not initiated by Licensee, its Affiliate or relevant Sublicensee.</w:t>
      </w:r>
    </w:p>
    <w:p>
      <w:pPr>
        <w:spacing w:after="0" w:line="18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650" w:name="page651"/>
    <w:bookmarkEnd w:id="650"/>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9.7 </w:t>
      </w:r>
      <w:r>
        <w:rPr>
          <w:rFonts w:ascii="Times New Roman" w:cs="Times New Roman" w:eastAsia="Times New Roman" w:hAnsi="Times New Roman"/>
          <w:sz w:val="18"/>
          <w:szCs w:val="18"/>
          <w:u w:val="single" w:color="auto"/>
          <w:color w:val="auto"/>
        </w:rPr>
        <w:t>Continued Sales</w:t>
      </w:r>
      <w:r>
        <w:rPr>
          <w:rFonts w:ascii="Times New Roman" w:cs="Times New Roman" w:eastAsia="Times New Roman" w:hAnsi="Times New Roman"/>
          <w:sz w:val="18"/>
          <w:szCs w:val="18"/>
          <w:color w:val="auto"/>
        </w:rPr>
        <w:t xml:space="preserve">. For a period of [***] after the effective date of termination of this Agreement, if such termination occurs after Regulatory Approval of a Licensed Product, Licensee and its Affiliates and Sublicensees shall be entitled to finish work in progress and to sell any of the Licensed Products remaining in inventory in accordance with the terms of this Agreement to the extent such Licensed Products were being sold at the time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sales and related activities shall be subject to the terms and conditions of this Agreement.</w:t>
      </w:r>
    </w:p>
    <w:p>
      <w:pPr>
        <w:spacing w:after="0" w:line="18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u w:val="single" w:color="auto"/>
          <w:color w:val="auto"/>
        </w:rPr>
        <w:t>Effects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987"/>
        <w:spacing w:after="0" w:line="253" w:lineRule="auto"/>
        <w:tabs>
          <w:tab w:leader="none" w:pos="1371"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Termination of this Agreement shall be in addition to, and shall not prejudice, the Parties’ remedies at law or in equity, including the Parties’ ability to receive legal damages or equitable relief with respect to any breach of this Agreement, regardless of whether or not such breach was the reason for the termination. In the event of any termination of this Agreement, the Parties will work together in good faith to determine and implement reasonable wind-down procedures with respect to relevant Licensed Product- related activities ongoing at the time of such termination, which shall include continuation of the licenses granted to Licensee hereunder (and subject to the continuing terms and conditions of this Agreement) to permit Licensee and its Affiliates and Sublicensees to continue and complete any ongoing clinical trials of Licensed Products and to make or have made such Licensed Products as necessary to continue and complete such clinical trials;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that the event such termination is by Licensor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9.2, and 9.4</w:t>
      </w:r>
      <w:r>
        <w:rPr>
          <w:rFonts w:ascii="Times New Roman" w:cs="Times New Roman" w:eastAsia="Times New Roman" w:hAnsi="Times New Roman"/>
          <w:sz w:val="18"/>
          <w:szCs w:val="18"/>
          <w:color w:val="auto"/>
        </w:rPr>
        <w:t>, such activities shall be limited to those necessary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Licensee to comply with regulatory obligations, or medical or ethical obligations to patients consistent with industry standards.</w:t>
      </w:r>
    </w:p>
    <w:p>
      <w:pPr>
        <w:spacing w:after="0" w:line="191" w:lineRule="exact"/>
        <w:rPr>
          <w:rFonts w:ascii="Times New Roman" w:cs="Times New Roman" w:eastAsia="Times New Roman" w:hAnsi="Times New Roman"/>
          <w:sz w:val="18"/>
          <w:szCs w:val="18"/>
          <w:color w:val="auto"/>
        </w:rPr>
      </w:pPr>
    </w:p>
    <w:p>
      <w:pPr>
        <w:ind w:right="60" w:firstLine="987"/>
        <w:spacing w:after="0" w:line="253" w:lineRule="auto"/>
        <w:tabs>
          <w:tab w:leader="none" w:pos="1381"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Licenses</w:t>
      </w:r>
      <w:r>
        <w:rPr>
          <w:rFonts w:ascii="Times New Roman" w:cs="Times New Roman" w:eastAsia="Times New Roman" w:hAnsi="Times New Roman"/>
          <w:sz w:val="18"/>
          <w:szCs w:val="18"/>
          <w:color w:val="auto"/>
        </w:rPr>
        <w:t xml:space="preserve">. In the event of any termination of this Agreement by Licensor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or by Licensee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upon the effective date of such termination: (i) all rights and licenses granted herein to Licensee shall terminate with respect to the terminated Licensed Product(s) and all such rights and licenses granted by Licensor to Licensee shall revert to Licensor, other than any continuing rights provided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9.8(a)</w:t>
      </w:r>
      <w:r>
        <w:rPr>
          <w:rFonts w:ascii="Times New Roman" w:cs="Times New Roman" w:eastAsia="Times New Roman" w:hAnsi="Times New Roman"/>
          <w:sz w:val="18"/>
          <w:szCs w:val="18"/>
          <w:color w:val="auto"/>
        </w:rPr>
        <w:t>; and (ii) Licensee shall return or destroy all Confidential Information of Licensor; and (iii) Licensee shall free of charge provide Licensor with access to all data, including but not limited to all development information, formulation data, manufacturing processes, regulatory approvals and clinical data, in its possession generated by or on behalf of Licensee on Licensed Product(s) researched, developed, manufactured or Commercialized under this Agreement, subject to the terms of any applicable confidentiality agreements; and (iv) Licensee shall negotiate in good faith, expeditiously and with the intention of enabling the continued development of Licensed Products on an uninterrupted basis with Licensor the terms, such terms being customary in the market, under which Licensee would grant, and shall grant in accordance with such terms, to Licensor (A) a non-exclusive, perpetual and worldwide license (with the right to sublicense in multiple tiers) (1) under the Licensee Technology to the extent such Licensee Technology has been used for the development, manufacture or Commercialization of the Licensed Products and (2) to all data, including but not limited to all development information, formulation data, manufacturing processes, regulatory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651" w:name="page652"/>
    <w:bookmarkEnd w:id="651"/>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approvals and clinical data, in Licensee’s possession generated by or on behalf of Licensee on Licensed Product(s) researched, developed, manufactured or Commercialized under this Agreement, and (B) an assignment to Licensor of any regulatory approvals and materials, including but not limited to cell lines, drug substances and drug products, in its possession generated by or on behalf of Licensee on Licensed Product(s) researched, developed, manufactured or Commercialized under this Agreement (provided that Licensee may not charge Licensor an amount more than Licensee’s cost plus</w:t>
      </w:r>
    </w:p>
    <w:p>
      <w:pPr>
        <w:spacing w:after="0" w:line="3" w:lineRule="exact"/>
        <w:rPr>
          <w:sz w:val="20"/>
          <w:szCs w:val="20"/>
          <w:color w:val="auto"/>
        </w:rPr>
      </w:pPr>
    </w:p>
    <w:p>
      <w:pPr>
        <w:ind w:left="4" w:right="20" w:hanging="4"/>
        <w:spacing w:after="0" w:line="251" w:lineRule="auto"/>
        <w:tabs>
          <w:tab w:leader="none" w:pos="439"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such materials), in each instance of the foregoing clauses (A) and (B) for the continued development, manufacture or Commercialization of the Licensed Products and subject to any restrictions, limitations and obligations provided under the terms of any agreement pursuant to which Licensee has obtained rights or licenses in or to any Licensee Technology, such data, regulatory approvals or materials. Licensee shall undertake to take any actions and execute any instruments, assignments and documents as may be reasonably necessary to affect the aforementioned license and assignment to Licensor. In the event of any termination of this Agreement by Licensee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upon the effective date of such termination: (i) all rights and licenses granted herein to Licensee shall terminate with respect to the terminated Licensed Product(s) and all such rights and licenses granted by Licensor to Licensee shall revert to Licensor, other than any continuing rights provided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9.8(a)</w:t>
      </w:r>
      <w:r>
        <w:rPr>
          <w:rFonts w:ascii="Times New Roman" w:cs="Times New Roman" w:eastAsia="Times New Roman" w:hAnsi="Times New Roman"/>
          <w:sz w:val="18"/>
          <w:szCs w:val="18"/>
          <w:color w:val="auto"/>
        </w:rPr>
        <w:t xml:space="preserve"> and (ii) Licensee shall return or destroy all Confidential Information of Licensor.</w:t>
      </w:r>
    </w:p>
    <w:p>
      <w:pPr>
        <w:spacing w:after="0" w:line="194"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following provisions shall survive the expiration or termination of this Agreement: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(Definitions) (to the extent necessary to give effect to other surviving provisions),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(Indemnification; Insurance; and Limitation on Damages) (other than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(Insurance))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(Miscellaneous Provisions), and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(Sublicensing) (and such other provisions of this Agreement as are necessary to give effect to the continuing licenses contemplated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(Success Fee) (until all amounts payable in accordance with its terms are paid),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(Reports; Audit Rights) (for a period of [***] after expiration or termination),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(Ownership),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(Joint IP Rights), </w:t>
      </w:r>
      <w:r>
        <w:rPr>
          <w:rFonts w:ascii="Times New Roman" w:cs="Times New Roman" w:eastAsia="Times New Roman" w:hAnsi="Times New Roman"/>
          <w:sz w:val="18"/>
          <w:szCs w:val="18"/>
          <w:u w:val="single" w:color="auto"/>
          <w:color w:val="auto"/>
        </w:rPr>
        <w:t>9.7</w:t>
      </w:r>
      <w:r>
        <w:rPr>
          <w:rFonts w:ascii="Times New Roman" w:cs="Times New Roman" w:eastAsia="Times New Roman" w:hAnsi="Times New Roman"/>
          <w:sz w:val="18"/>
          <w:szCs w:val="18"/>
          <w:color w:val="auto"/>
        </w:rPr>
        <w:t xml:space="preserve"> (Continued Sales) (for the period set forth therein),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(Effects of Termination) and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(Survival).</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9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Governing Law; Language</w:t>
      </w:r>
      <w:r>
        <w:rPr>
          <w:rFonts w:ascii="Times New Roman" w:cs="Times New Roman" w:eastAsia="Times New Roman" w:hAnsi="Times New Roman"/>
          <w:sz w:val="18"/>
          <w:szCs w:val="18"/>
          <w:color w:val="auto"/>
        </w:rPr>
        <w:t>. This Agreement and all disputes arising out of or related to this Agreement, whether of a contractual or non-contractual nature, shall be construed and the respective rights of the Parties determined in accordance with the laws of Germany, without reference to any rules of conflict of laws and the UN Law on the International Sale of Goods (CISG). This Agreement and all communications related to it, or to any dispute or controversy arising out of it, shall be conducted in English.</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required to be given under this Agreement shall be in writing and addressed to a Party at its address set forth beneath its signature below, and shall be sufficiently given (a) upon receipt, (b) [***] (calculated at the location of the recipient) after deposit with a reputable, international express courier service for next or second Business Day delivery, or [***] after being deposited with the applicable postal service if sent by prepaid, express, first class, certified or registered mail, return receipt requested. A Party may change its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652" w:name="page653"/>
    <w:bookmarkEnd w:id="652"/>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address for the giving of notices hereunder by written notice given in accordance with the terms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With respect to any notice given to Licensor or to any or all of DKFZ, University of Tübingen or UFE hereunder, such notice shall be given by Licensee to DKFZ, with a copy to each of University of Tübingen and UFE.</w:t>
      </w:r>
    </w:p>
    <w:p>
      <w:pPr>
        <w:spacing w:after="0" w:line="176" w:lineRule="exact"/>
        <w:rPr>
          <w:sz w:val="20"/>
          <w:szCs w:val="20"/>
          <w:color w:val="auto"/>
        </w:rPr>
      </w:pPr>
    </w:p>
    <w:p>
      <w:pPr>
        <w:ind w:left="4" w:right="1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Party may, without the consent of the other Party, assign or transfer any of its rights and obligations hereunder;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each Party may assign and transfer this Agreement, in its entirety, without the consent of the other Party, in connection with a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all or substantially all of its business and assets to which this Agreement relates, including by way of merger, consolidation, transfer, or sale of assets related to this Agreement, except to Affiliates of Licensee, and (b) Licensee may assign and transfer this Agreement, in its entirety, subject to the prior written consent of the Licensor (such consent not to be unreasonably withheld, conditioned or delayed), to an Affiliate so long as, prior to the First Change of Control, Licensee and such Affiliate assignee arrange to preserve or duplicate, the anti-dilution protection and other rights provided to Licensor under this Agreement (including, but not limited to, the Success Fee set forth in Section 4.5 hereof), the Subscription Agreements and any other corporate documentation entered into by Subscribers in connection with the Subscription Agreements (inclusive of any investors’ rights agreement, right of first refusal and co-sale agreement, voting agreement or other similar corporate document). Any assignment or transfer in circumvention of the foregoing shall be void. Subject to the foregoing, this Agreement shall be binding upon and inure to the benefit of the Parties hereto and their respective permitted successors and assigns.</w:t>
      </w:r>
    </w:p>
    <w:p>
      <w:pPr>
        <w:spacing w:after="0" w:line="19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its subject matter and supersedes all prior agreements or understandings between the Parties relating to its subject matter, including without limitation the Exclusive Option Agreement.</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w:t>
      </w:r>
    </w:p>
    <w:p>
      <w:pPr>
        <w:spacing w:after="0" w:line="5" w:lineRule="exact"/>
        <w:rPr>
          <w:sz w:val="20"/>
          <w:szCs w:val="20"/>
          <w:color w:val="auto"/>
        </w:rPr>
      </w:pPr>
    </w:p>
    <w:p>
      <w:pPr>
        <w:ind w:left="4" w:right="40" w:hanging="4"/>
        <w:spacing w:after="0" w:line="270" w:lineRule="auto"/>
        <w:tabs>
          <w:tab w:leader="none" w:pos="259" w:val="left"/>
        </w:tabs>
        <w:numPr>
          <w:ilvl w:val="0"/>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“hereby” and derivative or similar words refer to this Agreement (including any Exhibits);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653" w:name="page654"/>
    <w:bookmarkEnd w:id="65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then-current modification, amendment and re-enactment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may be amended, supplemented, or otherwise modified only by means of a written instrument signed by both Parties. Any waiver of any right or failure to act in a specific instance shall related only to such instance and shall not be construed as an agreement to waive any right or fail to act in any other instance, whether or not similar.</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shall be held invalid or 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xml:space="preserve">. Neither Party shall not use the other Party’s name (except in connection with disclosures permitted under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or logo without the other Party’s express prior written consent, which consent may be granted in the context of the Parties mutually approving a press release or other public disclosure related to this Agreement.</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counterparts, when so executed and delivered, shall be deemed to be an original, and all of which counterparts, taken together, shall constitute one and the same instrument.</w:t>
      </w:r>
    </w:p>
    <w:p>
      <w:pPr>
        <w:spacing w:after="0" w:line="162"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xml:space="preserve">. Neither Party will be responsible for delays resulting from causes beyond the reasonable control of such Party, including pandemic, fire, explosion, flood, war, strike, or riot,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nonperforming Party uses commercially reasonable efforts to avoid or remove such causes of nonperformance and continues performance under this Agreement with reasonable dispatch whenever such causes are removed. For the avoidance of doubt, the COVID-19 pandemic as occurring at the Effective Date shall not be deemed a Force Majeure event under this Section 10.10</w:t>
      </w:r>
    </w:p>
    <w:p>
      <w:pPr>
        <w:spacing w:after="0" w:line="16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987"/>
        <w:spacing w:after="0" w:line="258" w:lineRule="auto"/>
        <w:tabs>
          <w:tab w:leader="none" w:pos="1371"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Escalation</w:t>
      </w:r>
      <w:r>
        <w:rPr>
          <w:rFonts w:ascii="Times New Roman" w:cs="Times New Roman" w:eastAsia="Times New Roman" w:hAnsi="Times New Roman"/>
          <w:sz w:val="18"/>
          <w:szCs w:val="18"/>
          <w:color w:val="auto"/>
        </w:rPr>
        <w:t xml:space="preserve">. If any dispute arises out of or relates to this Agreement, the Parties agree to first seek to resolve such dispute by referring such dispute to the respective Chief Executive Officers of Licensor and Licensee for resolution. Such referral shall take place within [***] after a written request by either Party to the other Party that resolution by the Chief Executive Officers be attempted. If, after an additional [***], the Chief Executive Officers of Licensor and Licensee have not succeeded in negotiating a resolution of the dispute, and a Party wishes to pursue the matter, such Party may initiate binding arbitration in accordance with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54" w:name="page655"/>
    <w:bookmarkEnd w:id="654"/>
    <w:p>
      <w:pPr>
        <w:ind w:right="140" w:firstLine="987"/>
        <w:spacing w:after="0" w:line="261" w:lineRule="auto"/>
        <w:tabs>
          <w:tab w:leader="none" w:pos="1381"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Alternative Dispute Resolution</w:t>
      </w:r>
      <w:r>
        <w:rPr>
          <w:rFonts w:ascii="Times New Roman" w:cs="Times New Roman" w:eastAsia="Times New Roman" w:hAnsi="Times New Roman"/>
          <w:sz w:val="18"/>
          <w:szCs w:val="18"/>
          <w:color w:val="auto"/>
        </w:rPr>
        <w:t xml:space="preserve">. Any dispute arising out of or relating to this Agreement, including a dispute as to the validity or existence of this Agreement, that has not been resolved pursuant to </w:t>
      </w:r>
      <w:r>
        <w:rPr>
          <w:rFonts w:ascii="Times New Roman" w:cs="Times New Roman" w:eastAsia="Times New Roman" w:hAnsi="Times New Roman"/>
          <w:sz w:val="18"/>
          <w:szCs w:val="18"/>
          <w:u w:val="single" w:color="auto"/>
          <w:color w:val="auto"/>
        </w:rPr>
        <w:t>Section 10.11(a)</w:t>
      </w:r>
      <w:r>
        <w:rPr>
          <w:rFonts w:ascii="Times New Roman" w:cs="Times New Roman" w:eastAsia="Times New Roman" w:hAnsi="Times New Roman"/>
          <w:sz w:val="18"/>
          <w:szCs w:val="18"/>
          <w:color w:val="auto"/>
        </w:rPr>
        <w:t xml:space="preserve"> shall be resolved through binding arbitration in Munich, Germany by a single arbitrator pursuant to the Arbitration Rules of the Deutsche Institution für Schiedsgerichtsbarkeit e.V. (“</w:t>
      </w:r>
      <w:r>
        <w:rPr>
          <w:rFonts w:ascii="Times New Roman" w:cs="Times New Roman" w:eastAsia="Times New Roman" w:hAnsi="Times New Roman"/>
          <w:sz w:val="18"/>
          <w:szCs w:val="18"/>
          <w:b w:val="1"/>
          <w:bCs w:val="1"/>
          <w:color w:val="auto"/>
        </w:rPr>
        <w:t>DIS Rules</w:t>
      </w:r>
      <w:r>
        <w:rPr>
          <w:rFonts w:ascii="Times New Roman" w:cs="Times New Roman" w:eastAsia="Times New Roman" w:hAnsi="Times New Roman"/>
          <w:sz w:val="18"/>
          <w:szCs w:val="18"/>
          <w:color w:val="auto"/>
        </w:rPr>
        <w:t>”) and unless agreed by the Parties, or the arbitrator rules otherwise, the following shall apply:</w:t>
      </w:r>
    </w:p>
    <w:p>
      <w:pPr>
        <w:spacing w:after="0" w:line="71" w:lineRule="exact"/>
        <w:rPr>
          <w:rFonts w:ascii="Times New Roman" w:cs="Times New Roman" w:eastAsia="Times New Roman" w:hAnsi="Times New Roman"/>
          <w:sz w:val="18"/>
          <w:szCs w:val="18"/>
          <w:color w:val="auto"/>
        </w:rPr>
      </w:pPr>
    </w:p>
    <w:p>
      <w:pPr>
        <w:ind w:left="1760" w:hanging="332"/>
        <w:spacing w:after="0"/>
        <w:tabs>
          <w:tab w:leader="none" w:pos="17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submit such dispute to arbitration by notifying the other Party, in writing, of such dispute.</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will be heard and determined by one (1) arbitrator, who will be jointly selected by the Parties.</w:t>
      </w:r>
    </w:p>
    <w:p>
      <w:pPr>
        <w:spacing w:after="0" w:line="225" w:lineRule="exact"/>
        <w:rPr>
          <w:rFonts w:ascii="Times New Roman" w:cs="Times New Roman" w:eastAsia="Times New Roman" w:hAnsi="Times New Roman"/>
          <w:sz w:val="18"/>
          <w:szCs w:val="18"/>
          <w:color w:val="auto"/>
        </w:rPr>
      </w:pPr>
    </w:p>
    <w:p>
      <w:pPr>
        <w:ind w:right="80" w:firstLine="1428"/>
        <w:spacing w:after="0" w:line="261" w:lineRule="auto"/>
        <w:tabs>
          <w:tab w:leader="none" w:pos="1882"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 following the date upon which a claim is received by the respondent, the Parties cannot agree on a single arbitrator, the arbitration will be heard and determined by three (3) arbitrators, with one arbitrator being appointed by each Party and the third arbitrator being selected by the two Party-appointed arbitrators. If either Party fails to select an arbitrator, or if the Party-appointed arbitrators cannot agree on a third arbitrator within [***] of the respondent receiving the claim, such arbitrator will be appointed in accordance with the DIS Rules.</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869"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use his or her best efforts to make an award on each disputed issue within [***] after the completion of the arbitration. The determination of the arbitrator as to the resolution of any dispute shall be binding and conclusive upon all Parties. All rulings of the arbitrator shall be in writing and shall be delivered to the Parties.</w:t>
      </w:r>
    </w:p>
    <w:p>
      <w:pPr>
        <w:spacing w:after="0" w:line="175" w:lineRule="exact"/>
        <w:rPr>
          <w:rFonts w:ascii="Times New Roman" w:cs="Times New Roman" w:eastAsia="Times New Roman" w:hAnsi="Times New Roman"/>
          <w:sz w:val="18"/>
          <w:szCs w:val="18"/>
          <w:color w:val="auto"/>
        </w:rPr>
      </w:pPr>
    </w:p>
    <w:p>
      <w:pPr>
        <w:ind w:right="360" w:firstLine="1428"/>
        <w:spacing w:after="0" w:line="282" w:lineRule="auto"/>
        <w:tabs>
          <w:tab w:leader="none" w:pos="1819"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attorneys’ fees of the Parties in any arbitration, fees of the arbitrator, and costs and expenses of the arbitration shall be borne by the Parties as determined by the arbitrator.</w:t>
      </w:r>
    </w:p>
    <w:p>
      <w:pPr>
        <w:spacing w:after="0" w:line="161" w:lineRule="exact"/>
        <w:rPr>
          <w:rFonts w:ascii="Times New Roman" w:cs="Times New Roman" w:eastAsia="Times New Roman" w:hAnsi="Times New Roman"/>
          <w:sz w:val="18"/>
          <w:szCs w:val="18"/>
          <w:color w:val="auto"/>
        </w:rPr>
      </w:pPr>
    </w:p>
    <w:p>
      <w:pPr>
        <w:ind w:right="100" w:firstLine="1428"/>
        <w:spacing w:after="0" w:line="282" w:lineRule="auto"/>
        <w:tabs>
          <w:tab w:leader="none" w:pos="1862"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arbitration pursuant to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conducted in Munich, Germany. Any arbitration award may be entered in and enforced by any court of competent jurisdiction.</w:t>
      </w:r>
    </w:p>
    <w:p>
      <w:pPr>
        <w:spacing w:after="0" w:line="161" w:lineRule="exact"/>
        <w:rPr>
          <w:rFonts w:ascii="Times New Roman" w:cs="Times New Roman" w:eastAsia="Times New Roman" w:hAnsi="Times New Roman"/>
          <w:sz w:val="18"/>
          <w:szCs w:val="18"/>
          <w:color w:val="auto"/>
        </w:rPr>
      </w:pPr>
    </w:p>
    <w:p>
      <w:pPr>
        <w:ind w:right="60" w:firstLine="987"/>
        <w:spacing w:after="0" w:line="258" w:lineRule="auto"/>
        <w:tabs>
          <w:tab w:leader="none" w:pos="1371"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Limitation</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construed as limiting in any way the right of a Party to seek an injunction or other equitable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83"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Offset Rights</w:t>
      </w:r>
      <w:r>
        <w:rPr>
          <w:rFonts w:ascii="Times New Roman" w:cs="Times New Roman" w:eastAsia="Times New Roman" w:hAnsi="Times New Roman"/>
          <w:sz w:val="18"/>
          <w:szCs w:val="18"/>
          <w:color w:val="auto"/>
        </w:rPr>
        <w:t>. Notwithstanding anything to the contrary in this Agreement, neither Party may, at any time or for any reason, offset any payments due to the other Party or its Affiliates under this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655" w:name="page656"/>
    <w:bookmarkEnd w:id="655"/>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 Person other than Licensee, Licensor and their respective Affiliates, successors and permitted assignees hereunder, shall be deemed an intended beneficiary hereunder or have any right to enforce any obligation of this Agreement.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It is expressly agreed that Licensee and Licensor shall be independent contractors and that the relationship between Licensee and Licensor shall not constitute a partnership, joint venture or agency. Neither Licensee nor Licensor shall have the authority to make any statements, representations, or commitments of any kind, or to take any action, which shall be binding on the other Party, without the prior written consent of such other Party.</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at its own cost from time to time, on being required to do so by the other Party, do or procure the doing of all such acts and/or execute or procure the execution of all such documents in a form satisfactory to the other Party for giving full effect to this Agreement and securing to the other Party the full benefit of the rights, powers, privileges and remedies conferred upon the other Party in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CULLINAN FLORENTINE CORP.</w:t>
            </w:r>
          </w:p>
        </w:tc>
        <w:tc>
          <w:tcPr>
            <w:tcW w:w="5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DEUTSCHES KREBSFORSCHUNGSZENTRUM</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3"/>
          </w:tcPr>
          <w:p>
            <w:pPr>
              <w:jc w:val="right"/>
              <w:ind w:right="2590"/>
              <w:spacing w:after="0"/>
              <w:rPr>
                <w:sz w:val="20"/>
                <w:szCs w:val="20"/>
                <w:color w:val="auto"/>
              </w:rPr>
            </w:pPr>
            <w:r>
              <w:rPr>
                <w:rFonts w:ascii="Times New Roman" w:cs="Times New Roman" w:eastAsia="Times New Roman" w:hAnsi="Times New Roman"/>
                <w:sz w:val="18"/>
                <w:szCs w:val="18"/>
                <w:color w:val="auto"/>
                <w:w w:val="98"/>
              </w:rPr>
              <w:t>/s/ Philipp Matthias Seimel</w:t>
            </w: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Dirk Kuck</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1"/>
              </w:rPr>
              <w:t>Name: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Borders>
              <w:bottom w:val="single" w:sz="8" w:color="auto"/>
            </w:tcBorders>
          </w:tcPr>
          <w:p>
            <w:pPr>
              <w:jc w:val="right"/>
              <w:ind w:right="2570"/>
              <w:spacing w:after="0"/>
              <w:rPr>
                <w:sz w:val="20"/>
                <w:szCs w:val="20"/>
                <w:color w:val="auto"/>
              </w:rPr>
            </w:pPr>
            <w:r>
              <w:rPr>
                <w:rFonts w:ascii="Times New Roman" w:cs="Times New Roman" w:eastAsia="Times New Roman" w:hAnsi="Times New Roman"/>
                <w:sz w:val="18"/>
                <w:szCs w:val="18"/>
                <w:color w:val="auto"/>
                <w:w w:val="98"/>
              </w:rPr>
              <w:t>Philipp Matthais Seimel</w:t>
            </w: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7"/>
              </w:rPr>
              <w:t>Name: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Dirk Kuck</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19"/>
                <w:szCs w:val="19"/>
                <w:color w:val="auto"/>
              </w:rPr>
            </w:pPr>
          </w:p>
        </w:tc>
        <w:tc>
          <w:tcPr>
            <w:tcW w:w="4520" w:type="dxa"/>
            <w:vAlign w:val="bottom"/>
            <w:gridSpan w:val="2"/>
          </w:tcPr>
          <w:p>
            <w:pPr>
              <w:jc w:val="right"/>
              <w:ind w:right="3230"/>
              <w:spacing w:after="0"/>
              <w:rPr>
                <w:sz w:val="20"/>
                <w:szCs w:val="20"/>
                <w:color w:val="auto"/>
              </w:rPr>
            </w:pPr>
            <w:r>
              <w:rPr>
                <w:rFonts w:ascii="Times New Roman" w:cs="Times New Roman" w:eastAsia="Times New Roman" w:hAnsi="Times New Roman"/>
                <w:sz w:val="18"/>
                <w:szCs w:val="18"/>
                <w:color w:val="auto"/>
                <w:w w:val="98"/>
              </w:rPr>
              <w:t>August 31, 2020</w:t>
            </w: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31, 2020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185"/>
        </w:trPr>
        <w:tc>
          <w:tcPr>
            <w:tcW w:w="680" w:type="dxa"/>
            <w:vAlign w:val="bottom"/>
            <w:gridSpan w:val="3"/>
          </w:tcPr>
          <w:p>
            <w:pPr>
              <w:spacing w:after="0" w:line="185" w:lineRule="exact"/>
              <w:rPr>
                <w:sz w:val="20"/>
                <w:szCs w:val="20"/>
                <w:color w:val="auto"/>
              </w:rPr>
            </w:pPr>
            <w:r>
              <w:rPr>
                <w:rFonts w:ascii="Times New Roman" w:cs="Times New Roman" w:eastAsia="Times New Roman" w:hAnsi="Times New Roman"/>
                <w:sz w:val="18"/>
                <w:szCs w:val="18"/>
                <w:color w:val="auto"/>
              </w:rPr>
              <w:t>Address:</w:t>
            </w:r>
          </w:p>
        </w:tc>
        <w:tc>
          <w:tcPr>
            <w:tcW w:w="4400" w:type="dxa"/>
            <w:vAlign w:val="bottom"/>
          </w:tcPr>
          <w:p>
            <w:pPr>
              <w:jc w:val="right"/>
              <w:ind w:right="3690"/>
              <w:spacing w:after="0" w:line="185"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gridSpan w:val="4"/>
          </w:tcPr>
          <w:p>
            <w:pPr>
              <w:ind w:left="860"/>
              <w:spacing w:after="0" w:line="185" w:lineRule="exact"/>
              <w:rPr>
                <w:sz w:val="20"/>
                <w:szCs w:val="20"/>
                <w:color w:val="auto"/>
              </w:rPr>
            </w:pPr>
            <w:r>
              <w:rPr>
                <w:rFonts w:ascii="Times New Roman" w:cs="Times New Roman" w:eastAsia="Times New Roman" w:hAnsi="Times New Roman"/>
                <w:sz w:val="18"/>
                <w:szCs w:val="18"/>
                <w:color w:val="auto"/>
              </w:rPr>
              <w:t>Address: [***]</w:t>
            </w: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w:t>
            </w: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w:t>
            </w: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w:t>
            </w: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522"/>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EBERHARD KARLS UNIVERSITY</w:t>
            </w:r>
          </w:p>
        </w:tc>
        <w:tc>
          <w:tcPr>
            <w:tcW w:w="5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UNIVERSITÄTSMEDIZIN</w:t>
            </w:r>
          </w:p>
        </w:tc>
      </w:tr>
      <w:tr>
        <w:trPr>
          <w:trHeight w:val="216"/>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TUEBINGEN, FACULTY</w:t>
            </w:r>
          </w:p>
        </w:tc>
        <w:tc>
          <w:tcPr>
            <w:tcW w:w="5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GESELLSCHAFT FÜR FORSCHUNG</w:t>
            </w:r>
          </w:p>
        </w:tc>
      </w:tr>
      <w:tr>
        <w:trPr>
          <w:trHeight w:val="234"/>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MEDICINE</w:t>
            </w:r>
          </w:p>
        </w:tc>
        <w:tc>
          <w:tcPr>
            <w:tcW w:w="5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UND ENTWICKLUNG MBH, TÜBINGEN</w:t>
            </w:r>
          </w:p>
        </w:tc>
      </w:tr>
      <w:tr>
        <w:trPr>
          <w:trHeight w:val="55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3"/>
          </w:tcPr>
          <w:p>
            <w:pPr>
              <w:jc w:val="right"/>
              <w:ind w:right="2590"/>
              <w:spacing w:after="0"/>
              <w:rPr>
                <w:sz w:val="20"/>
                <w:szCs w:val="20"/>
                <w:color w:val="auto"/>
              </w:rPr>
            </w:pPr>
            <w:r>
              <w:rPr>
                <w:rFonts w:ascii="Times New Roman" w:cs="Times New Roman" w:eastAsia="Times New Roman" w:hAnsi="Times New Roman"/>
                <w:sz w:val="18"/>
                <w:szCs w:val="18"/>
                <w:color w:val="auto"/>
                <w:w w:val="97"/>
              </w:rPr>
              <w:t>/s/ Tobias Anton Schneider</w:t>
            </w:r>
          </w:p>
        </w:tc>
        <w:tc>
          <w:tcPr>
            <w:tcW w:w="594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By:  /s/ Tobias Anton Schneider</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1"/>
              </w:rPr>
              <w:t>Name:</w:t>
            </w:r>
          </w:p>
        </w:tc>
        <w:tc>
          <w:tcPr>
            <w:tcW w:w="220" w:type="dxa"/>
            <w:vAlign w:val="bottom"/>
            <w:tcBorders>
              <w:top w:val="single" w:sz="8" w:color="auto"/>
            </w:tcBorders>
            <w:gridSpan w:val="2"/>
          </w:tcPr>
          <w:p>
            <w:pPr>
              <w:spacing w:after="0"/>
              <w:rPr>
                <w:sz w:val="19"/>
                <w:szCs w:val="19"/>
                <w:color w:val="auto"/>
              </w:rPr>
            </w:pPr>
          </w:p>
        </w:tc>
        <w:tc>
          <w:tcPr>
            <w:tcW w:w="4400" w:type="dxa"/>
            <w:vAlign w:val="bottom"/>
            <w:tcBorders>
              <w:top w:val="single" w:sz="8" w:color="auto"/>
              <w:bottom w:val="single" w:sz="8" w:color="auto"/>
            </w:tcBorders>
          </w:tcPr>
          <w:p>
            <w:pPr>
              <w:jc w:val="right"/>
              <w:ind w:right="2310"/>
              <w:spacing w:after="0"/>
              <w:rPr>
                <w:sz w:val="20"/>
                <w:szCs w:val="20"/>
                <w:color w:val="auto"/>
              </w:rPr>
            </w:pPr>
            <w:r>
              <w:rPr>
                <w:rFonts w:ascii="Times New Roman" w:cs="Times New Roman" w:eastAsia="Times New Roman" w:hAnsi="Times New Roman"/>
                <w:sz w:val="18"/>
                <w:szCs w:val="18"/>
                <w:color w:val="auto"/>
                <w:w w:val="97"/>
              </w:rPr>
              <w:t>Dr. Tobias Anton Schneider</w:t>
            </w: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7"/>
              </w:rPr>
              <w:t>Name:</w:t>
            </w:r>
          </w:p>
        </w:tc>
        <w:tc>
          <w:tcPr>
            <w:tcW w:w="220" w:type="dxa"/>
            <w:vAlign w:val="bottom"/>
            <w:tcBorders>
              <w:top w:val="single" w:sz="8" w:color="auto"/>
            </w:tcBorders>
            <w:gridSpan w:val="2"/>
          </w:tcPr>
          <w:p>
            <w:pPr>
              <w:spacing w:after="0"/>
              <w:rPr>
                <w:sz w:val="19"/>
                <w:szCs w:val="19"/>
                <w:color w:val="auto"/>
              </w:rPr>
            </w:pPr>
          </w:p>
        </w:tc>
        <w:tc>
          <w:tcPr>
            <w:tcW w:w="4400" w:type="dxa"/>
            <w:vAlign w:val="bottom"/>
            <w:tcBorders>
              <w:top w:val="single" w:sz="8" w:color="auto"/>
              <w:bottom w:val="single" w:sz="8" w:color="auto"/>
            </w:tcBorders>
          </w:tcPr>
          <w:p>
            <w:pPr>
              <w:jc w:val="right"/>
              <w:ind w:right="2310"/>
              <w:spacing w:after="0"/>
              <w:rPr>
                <w:sz w:val="20"/>
                <w:szCs w:val="20"/>
                <w:color w:val="auto"/>
              </w:rPr>
            </w:pPr>
            <w:r>
              <w:rPr>
                <w:rFonts w:ascii="Times New Roman" w:cs="Times New Roman" w:eastAsia="Times New Roman" w:hAnsi="Times New Roman"/>
                <w:sz w:val="18"/>
                <w:szCs w:val="18"/>
                <w:color w:val="auto"/>
                <w:w w:val="97"/>
              </w:rPr>
              <w:t>Dr. Tobias Anton Schneider</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19"/>
                <w:szCs w:val="19"/>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19"/>
                <w:szCs w:val="19"/>
                <w:color w:val="auto"/>
              </w:rPr>
            </w:pPr>
          </w:p>
        </w:tc>
        <w:tc>
          <w:tcPr>
            <w:tcW w:w="4520" w:type="dxa"/>
            <w:vAlign w:val="bottom"/>
            <w:tcBorders>
              <w:top w:val="single" w:sz="8" w:color="auto"/>
              <w:bottom w:val="single" w:sz="8" w:color="auto"/>
            </w:tcBorders>
            <w:gridSpan w:val="2"/>
          </w:tcPr>
          <w:p>
            <w:pPr>
              <w:jc w:val="right"/>
              <w:ind w:right="3230"/>
              <w:spacing w:after="0"/>
              <w:rPr>
                <w:sz w:val="20"/>
                <w:szCs w:val="20"/>
                <w:color w:val="auto"/>
              </w:rPr>
            </w:pPr>
            <w:r>
              <w:rPr>
                <w:rFonts w:ascii="Times New Roman" w:cs="Times New Roman" w:eastAsia="Times New Roman" w:hAnsi="Times New Roman"/>
                <w:sz w:val="18"/>
                <w:szCs w:val="18"/>
                <w:color w:val="auto"/>
                <w:w w:val="98"/>
              </w:rPr>
              <w:t>August 31, 2020</w:t>
            </w: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Borders>
              <w:top w:val="single" w:sz="8" w:color="auto"/>
              <w:bottom w:val="single" w:sz="8" w:color="auto"/>
            </w:tcBorders>
            <w:gridSpan w:val="2"/>
          </w:tcPr>
          <w:p>
            <w:pPr>
              <w:jc w:val="right"/>
              <w:ind w:right="3230"/>
              <w:spacing w:after="0"/>
              <w:rPr>
                <w:sz w:val="20"/>
                <w:szCs w:val="20"/>
                <w:color w:val="auto"/>
              </w:rPr>
            </w:pPr>
            <w:r>
              <w:rPr>
                <w:rFonts w:ascii="Times New Roman" w:cs="Times New Roman" w:eastAsia="Times New Roman" w:hAnsi="Times New Roman"/>
                <w:sz w:val="18"/>
                <w:szCs w:val="18"/>
                <w:color w:val="auto"/>
                <w:w w:val="98"/>
              </w:rPr>
              <w:t>August 31, 2020</w:t>
            </w: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w w:val="84"/>
              </w:rPr>
              <w:t>Address:</w:t>
            </w:r>
          </w:p>
        </w:tc>
        <w:tc>
          <w:tcPr>
            <w:tcW w:w="120" w:type="dxa"/>
            <w:vAlign w:val="bottom"/>
          </w:tcPr>
          <w:p>
            <w:pPr>
              <w:spacing w:after="0"/>
              <w:rPr>
                <w:sz w:val="17"/>
                <w:szCs w:val="17"/>
                <w:color w:val="auto"/>
              </w:rPr>
            </w:pPr>
          </w:p>
        </w:tc>
        <w:tc>
          <w:tcPr>
            <w:tcW w:w="4400" w:type="dxa"/>
            <w:vAlign w:val="bottom"/>
          </w:tcPr>
          <w:p>
            <w:pPr>
              <w:jc w:val="right"/>
              <w:ind w:right="36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860"/>
              <w:spacing w:after="0" w:line="205" w:lineRule="exact"/>
              <w:rPr>
                <w:sz w:val="20"/>
                <w:szCs w:val="20"/>
                <w:color w:val="auto"/>
              </w:rPr>
            </w:pPr>
            <w:r>
              <w:rPr>
                <w:rFonts w:ascii="Times New Roman" w:cs="Times New Roman" w:eastAsia="Times New Roman" w:hAnsi="Times New Roman"/>
                <w:sz w:val="18"/>
                <w:szCs w:val="18"/>
                <w:color w:val="auto"/>
                <w:w w:val="84"/>
              </w:rPr>
              <w:t>Address:</w:t>
            </w:r>
          </w:p>
        </w:tc>
        <w:tc>
          <w:tcPr>
            <w:tcW w:w="120" w:type="dxa"/>
            <w:vAlign w:val="bottom"/>
          </w:tcPr>
          <w:p>
            <w:pPr>
              <w:spacing w:after="0"/>
              <w:rPr>
                <w:sz w:val="17"/>
                <w:szCs w:val="17"/>
                <w:color w:val="auto"/>
              </w:rPr>
            </w:pPr>
          </w:p>
        </w:tc>
        <w:tc>
          <w:tcPr>
            <w:tcW w:w="4400" w:type="dxa"/>
            <w:vAlign w:val="bottom"/>
          </w:tcPr>
          <w:p>
            <w:pPr>
              <w:jc w:val="right"/>
              <w:ind w:right="371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EXCLUSIVE LICENSE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657" w:name="page658"/>
    <w:bookmarkEnd w:id="657"/>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u w:val="single" w:color="auto"/>
          <w:color w:val="auto"/>
        </w:rPr>
        <w:t>Licensed Patent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66" w:right="1440" w:bottom="1440" w:gutter="0" w:footer="0" w:header="0"/>
        </w:sectPr>
      </w:pPr>
    </w:p>
    <w:bookmarkStart w:id="658" w:name="page659"/>
    <w:bookmarkEnd w:id="658"/>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u w:val="single" w:color="auto"/>
          <w:color w:val="auto"/>
        </w:rPr>
        <w:t>Licensed Know-How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659" w:name="page660"/>
    <w:bookmarkEnd w:id="659"/>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9" w:lineRule="exact"/>
        <w:rPr>
          <w:sz w:val="20"/>
          <w:szCs w:val="20"/>
          <w:color w:val="auto"/>
        </w:rPr>
      </w:pPr>
    </w:p>
    <w:p>
      <w:pPr>
        <w:jc w:val="right"/>
        <w:ind w:right="3719"/>
        <w:spacing w:after="0"/>
        <w:rPr>
          <w:sz w:val="20"/>
          <w:szCs w:val="20"/>
          <w:color w:val="auto"/>
        </w:rPr>
      </w:pPr>
      <w:r>
        <w:rPr>
          <w:rFonts w:ascii="Times New Roman" w:cs="Times New Roman" w:eastAsia="Times New Roman" w:hAnsi="Times New Roman"/>
          <w:sz w:val="18"/>
          <w:szCs w:val="18"/>
          <w:u w:val="single" w:color="auto"/>
          <w:color w:val="auto"/>
        </w:rPr>
        <w:t>Technical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660" w:name="page661"/>
    <w:bookmarkEnd w:id="660"/>
    <w:tbl>
      <w:tblPr>
        <w:tblLayout w:type="fixed"/>
        <w:tblInd w:w="76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60" w:type="dxa"/>
            <w:vAlign w:val="bottom"/>
            <w:gridSpan w:val="2"/>
          </w:tcPr>
          <w:p>
            <w:pPr>
              <w:jc w:val="right"/>
              <w:ind w:right="3279"/>
              <w:spacing w:after="0"/>
              <w:rPr>
                <w:sz w:val="20"/>
                <w:szCs w:val="20"/>
                <w:color w:val="auto"/>
              </w:rPr>
            </w:pPr>
            <w:r>
              <w:rPr>
                <w:rFonts w:ascii="Times New Roman" w:cs="Times New Roman" w:eastAsia="Times New Roman" w:hAnsi="Times New Roman"/>
                <w:sz w:val="18"/>
                <w:szCs w:val="18"/>
                <w:b w:val="1"/>
                <w:bCs w:val="1"/>
                <w:color w:val="auto"/>
              </w:rPr>
              <w:t>Exhibit D</w:t>
            </w:r>
          </w:p>
        </w:tc>
      </w:tr>
      <w:tr>
        <w:trPr>
          <w:trHeight w:val="392"/>
        </w:trPr>
        <w:tc>
          <w:tcPr>
            <w:tcW w:w="2480" w:type="dxa"/>
            <w:vAlign w:val="bottom"/>
          </w:tcPr>
          <w:p>
            <w:pPr>
              <w:spacing w:after="0"/>
              <w:rPr>
                <w:sz w:val="24"/>
                <w:szCs w:val="24"/>
                <w:color w:val="auto"/>
              </w:rPr>
            </w:pPr>
          </w:p>
        </w:tc>
        <w:tc>
          <w:tcPr>
            <w:tcW w:w="50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Performance Benchmarks</w:t>
            </w:r>
          </w:p>
        </w:tc>
      </w:tr>
      <w:tr>
        <w:trPr>
          <w:trHeight w:val="412"/>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Event</w:t>
            </w:r>
          </w:p>
        </w:tc>
        <w:tc>
          <w:tcPr>
            <w:tcW w:w="34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800" w:type="dxa"/>
            <w:vAlign w:val="bottom"/>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Timing</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Creation of Master Cell Bank</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months from the Effective Date</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jc w:val="right"/>
        <w:spacing w:after="0"/>
        <w:rPr>
          <w:sz w:val="20"/>
          <w:szCs w:val="20"/>
          <w:color w:val="auto"/>
        </w:rPr>
        <w:sectPr>
          <w:pgSz w:w="11900" w:h="16838" w:orient="portrait"/>
          <w:cols w:equalWidth="0" w:num="1">
            <w:col w:w="9019"/>
          </w:cols>
          <w:pgMar w:left="1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61" w:name="page662"/>
    <w:bookmarkEnd w:id="661"/>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9"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 pages]</w:t>
      </w:r>
    </w:p>
    <w:p>
      <w:pPr>
        <w:sectPr>
          <w:pgSz w:w="11900" w:h="16838" w:orient="portrait"/>
          <w:cols w:equalWidth="0" w:num="1">
            <w:col w:w="10019"/>
          </w:cols>
          <w:pgMar w:left="440" w:top="266" w:right="1440" w:bottom="1440" w:gutter="0" w:footer="0" w:header="0"/>
        </w:sectPr>
      </w:pPr>
    </w:p>
    <w:bookmarkStart w:id="662" w:name="page663"/>
    <w:bookmarkEnd w:id="662"/>
    <w:tbl>
      <w:tblPr>
        <w:tblLayout w:type="fixed"/>
        <w:tblInd w:w="0" w:type="dxa"/>
        <w:tblCellMar>
          <w:top w:w="0" w:type="dxa"/>
          <w:left w:w="0" w:type="dxa"/>
          <w:bottom w:w="0" w:type="dxa"/>
          <w:right w:w="0" w:type="dxa"/>
        </w:tblCellMar>
      </w:tblPr>
      <w:tr>
        <w:trPr>
          <w:trHeight w:val="287"/>
        </w:trPr>
        <w:tc>
          <w:tcPr>
            <w:tcW w:w="10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tc>
      </w:tr>
      <w:tr>
        <w:trPr>
          <w:trHeight w:val="434"/>
        </w:trPr>
        <w:tc>
          <w:tcPr>
            <w:tcW w:w="5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EMAIL</w:t>
            </w:r>
          </w:p>
        </w:tc>
        <w:tc>
          <w:tcPr>
            <w:tcW w:w="5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June 16, 2017</w:t>
            </w:r>
          </w:p>
        </w:tc>
      </w:tr>
      <w:tr>
        <w:trPr>
          <w:trHeight w:val="276"/>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91"/>
              </w:rPr>
              <w:t>Leigh Zawel</w:t>
            </w:r>
          </w:p>
        </w:tc>
        <w:tc>
          <w:tcPr>
            <w:tcW w:w="4400" w:type="dxa"/>
            <w:vAlign w:val="bottom"/>
          </w:tcPr>
          <w:p>
            <w:pPr>
              <w:spacing w:after="0"/>
              <w:rPr>
                <w:sz w:val="23"/>
                <w:szCs w:val="23"/>
                <w:color w:val="auto"/>
              </w:rPr>
            </w:pPr>
          </w:p>
        </w:tc>
        <w:tc>
          <w:tcPr>
            <w:tcW w:w="5580" w:type="dxa"/>
            <w:vAlign w:val="bottom"/>
          </w:tcPr>
          <w:p>
            <w:pPr>
              <w:spacing w:after="0"/>
              <w:rPr>
                <w:sz w:val="23"/>
                <w:szCs w:val="23"/>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Leigh,</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On behalf of Cullinan Management, Inc. (hereinafter referred to as the “Company”), I am pleased to set forth the terms of your employment with the Company, should you accept our offer:</w:t>
      </w:r>
    </w:p>
    <w:p>
      <w:pPr>
        <w:spacing w:after="0" w:line="158" w:lineRule="exact"/>
        <w:rPr>
          <w:sz w:val="20"/>
          <w:szCs w:val="20"/>
          <w:color w:val="auto"/>
        </w:rPr>
      </w:pPr>
    </w:p>
    <w:p>
      <w:pPr>
        <w:ind w:right="20" w:firstLine="547"/>
        <w:spacing w:after="0" w:line="235" w:lineRule="auto"/>
        <w:tabs>
          <w:tab w:leader="none" w:pos="1137"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employed to serve as the Chief Scientific Officer - SME, working alongside the Company’s Chief Scientific Officer - Biologics, and reporting to the Company’s Chief Executive Officer. You will be responsible for duties that are consistent with such a position; such duties are attached as an Exhibit to this offer. While you shall devote substantially all your business time and efforts to the Company, it is agreed and acknowledged that in the future you may also spend a portion of your business time assisting MPM Capital and its affiliated funds and companies, and will enter into a separate contract with MPM. You agree to abide by the rules, regulations, instructions, personnel practices and policies of the Company and any changes therein that may be adopted from time to time by the Company. We would of course like your state date to be as soon as possible; in any event, your start date shall be no later than August 1, 2017.</w:t>
      </w:r>
    </w:p>
    <w:p>
      <w:pPr>
        <w:spacing w:after="0" w:line="178" w:lineRule="exact"/>
        <w:rPr>
          <w:rFonts w:ascii="Times New Roman" w:cs="Times New Roman" w:eastAsia="Times New Roman" w:hAnsi="Times New Roman"/>
          <w:sz w:val="22"/>
          <w:szCs w:val="22"/>
          <w:color w:val="auto"/>
        </w:rPr>
      </w:pPr>
    </w:p>
    <w:p>
      <w:pPr>
        <w:ind w:right="20" w:firstLine="547"/>
        <w:spacing w:after="0" w:line="239" w:lineRule="auto"/>
        <w:tabs>
          <w:tab w:leader="none" w:pos="1137"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base salary will be at the monthly rate of $28,750.00 per month (annualized to $345,000.00), less all applicable taxes and withholdings, to be paid in installments, in accordance with the Company’s regular payroll practices. Such base salary may be adjusted from time to time in accordance with normal business practice and in the sole discretion of the Company.</w:t>
      </w:r>
    </w:p>
    <w:p>
      <w:pPr>
        <w:spacing w:after="0" w:line="180" w:lineRule="exact"/>
        <w:rPr>
          <w:rFonts w:ascii="Times New Roman" w:cs="Times New Roman" w:eastAsia="Times New Roman" w:hAnsi="Times New Roman"/>
          <w:sz w:val="22"/>
          <w:szCs w:val="22"/>
          <w:color w:val="auto"/>
        </w:rPr>
      </w:pPr>
    </w:p>
    <w:p>
      <w:pPr>
        <w:ind w:right="140" w:firstLine="547"/>
        <w:spacing w:after="0" w:line="236" w:lineRule="auto"/>
        <w:tabs>
          <w:tab w:leader="none" w:pos="1145"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end of each fiscal year and subject to the approval of the Company’s Board of Directors, you will be eligible for a retention and performance bonus of up to 30% of your base salary, based on your individual performance and the Company’s performance during the applicable fiscal year, as determined by the Board in its sole discretion in accordance with certain milestones to be mutually agreed upon between you and the Board each year. You must be an active employee of the Company on the date any bonus is distributed in order to be eligible for and to earn a bonus award, as it also serves as an incentive to remain employed by the Company.</w:t>
      </w:r>
    </w:p>
    <w:p>
      <w:pPr>
        <w:spacing w:after="0" w:line="181" w:lineRule="exact"/>
        <w:rPr>
          <w:rFonts w:ascii="Times New Roman" w:cs="Times New Roman" w:eastAsia="Times New Roman" w:hAnsi="Times New Roman"/>
          <w:sz w:val="22"/>
          <w:szCs w:val="22"/>
          <w:color w:val="auto"/>
        </w:rPr>
      </w:pPr>
    </w:p>
    <w:p>
      <w:pPr>
        <w:ind w:right="40" w:firstLine="547"/>
        <w:spacing w:after="0" w:line="234" w:lineRule="auto"/>
        <w:tabs>
          <w:tab w:leader="none" w:pos="1145"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thereof and all eligibility requirements, you may participate in any and all benefit programs that the Company establishes and makes available to its employees from time to time. You will also be eligible for vacation in accordance with the Company’s vacation policy. The benefit programs made available by the Company, and the rules, terms and conditions for participation in such benefit programs, may be changed by the Company at any time without advance notice. You will be indemnified to the fullest extent of the law under the Company’s constituent documents. If your employment is terminated by the Company without Cause, and provided you enter into a release of claims in a form provided by the Company, you will be eligible to receive as severance pay six months of your base salary. Such severance pay (less all applicable taxes and withholdings) will be paid ratably in accordance with the Company’s regular payroll practices beginning on the Company’s</w:t>
      </w:r>
    </w:p>
    <w:p>
      <w:pPr>
        <w:sectPr>
          <w:pgSz w:w="11900" w:h="16838" w:orient="portrait"/>
          <w:cols w:equalWidth="0" w:num="1">
            <w:col w:w="11020"/>
          </w:cols>
          <w:pgMar w:left="440" w:top="108" w:right="439" w:bottom="1440" w:gutter="0" w:footer="0" w:header="0"/>
        </w:sectPr>
      </w:pPr>
    </w:p>
    <w:bookmarkStart w:id="663" w:name="page664"/>
    <w:bookmarkEnd w:id="663"/>
    <w:p>
      <w:pPr>
        <w:ind w:left="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regular payroll cycle after the Release Agreement becomes effective. “Cause” shall mean any of the following:</w:t>
      </w:r>
    </w:p>
    <w:p>
      <w:pPr>
        <w:spacing w:after="0" w:line="14" w:lineRule="exact"/>
        <w:rPr>
          <w:sz w:val="20"/>
          <w:szCs w:val="20"/>
          <w:color w:val="auto"/>
        </w:rPr>
      </w:pPr>
    </w:p>
    <w:p>
      <w:pPr>
        <w:ind w:left="4" w:right="20" w:hanging="4"/>
        <w:spacing w:after="0" w:line="234" w:lineRule="auto"/>
        <w:tabs>
          <w:tab w:leader="none" w:pos="262" w:val="left"/>
        </w:tabs>
        <w:numPr>
          <w:ilvl w:val="0"/>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dishonesty, embezzlement, misappropriation of assets or property of the Company; (ii) negligence, misconduct, neglect of duties, theft, fraud, or breach of fiduciary duty to the Company; (iii) failure to perform adequately your role at the Company, as determined in good faith by the Board of Directors; (v) material breach of any agreement with the Company; and (vi) the conviction of a felony, or any crime involving moral turpitude.</w:t>
      </w:r>
    </w:p>
    <w:p>
      <w:pPr>
        <w:spacing w:after="0" w:line="177" w:lineRule="exact"/>
        <w:rPr>
          <w:rFonts w:ascii="Times New Roman" w:cs="Times New Roman" w:eastAsia="Times New Roman" w:hAnsi="Times New Roman"/>
          <w:sz w:val="22"/>
          <w:szCs w:val="22"/>
          <w:color w:val="auto"/>
        </w:rPr>
      </w:pPr>
    </w:p>
    <w:p>
      <w:pPr>
        <w:ind w:left="4" w:firstLine="547"/>
        <w:spacing w:after="0" w:line="234" w:lineRule="auto"/>
        <w:tabs>
          <w:tab w:leader="none" w:pos="1149" w:val="left"/>
        </w:tabs>
        <w:numPr>
          <w:ilvl w:val="1"/>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Board of Directors of Cullinan Pharmaceuticals LLC (the “LLC”), the LLC will grant you incentive units (the “Units”) under the LLC’s Profits Interest Plan (the “Plan”) equating to an ownership interest entitling you to 1.0% of the distributions made by the LLC with respect to the Common Units of the LLC in excess of the strike price associated with your Units, up to an aggregate initial seed and Series A equity investment of $150-200MM. The strike price of each Unit will be determined by the LLC’s Board of Directors on the date such Units are granted and shall be equal to the amount that would be distributed in respect of a Common Unit of the LLC in a hypothetical liquidation of the LLC on the date of issuance of such Unit. The Units will be evidenced in writing by, and subject to the terms of the Plan and a Unit Grant Agreement provided by the LLC, which agreement will specify monthly vesting over four (4) years with a one (1) year cliff.</w:t>
      </w:r>
    </w:p>
    <w:p>
      <w:pPr>
        <w:spacing w:after="0" w:line="183" w:lineRule="exact"/>
        <w:rPr>
          <w:rFonts w:ascii="Times New Roman" w:cs="Times New Roman" w:eastAsia="Times New Roman" w:hAnsi="Times New Roman"/>
          <w:sz w:val="22"/>
          <w:szCs w:val="22"/>
          <w:color w:val="auto"/>
        </w:rPr>
      </w:pPr>
    </w:p>
    <w:p>
      <w:pPr>
        <w:ind w:left="4" w:right="100" w:firstLine="547"/>
        <w:spacing w:after="0" w:line="238" w:lineRule="auto"/>
        <w:tabs>
          <w:tab w:leader="none" w:pos="1149" w:val="left"/>
        </w:tabs>
        <w:numPr>
          <w:ilvl w:val="1"/>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certain instances in which an “asset subsidiary” is formed and invested in by the LLC, your equity grant target (at the time of the initial financing by the LLC) will be .15% of such asset subsidiary’s fully-diluted capitalization; for the avoidance of doubt, your equity grant may in some cases be lower (e.g., depending on how much equity needs to be allocated to founders, universities and the like). Such equity grant will be evidenced in writing, which agreement will specify monthly vesting over four (4) years with a one (1) year cliff.</w:t>
      </w:r>
    </w:p>
    <w:p>
      <w:pPr>
        <w:spacing w:after="0" w:line="176" w:lineRule="exact"/>
        <w:rPr>
          <w:rFonts w:ascii="Times New Roman" w:cs="Times New Roman" w:eastAsia="Times New Roman" w:hAnsi="Times New Roman"/>
          <w:sz w:val="22"/>
          <w:szCs w:val="22"/>
          <w:color w:val="auto"/>
        </w:rPr>
      </w:pPr>
    </w:p>
    <w:p>
      <w:pPr>
        <w:ind w:left="1144" w:hanging="593"/>
        <w:spacing w:after="0"/>
        <w:tabs>
          <w:tab w:leader="none" w:pos="1144" w:val="left"/>
        </w:tabs>
        <w:numPr>
          <w:ilvl w:val="1"/>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required to execute the Company’s standard form of Employee Invention, Non-Disclosure and</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Non-Solicitation Agreement (the “Employee Agreement”) as a condition of your employment.</w:t>
      </w:r>
    </w:p>
    <w:p>
      <w:pPr>
        <w:spacing w:after="0" w:line="182" w:lineRule="exact"/>
        <w:rPr>
          <w:sz w:val="20"/>
          <w:szCs w:val="20"/>
          <w:color w:val="auto"/>
        </w:rPr>
      </w:pPr>
    </w:p>
    <w:p>
      <w:pPr>
        <w:ind w:left="4" w:right="200" w:firstLine="547"/>
        <w:spacing w:after="0" w:line="244" w:lineRule="auto"/>
        <w:tabs>
          <w:tab w:leader="none" w:pos="114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73" w:lineRule="exact"/>
        <w:rPr>
          <w:rFonts w:ascii="Times New Roman" w:cs="Times New Roman" w:eastAsia="Times New Roman" w:hAnsi="Times New Roman"/>
          <w:sz w:val="22"/>
          <w:szCs w:val="22"/>
          <w:color w:val="auto"/>
        </w:rPr>
      </w:pPr>
    </w:p>
    <w:p>
      <w:pPr>
        <w:ind w:left="4" w:firstLine="547"/>
        <w:spacing w:after="0" w:line="251" w:lineRule="auto"/>
        <w:tabs>
          <w:tab w:leader="none" w:pos="1145" w:val="left"/>
        </w:tabs>
        <w:numPr>
          <w:ilvl w:val="0"/>
          <w:numId w:val="5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letter shall not be construed as an agreement, either expressed or implied, to employ you for any stated term, and shall in no way alter the Company’s policy of employment at will, under which both you and the Company remain free to terminate the employment relationship for any reason, with or without cause, at any time, and with or without notice. Similarly, nothing in this letter shall be construed as an agreement, either express or implied, to pay you any compensation or grant you any benefit beyond the end of your employment with the Company, except to the extent specifically set forth above.</w:t>
      </w:r>
    </w:p>
    <w:p>
      <w:pPr>
        <w:spacing w:after="0" w:line="168" w:lineRule="exact"/>
        <w:rPr>
          <w:rFonts w:ascii="Times New Roman" w:cs="Times New Roman" w:eastAsia="Times New Roman" w:hAnsi="Times New Roman"/>
          <w:sz w:val="21"/>
          <w:szCs w:val="21"/>
          <w:color w:val="auto"/>
        </w:rPr>
      </w:pPr>
    </w:p>
    <w:p>
      <w:pPr>
        <w:ind w:left="4" w:right="100" w:firstLine="547"/>
        <w:spacing w:after="0" w:line="258" w:lineRule="auto"/>
        <w:tabs>
          <w:tab w:leader="none" w:pos="1257"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agree with the employment provisions of this letter, please sign the enclosed duplicate of this letter in the space provided below and return it to me along with a signed copy of the Employee Agreement.</w:t>
      </w:r>
    </w:p>
    <w:p>
      <w:pPr>
        <w:sectPr>
          <w:pgSz w:w="11900" w:h="16838" w:orient="portrait"/>
          <w:cols w:equalWidth="0" w:num="1">
            <w:col w:w="11004"/>
          </w:cols>
          <w:pgMar w:left="436" w:top="261" w:right="459"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49352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Owen Hughes</w:t>
      </w:r>
    </w:p>
    <w:p>
      <w:pPr>
        <w:spacing w:after="0" w:line="230" w:lineRule="auto"/>
        <w:rPr>
          <w:sz w:val="20"/>
          <w:szCs w:val="20"/>
          <w:color w:val="auto"/>
        </w:rPr>
      </w:pPr>
      <w:r>
        <w:rPr>
          <w:rFonts w:ascii="Times New Roman" w:cs="Times New Roman" w:eastAsia="Times New Roman" w:hAnsi="Times New Roman"/>
          <w:sz w:val="22"/>
          <w:szCs w:val="22"/>
          <w:color w:val="auto"/>
        </w:rPr>
        <w:t>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Cullinan Management Inc.</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foregoing correctly sets forth the terms of my at-will employment by Cullinan. I am not relying on any representations other than those set forth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Leigh Sawel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-13970</wp:posOffset>
            </wp:positionV>
            <wp:extent cx="140208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Leigh Sawel</w:t>
      </w: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000"/>
          </w:cols>
          <w:pgMar w:left="440" w:top="261" w:right="459" w:bottom="1440" w:gutter="0" w:footer="0" w:header="0"/>
        </w:sectPr>
      </w:pPr>
    </w:p>
    <w:bookmarkStart w:id="665" w:name="page666"/>
    <w:bookmarkEnd w:id="665"/>
    <w:tbl>
      <w:tblPr>
        <w:tblLayout w:type="fixed"/>
        <w:tblInd w:w="0" w:type="dxa"/>
        <w:tblCellMar>
          <w:top w:w="0" w:type="dxa"/>
          <w:left w:w="0" w:type="dxa"/>
          <w:bottom w:w="0" w:type="dxa"/>
          <w:right w:w="0" w:type="dxa"/>
        </w:tblCellMar>
      </w:tblPr>
      <w:tr>
        <w:trPr>
          <w:trHeight w:val="287"/>
        </w:trPr>
        <w:tc>
          <w:tcPr>
            <w:tcW w:w="10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tc>
      </w:tr>
      <w:tr>
        <w:trPr>
          <w:trHeight w:val="43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BY EMAIL</w:t>
            </w:r>
          </w:p>
        </w:tc>
        <w:tc>
          <w:tcPr>
            <w:tcW w:w="448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May 1, 2017</w:t>
            </w:r>
          </w:p>
        </w:tc>
      </w:tr>
      <w:tr>
        <w:trPr>
          <w:trHeight w:val="276"/>
        </w:trPr>
        <w:tc>
          <w:tcPr>
            <w:tcW w:w="5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Owen Hughes</w:t>
            </w:r>
          </w:p>
        </w:tc>
        <w:tc>
          <w:tcPr>
            <w:tcW w:w="5500" w:type="dxa"/>
            <w:vAlign w:val="bottom"/>
          </w:tcPr>
          <w:p>
            <w:pPr>
              <w:spacing w:after="0"/>
              <w:rPr>
                <w:sz w:val="23"/>
                <w:szCs w:val="23"/>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Owen,</w:t>
      </w:r>
    </w:p>
    <w:p>
      <w:pPr>
        <w:spacing w:after="0" w:line="206" w:lineRule="exact"/>
        <w:rPr>
          <w:sz w:val="20"/>
          <w:szCs w:val="20"/>
          <w:color w:val="auto"/>
        </w:rPr>
      </w:pPr>
    </w:p>
    <w:p>
      <w:pPr>
        <w:ind w:right="200" w:firstLine="551"/>
        <w:spacing w:after="0" w:line="258" w:lineRule="auto"/>
        <w:rPr>
          <w:sz w:val="20"/>
          <w:szCs w:val="20"/>
          <w:color w:val="auto"/>
        </w:rPr>
      </w:pPr>
      <w:r>
        <w:rPr>
          <w:rFonts w:ascii="Times New Roman" w:cs="Times New Roman" w:eastAsia="Times New Roman" w:hAnsi="Times New Roman"/>
          <w:sz w:val="22"/>
          <w:szCs w:val="22"/>
          <w:color w:val="auto"/>
        </w:rPr>
        <w:t>On behalf of Cullinan Management, Inc. (hereinafter referred to as the “Company”), I am pleased to set forth the terms of your employment with the Company, should you accept our offer:</w:t>
      </w:r>
    </w:p>
    <w:p>
      <w:pPr>
        <w:spacing w:after="0" w:line="158" w:lineRule="exact"/>
        <w:rPr>
          <w:sz w:val="20"/>
          <w:szCs w:val="20"/>
          <w:color w:val="auto"/>
        </w:rPr>
      </w:pPr>
    </w:p>
    <w:p>
      <w:pPr>
        <w:ind w:right="100" w:firstLine="547"/>
        <w:spacing w:after="0" w:line="235" w:lineRule="auto"/>
        <w:tabs>
          <w:tab w:leader="none" w:pos="1137"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employed to serve as Chief Executive Officer of the Company, reporting to the Company’s Board of Directors and responsible for such duties as are consistent with such position, plus such other duties as may from time to time be assigned to you by the Board of Directors. You shall also serve as a member of the Company’s Board of Directors. While you shall devote substantially all your business time and efforts to the Company, it is agreed and acknowledged that in the future you may also spend a limited portion of your business time assisting MPM Capital and its affiliated funds and companies. You agree to abide by the rules, regulations, instructions, personnel practices and policies of the Company and any changes therein that may be adopted from time to time by the Company. We would of course like your state date to be as soon as possible; in any event, your start date shall be no later than July 1,2017.</w:t>
      </w:r>
    </w:p>
    <w:p>
      <w:pPr>
        <w:spacing w:after="0" w:line="178" w:lineRule="exact"/>
        <w:rPr>
          <w:rFonts w:ascii="Times New Roman" w:cs="Times New Roman" w:eastAsia="Times New Roman" w:hAnsi="Times New Roman"/>
          <w:sz w:val="22"/>
          <w:szCs w:val="22"/>
          <w:color w:val="auto"/>
        </w:rPr>
      </w:pPr>
    </w:p>
    <w:p>
      <w:pPr>
        <w:ind w:right="20" w:firstLine="547"/>
        <w:spacing w:after="0" w:line="239" w:lineRule="auto"/>
        <w:tabs>
          <w:tab w:leader="none" w:pos="1137"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base salary will be at the monthly rate of $37,500.00 per month (annualized to $450,000.00), less all applicable taxes and withholdings, to be paid in installments, in accordance with the Company’s regular payroll practices. Such base salary may be adjusted from time to time in accordance with normal business practice and in the sole discretion of the Company.</w:t>
      </w:r>
    </w:p>
    <w:p>
      <w:pPr>
        <w:spacing w:after="0" w:line="180" w:lineRule="exact"/>
        <w:rPr>
          <w:rFonts w:ascii="Times New Roman" w:cs="Times New Roman" w:eastAsia="Times New Roman" w:hAnsi="Times New Roman"/>
          <w:sz w:val="22"/>
          <w:szCs w:val="22"/>
          <w:color w:val="auto"/>
        </w:rPr>
      </w:pPr>
    </w:p>
    <w:p>
      <w:pPr>
        <w:ind w:right="140" w:firstLine="547"/>
        <w:spacing w:after="0" w:line="236" w:lineRule="auto"/>
        <w:tabs>
          <w:tab w:leader="none" w:pos="1145"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end of each fiscal year and subject to the approval of the Company’s Board of Directors, you will be eligible for a retention and performance bonus of up to 30% of your base salary, based on your individual performance and the Company’s performance during the applicable fiscal year, as determined by the Board in its sole discretion in accordance with certain milestones to be mutually agreed upon between you and the Board each year. You must be an active employee of the Company on the date any bonus is distributed in order to be eligible for and to earn a bonus award, as it also serves as an incentive to remain employed by the Company.</w:t>
      </w:r>
    </w:p>
    <w:p>
      <w:pPr>
        <w:spacing w:after="0" w:line="181" w:lineRule="exact"/>
        <w:rPr>
          <w:rFonts w:ascii="Times New Roman" w:cs="Times New Roman" w:eastAsia="Times New Roman" w:hAnsi="Times New Roman"/>
          <w:sz w:val="22"/>
          <w:szCs w:val="22"/>
          <w:color w:val="auto"/>
        </w:rPr>
      </w:pPr>
    </w:p>
    <w:p>
      <w:pPr>
        <w:ind w:right="40" w:firstLine="547"/>
        <w:spacing w:after="0" w:line="246" w:lineRule="auto"/>
        <w:tabs>
          <w:tab w:leader="none" w:pos="1145" w:val="left"/>
        </w:tabs>
        <w:numPr>
          <w:ilvl w:val="0"/>
          <w:numId w:val="5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thereof and all eligibility requirements, you may participate in any and all benefit programs that the Company establishes and makes available to its employees from time to time. You will also be eligible for vacation in accordance with the Company’s vacation policy. The benefit programs made available by the Company, and the rules, terms and conditions for participation in such benefit programs, may be changed by the Company at any time without advance notice. You will be indemnified to the fullest extent of the law under the Company’s constituent documents. If your employment is terminated by the Company without Cause, and provided you enter into a release of claims in a form provided by the Company, you will be eligible to receive as severance pay six months of your base salary. Such severance pay (less all applicable taxes and withholdings) will be paid ratably in accordance with the Company’s regular payroll practices beginning on the Company’s first regular payroll cycle after the Release Agreement becomes effective.</w:t>
      </w:r>
    </w:p>
    <w:p>
      <w:pPr>
        <w:sectPr>
          <w:pgSz w:w="11900" w:h="16838" w:orient="portrait"/>
          <w:cols w:equalWidth="0" w:num="1">
            <w:col w:w="11020"/>
          </w:cols>
          <w:pgMar w:left="440" w:top="108" w:right="439" w:bottom="1440" w:gutter="0" w:footer="0" w:header="0"/>
        </w:sectPr>
      </w:pPr>
    </w:p>
    <w:bookmarkStart w:id="666" w:name="page667"/>
    <w:bookmarkEnd w:id="666"/>
    <w:p>
      <w:pPr>
        <w:ind w:right="1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“Cause” shall mean any of the following: (i) dishonesty, embezzlement, misappropriation of assets or property of the Company; (ii) negligence, misconduct, neglect of duties, theft, fraud, or breach of fiduciary duty to the Company; (iii) failure to perform adequately your role at the Company, as determined in good faith by the Board of Directors; (v) material breach of any agreement with the Company; and (vi) the conviction of a felony, or any crime involving moral turpitude.</w:t>
      </w:r>
    </w:p>
    <w:p>
      <w:pPr>
        <w:spacing w:after="0" w:line="180" w:lineRule="exact"/>
        <w:rPr>
          <w:sz w:val="20"/>
          <w:szCs w:val="20"/>
          <w:color w:val="auto"/>
        </w:rPr>
      </w:pPr>
    </w:p>
    <w:p>
      <w:pPr>
        <w:ind w:firstLine="547"/>
        <w:spacing w:after="0" w:line="234" w:lineRule="auto"/>
        <w:tabs>
          <w:tab w:leader="none" w:pos="1145"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Board of Directors of Cullinan Pharmaceuticals LLC (the “LLC”), the LLC will grant you incentive units (the “Units”) under the LLC’s Profits Interest Plan (the “Plan”) equating to an ownership interest entitling you to 3.9% of the distributions made by the LLC with respect to the Common Units of the LLC in excess of the strike price associated with your Units, up to an aggregate initial seed and Series A equity investment of $150-200MM. The strike price of each Unit will be determined by the LLC’s Board of Directors on the date such Units are granted and shall be equal to the amount that would be distributed in respect of a Common Unit of the LLC in a hypothetical liquidation of the LLC on the date of issuance of such Unit. The Units will be evidenced in writing by, and subject to the terms of the Plan and a Unit Grant Agreement provided by the LLC, which agreement will specify monthly vesting over four (4) years with a one (1) year cliff.</w:t>
      </w:r>
    </w:p>
    <w:p>
      <w:pPr>
        <w:spacing w:after="0" w:line="183" w:lineRule="exact"/>
        <w:rPr>
          <w:rFonts w:ascii="Times New Roman" w:cs="Times New Roman" w:eastAsia="Times New Roman" w:hAnsi="Times New Roman"/>
          <w:sz w:val="22"/>
          <w:szCs w:val="22"/>
          <w:color w:val="auto"/>
        </w:rPr>
      </w:pPr>
    </w:p>
    <w:p>
      <w:pPr>
        <w:ind w:firstLine="547"/>
        <w:spacing w:after="0" w:line="238" w:lineRule="auto"/>
        <w:tabs>
          <w:tab w:leader="none" w:pos="1145"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instance in which an “asset subsidiary” is formed and invested in by the LLC, your equity grant target (at the time of the initial financing by the LLC) will be 2% of such asset subsidiary’s fully-diluted capitalization; for the avoidance of doubt, your equity grant may in some cases be lower (e.g., depending on how much equity needs to be allocated to founders, universities and the like). Such equity grant will be evidenced in writing, which agreement will specify monthly vesting over four (4) years with a one (1) year cliff.</w:t>
      </w:r>
    </w:p>
    <w:p>
      <w:pPr>
        <w:spacing w:after="0" w:line="176" w:lineRule="exact"/>
        <w:rPr>
          <w:rFonts w:ascii="Times New Roman" w:cs="Times New Roman" w:eastAsia="Times New Roman" w:hAnsi="Times New Roman"/>
          <w:sz w:val="22"/>
          <w:szCs w:val="22"/>
          <w:color w:val="auto"/>
        </w:rPr>
      </w:pPr>
    </w:p>
    <w:p>
      <w:pPr>
        <w:ind w:left="1140" w:hanging="593"/>
        <w:spacing w:after="0"/>
        <w:tabs>
          <w:tab w:leader="none" w:pos="1140"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required to execute the Company’s standard form of Employee Invention, Non-Disclosure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Non-Solicitation Agreement (the “Employee Agreement”) as a condition of your employment.</w:t>
      </w:r>
    </w:p>
    <w:p>
      <w:pPr>
        <w:spacing w:after="0" w:line="182" w:lineRule="exact"/>
        <w:rPr>
          <w:sz w:val="20"/>
          <w:szCs w:val="20"/>
          <w:color w:val="auto"/>
        </w:rPr>
      </w:pPr>
    </w:p>
    <w:p>
      <w:pPr>
        <w:ind w:right="200" w:firstLine="547"/>
        <w:spacing w:after="0" w:line="244" w:lineRule="auto"/>
        <w:tabs>
          <w:tab w:leader="none" w:pos="1137"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73" w:lineRule="exact"/>
        <w:rPr>
          <w:rFonts w:ascii="Times New Roman" w:cs="Times New Roman" w:eastAsia="Times New Roman" w:hAnsi="Times New Roman"/>
          <w:sz w:val="22"/>
          <w:szCs w:val="22"/>
          <w:color w:val="auto"/>
        </w:rPr>
      </w:pPr>
    </w:p>
    <w:p>
      <w:pPr>
        <w:ind w:firstLine="547"/>
        <w:spacing w:after="0" w:line="251" w:lineRule="auto"/>
        <w:tabs>
          <w:tab w:leader="none" w:pos="1141" w:val="left"/>
        </w:tabs>
        <w:numPr>
          <w:ilvl w:val="0"/>
          <w:numId w:val="5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letter shall not be construed as an agreement, either expressed or implied, to employ you for any stated term, and shall in no way alter the Company’s policy of employment at will, under which both you and the Company remain free to terminate the employment relationship for any reason, with or without cause, at any time, and with or without notice. Similarly, nothing in this letter shall be construed as an agreement, either express or implied, to pay you any compensation or grant you any benefit beyond the end of your employment with the Company, except to the extent specifically set forth above.</w:t>
      </w:r>
    </w:p>
    <w:p>
      <w:pPr>
        <w:spacing w:after="0" w:line="168" w:lineRule="exact"/>
        <w:rPr>
          <w:rFonts w:ascii="Times New Roman" w:cs="Times New Roman" w:eastAsia="Times New Roman" w:hAnsi="Times New Roman"/>
          <w:sz w:val="21"/>
          <w:szCs w:val="21"/>
          <w:color w:val="auto"/>
        </w:rPr>
      </w:pPr>
    </w:p>
    <w:p>
      <w:pPr>
        <w:ind w:right="100" w:firstLine="547"/>
        <w:spacing w:after="0" w:line="258" w:lineRule="auto"/>
        <w:tabs>
          <w:tab w:leader="none" w:pos="1253"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agree with the employment provisions of this letter, please sign the enclosed duplicate of this letter in the space provided below and return it to me along with a signed copy of the Employee Agreement.</w:t>
      </w:r>
    </w:p>
    <w:p>
      <w:pPr>
        <w:sectPr>
          <w:pgSz w:w="11900" w:h="16838" w:orient="portrait"/>
          <w:cols w:equalWidth="0" w:num="1">
            <w:col w:w="11000"/>
          </w:cols>
          <w:pgMar w:left="440" w:top="261" w:right="45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Ansbert Gadicke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Ansbert Gadicke</w:t>
      </w:r>
    </w:p>
    <w:p>
      <w:pPr>
        <w:spacing w:after="0" w:line="230" w:lineRule="auto"/>
        <w:rPr>
          <w:sz w:val="20"/>
          <w:szCs w:val="20"/>
          <w:color w:val="auto"/>
        </w:rPr>
      </w:pPr>
      <w:r>
        <w:rPr>
          <w:rFonts w:ascii="Times New Roman" w:cs="Times New Roman" w:eastAsia="Times New Roman" w:hAnsi="Times New Roman"/>
          <w:sz w:val="22"/>
          <w:szCs w:val="22"/>
          <w:color w:val="auto"/>
        </w:rPr>
        <w:t>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Cullinan Management Inc.</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foregoing correctly sets forth the terms of my at-will employment by Cullinan. I am not relying on any representations other than those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-13970</wp:posOffset>
            </wp:positionV>
            <wp:extent cx="97917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Owen Hughes</w:t>
      </w: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May 2, 2017</w:t>
      </w:r>
    </w:p>
    <w:p>
      <w:pPr>
        <w:sectPr>
          <w:pgSz w:w="11900" w:h="16838" w:orient="portrait"/>
          <w:cols w:equalWidth="0" w:num="1">
            <w:col w:w="11000"/>
          </w:cols>
          <w:pgMar w:left="440" w:top="261" w:right="459" w:bottom="1440" w:gutter="0" w:footer="0" w:header="0"/>
        </w:sectPr>
      </w:pPr>
    </w:p>
    <w:bookmarkStart w:id="668" w:name="page669"/>
    <w:bookmarkEnd w:id="668"/>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August 25,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EMAIL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Jeffrey Trigilio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Jeff,</w:t>
      </w:r>
    </w:p>
    <w:p>
      <w:pPr>
        <w:spacing w:after="0" w:line="206"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22"/>
          <w:szCs w:val="22"/>
          <w:color w:val="auto"/>
        </w:rPr>
        <w:t>On behalf of Cullinan Management, Inc. (hereinafter referred to as the “Company”), I am pleased to set forth the terms of your employment with the Company:</w:t>
      </w:r>
    </w:p>
    <w:p>
      <w:pPr>
        <w:spacing w:after="0" w:line="158" w:lineRule="exact"/>
        <w:rPr>
          <w:sz w:val="20"/>
          <w:szCs w:val="20"/>
          <w:color w:val="auto"/>
        </w:rPr>
      </w:pPr>
    </w:p>
    <w:p>
      <w:pPr>
        <w:jc w:val="both"/>
        <w:ind w:right="20" w:firstLine="547"/>
        <w:spacing w:after="0" w:line="239" w:lineRule="auto"/>
        <w:tabs>
          <w:tab w:leader="none" w:pos="1353"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employed to serve as, the Chief Financial Officer, reporting to the Company’s Chief Executive Officer. You will be responsible for duties that are consistent with such a position. You agree to abide by the rules, regulations, instructions, personnel practices and policies of the Company and any changes therein that may be adopted from time to time by the Company. Your anticipated start date is September 8, 2020, or sooner by mutual agreement.</w:t>
      </w:r>
    </w:p>
    <w:p>
      <w:pPr>
        <w:spacing w:after="0" w:line="180" w:lineRule="exact"/>
        <w:rPr>
          <w:rFonts w:ascii="Times New Roman" w:cs="Times New Roman" w:eastAsia="Times New Roman" w:hAnsi="Times New Roman"/>
          <w:sz w:val="22"/>
          <w:szCs w:val="22"/>
          <w:color w:val="auto"/>
        </w:rPr>
      </w:pPr>
    </w:p>
    <w:p>
      <w:pPr>
        <w:ind w:right="20" w:firstLine="547"/>
        <w:spacing w:after="0" w:line="282" w:lineRule="auto"/>
        <w:tabs>
          <w:tab w:leader="none" w:pos="1411" w:val="left"/>
        </w:tabs>
        <w:numPr>
          <w:ilvl w:val="0"/>
          <w:numId w:val="5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base salary will be $375,000 on an annualized basis, payable in installments in accordance with the Company’s customary payroll procedures and applicable law, and subject to deductions and withholdings as required by law.</w:t>
      </w:r>
    </w:p>
    <w:p>
      <w:pPr>
        <w:spacing w:after="0" w:line="134" w:lineRule="exact"/>
        <w:rPr>
          <w:rFonts w:ascii="Times New Roman" w:cs="Times New Roman" w:eastAsia="Times New Roman" w:hAnsi="Times New Roman"/>
          <w:sz w:val="21"/>
          <w:szCs w:val="21"/>
          <w:color w:val="auto"/>
        </w:rPr>
      </w:pPr>
    </w:p>
    <w:p>
      <w:pPr>
        <w:jc w:val="both"/>
        <w:ind w:right="20" w:firstLine="547"/>
        <w:spacing w:after="0" w:line="238" w:lineRule="auto"/>
        <w:tabs>
          <w:tab w:leader="none" w:pos="1201"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end of each fiscal year and subject to the approval of the Company’s Board of Directors, you will be eligible for a performance bonus of up to 30% of your base salary, based on your individual performance and the Company’s performance during the applicable fiscal year, as determined by the Board in its sole discretion in accordance with certain milestones to be mutually agreed upon between you and the Board each year. You must be an active employee of the Company on the date any bonus is distributed in order to be eligible for and to earn a bonus award.</w:t>
      </w:r>
    </w:p>
    <w:p>
      <w:pPr>
        <w:spacing w:after="0" w:line="176" w:lineRule="exact"/>
        <w:rPr>
          <w:rFonts w:ascii="Times New Roman" w:cs="Times New Roman" w:eastAsia="Times New Roman" w:hAnsi="Times New Roman"/>
          <w:sz w:val="22"/>
          <w:szCs w:val="22"/>
          <w:color w:val="auto"/>
        </w:rPr>
      </w:pPr>
    </w:p>
    <w:p>
      <w:pPr>
        <w:jc w:val="both"/>
        <w:ind w:firstLine="547"/>
        <w:spacing w:after="0" w:line="236" w:lineRule="auto"/>
        <w:tabs>
          <w:tab w:leader="none" w:pos="1274"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thereof and all eligibility requirements, you may participate in any and all benefit programs that the Company establishes and makes available to its employees from time to time, including but not limited to: medical, dental, vision, 401(k), group and AD&amp;D insurance, short-term disability, long-term disability, and EAP / Travel Assistance. You will also be eligible for vacation in accordance with the Company’s current vacation policy. The benefit programs made available by the Company, and the rules, terms and conditions for participation in such benefit programs, may be changed by the Company at any time without advance notice.</w:t>
      </w:r>
    </w:p>
    <w:p>
      <w:pPr>
        <w:sectPr>
          <w:pgSz w:w="11900" w:h="16838" w:orient="portrait"/>
          <w:cols w:equalWidth="0" w:num="1">
            <w:col w:w="11020"/>
          </w:cols>
          <w:pgMar w:left="440" w:top="108" w:right="439" w:bottom="1440" w:gutter="0" w:footer="0" w:header="0"/>
        </w:sectPr>
      </w:pPr>
    </w:p>
    <w:bookmarkStart w:id="669" w:name="page670"/>
    <w:bookmarkEnd w:id="669"/>
    <w:p>
      <w:pPr>
        <w:jc w:val="both"/>
        <w:ind w:left="-547" w:firstLine="547"/>
        <w:spacing w:after="0" w:line="235" w:lineRule="auto"/>
        <w:tabs>
          <w:tab w:leader="none" w:pos="606"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approval of the Board of Directors of Cullinan Oncology LLC (the “LLC”), the LLC will grant you incentive units (the “Units”) under the LLC’s Profits Interest Plan (the “Plan”) equating to an ownership interest entitling you to 100 basis points (1.00%) of the distributions made by the LLC with respect to the Common Units of the LLC in excess of the strike price associated with your Units. The strike price of each Unit will be determined by the LLC’s Board of Directors on the date such Units are granted and shall be equal to the amount that would be distributed in respect of a Common Unit of the LLC in a hypothetical liquidation of the LLC on the date of issuance of such Unit. The Units will be evidenced in writing by, and subject to the terms of the Plan and a Unit Grant Agreement provided by the LLC, which agreement will specify monthly vesting over four (4) years with a one (1) year cliff.</w:t>
      </w:r>
    </w:p>
    <w:p>
      <w:pPr>
        <w:spacing w:after="0" w:line="178" w:lineRule="exact"/>
        <w:rPr>
          <w:rFonts w:ascii="Times New Roman" w:cs="Times New Roman" w:eastAsia="Times New Roman" w:hAnsi="Times New Roman"/>
          <w:sz w:val="22"/>
          <w:szCs w:val="22"/>
          <w:color w:val="auto"/>
        </w:rPr>
      </w:pPr>
    </w:p>
    <w:p>
      <w:pPr>
        <w:ind w:left="-547" w:right="20" w:firstLine="547"/>
        <w:spacing w:after="0" w:line="258" w:lineRule="auto"/>
        <w:tabs>
          <w:tab w:leader="none" w:pos="832"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required to execute the Company’s standard form of Employee Invention, Non-Disclosure and Non-Solicitation Agreement (the “Employee Agreement”) as a condition of your employment.</w:t>
      </w:r>
    </w:p>
    <w:p>
      <w:pPr>
        <w:spacing w:after="0" w:line="158" w:lineRule="exact"/>
        <w:rPr>
          <w:rFonts w:ascii="Times New Roman" w:cs="Times New Roman" w:eastAsia="Times New Roman" w:hAnsi="Times New Roman"/>
          <w:sz w:val="22"/>
          <w:szCs w:val="22"/>
          <w:color w:val="auto"/>
        </w:rPr>
      </w:pPr>
    </w:p>
    <w:p>
      <w:pPr>
        <w:jc w:val="both"/>
        <w:ind w:left="-547" w:right="20" w:firstLine="547"/>
        <w:spacing w:after="0" w:line="244" w:lineRule="auto"/>
        <w:tabs>
          <w:tab w:leader="none" w:pos="829"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73" w:lineRule="exact"/>
        <w:rPr>
          <w:rFonts w:ascii="Times New Roman" w:cs="Times New Roman" w:eastAsia="Times New Roman" w:hAnsi="Times New Roman"/>
          <w:sz w:val="22"/>
          <w:szCs w:val="22"/>
          <w:color w:val="auto"/>
        </w:rPr>
      </w:pPr>
    </w:p>
    <w:p>
      <w:pPr>
        <w:jc w:val="both"/>
        <w:ind w:left="-547" w:right="20" w:firstLine="547"/>
        <w:spacing w:after="0" w:line="251" w:lineRule="auto"/>
        <w:tabs>
          <w:tab w:leader="none" w:pos="610" w:val="left"/>
        </w:tabs>
        <w:numPr>
          <w:ilvl w:val="0"/>
          <w:numId w:val="6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letter shall not be construed as an agreement, either expressed or implied, to employ you for any stated term, and shall in no way alter the Company’s policy of employment at will, under which both you and the Company remain free to terminate the employment relationship for any reason, with or without cause, at any time, and with or without notice. Similarly, nothing in this letter shall be construed as an agreement, either express or implied, to pay you any compensation or grant you any benefit beyond the end of your employment with the Company, except to the extent specifically set forth above.</w:t>
      </w:r>
    </w:p>
    <w:p>
      <w:pPr>
        <w:sectPr>
          <w:pgSz w:w="11900" w:h="16838" w:orient="portrait"/>
          <w:cols w:equalWidth="0" w:num="1">
            <w:col w:w="10473"/>
          </w:cols>
          <w:pgMar w:left="987" w:top="261" w:right="439" w:bottom="1440" w:gutter="0" w:footer="0" w:header="0"/>
        </w:sectPr>
      </w:pPr>
    </w:p>
    <w:bookmarkStart w:id="670" w:name="page671"/>
    <w:bookmarkEnd w:id="670"/>
    <w:p>
      <w:pPr>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you agree with the provisions of this letter, please sign in the space provided below and return it to me along with a signed copy of the Employee Agreement.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Very truly yours,</w:t>
            </w:r>
          </w:p>
        </w:tc>
        <w:tc>
          <w:tcPr>
            <w:tcW w:w="420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w w:val="98"/>
              </w:rPr>
              <w:t>Agreed to and accepted by:</w:t>
            </w:r>
          </w:p>
        </w:tc>
      </w:tr>
      <w:tr>
        <w:trPr>
          <w:trHeight w:val="852"/>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Owen Hughes</w:t>
            </w: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Jeffrey Trigilio</w:t>
            </w:r>
          </w:p>
        </w:tc>
        <w:tc>
          <w:tcPr>
            <w:tcW w:w="160" w:type="dxa"/>
            <w:vAlign w:val="bottom"/>
          </w:tcPr>
          <w:p>
            <w:pPr>
              <w:spacing w:after="0"/>
              <w:rPr>
                <w:sz w:val="24"/>
                <w:szCs w:val="24"/>
                <w:color w:val="auto"/>
              </w:rPr>
            </w:pPr>
          </w:p>
        </w:tc>
      </w:tr>
      <w:tr>
        <w:trPr>
          <w:trHeight w:val="452"/>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Owen Hughes</w:t>
            </w:r>
          </w:p>
        </w:tc>
        <w:tc>
          <w:tcPr>
            <w:tcW w:w="420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rPr>
              <w:t>Mr. Jeffrey Trigilio</w:t>
            </w:r>
          </w:p>
        </w:tc>
      </w:tr>
      <w:tr>
        <w:trPr>
          <w:trHeight w:val="243"/>
        </w:trPr>
        <w:tc>
          <w:tcPr>
            <w:tcW w:w="4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Chief Executive Officer</w:t>
            </w:r>
          </w:p>
        </w:tc>
        <w:tc>
          <w:tcPr>
            <w:tcW w:w="18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82"/>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Cullinan Management Inc.</w:t>
            </w: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000"/>
          </w:cols>
          <w:pgMar w:left="440" w:top="261" w:right="459" w:bottom="1440" w:gutter="0" w:footer="0" w:header="0"/>
        </w:sectPr>
      </w:pPr>
    </w:p>
    <w:bookmarkStart w:id="671" w:name="page672"/>
    <w:bookmarkEnd w:id="67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between Cullinan Management,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ind w:left="4" w:right="20" w:firstLine="945"/>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the closing of the Company’s first underwritten public offering of its equity securities pursuant to an effective registration statement under the Securities Act of 1933, as amended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Except with respect to the Equity Documents (as defined below) and subject to Section 10 below, this Agreement supersedes in all respects all prior agreements between the Executive and the Company regarding the subject matter herein, including without limitation (i) the Employment Agreement between the Executive and the Company dated</w:t>
      </w:r>
    </w:p>
    <w:p>
      <w:pPr>
        <w:spacing w:after="0" w:line="2"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 (ii) any offer letter, employment agreement or severance agreement.</w:t>
      </w:r>
    </w:p>
    <w:p>
      <w:pPr>
        <w:spacing w:after="0" w:line="20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new terms and conditions contained herein.</w:t>
      </w:r>
    </w:p>
    <w:p>
      <w:pPr>
        <w:spacing w:after="0" w:line="162"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70" w:lineRule="exact"/>
        <w:rPr>
          <w:sz w:val="20"/>
          <w:szCs w:val="20"/>
          <w:color w:val="auto"/>
        </w:rPr>
      </w:pPr>
    </w:p>
    <w:p>
      <w:pPr>
        <w:ind w:left="764" w:hanging="324"/>
        <w:spacing w:after="0"/>
        <w:tabs>
          <w:tab w:leader="none" w:pos="76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375"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5"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385"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the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of the Company and shall have such powers and duties as may from time to time be prescribed by the [</w:t>
      </w:r>
      <w:r>
        <w:rPr>
          <w:rFonts w:ascii="Times New Roman" w:cs="Times New Roman" w:eastAsia="Times New Roman" w:hAnsi="Times New Roman"/>
          <w:sz w:val="18"/>
          <w:szCs w:val="18"/>
          <w:b w:val="1"/>
          <w:bCs w:val="1"/>
          <w:color w:val="auto"/>
        </w:rPr>
        <w:t>Board of Directors of the Company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b w:val="1"/>
          <w:bCs w:val="1"/>
          <w:color w:val="auto"/>
        </w:rPr>
        <w:t>/Chief Executive Officer (the “</w:t>
      </w:r>
      <w:r>
        <w:rPr>
          <w:rFonts w:ascii="Times New Roman" w:cs="Times New Roman" w:eastAsia="Times New Roman" w:hAnsi="Times New Roman"/>
          <w:sz w:val="18"/>
          <w:szCs w:val="18"/>
          <w:b w:val="1"/>
          <w:bCs w:val="1"/>
          <w:u w:val="single" w:color="auto"/>
          <w:color w:val="auto"/>
        </w:rPr>
        <w:t>CEO</w:t>
      </w:r>
      <w:r>
        <w:rPr>
          <w:rFonts w:ascii="Times New Roman" w:cs="Times New Roman" w:eastAsia="Times New Roman" w:hAnsi="Times New Roman"/>
          <w:sz w:val="18"/>
          <w:szCs w:val="18"/>
          <w:b w:val="1"/>
          <w:bCs w:val="1"/>
          <w:color w:val="auto"/>
        </w:rPr>
        <w:t>”) or other duly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authorized executive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addition, the Company shall cause the Executive to be nominated for election to the Board and to be recommended to the stockholders for election to the Board as long as the Executive remains the Chief Executive Officer of the Company (the “</w:t>
      </w:r>
      <w:r>
        <w:rPr>
          <w:rFonts w:ascii="Times New Roman" w:cs="Times New Roman" w:eastAsia="Times New Roman" w:hAnsi="Times New Roman"/>
          <w:sz w:val="18"/>
          <w:szCs w:val="18"/>
          <w:b w:val="1"/>
          <w:bCs w:val="1"/>
          <w:u w:val="single" w:color="auto"/>
          <w:color w:val="auto"/>
        </w:rPr>
        <w:t>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provided </w:t>
      </w:r>
      <w:r>
        <w:rPr>
          <w:rFonts w:ascii="Times New Roman" w:cs="Times New Roman" w:eastAsia="Times New Roman" w:hAnsi="Times New Roman"/>
          <w:sz w:val="18"/>
          <w:szCs w:val="18"/>
          <w:b w:val="1"/>
          <w:bCs w:val="1"/>
          <w:color w:val="auto"/>
        </w:rPr>
        <w:t>that the Executive shall be deemed to have resigned from the Board and from any related positions upon ceasing to serve as CEO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any reason</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shall devote the Executive’s full working time and efforts to the business and affairs of the Company. Notwithstanding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the Executive may serve on other boards of directors, with the approval of the Board</w:t>
      </w:r>
      <w:r>
        <w:rPr>
          <w:rFonts w:ascii="Times New Roman" w:cs="Times New Roman" w:eastAsia="Times New Roman" w:hAnsi="Times New Roman"/>
          <w:sz w:val="18"/>
          <w:szCs w:val="18"/>
          <w:b w:val="1"/>
          <w:bCs w:val="1"/>
          <w:color w:val="auto"/>
        </w:rPr>
        <w:t>[ of Directors of the Company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or engage in religious, charitable or other community activities as long as such services and activities do not interfere with the Executive’s performance of the Executive’s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7152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8" w:lineRule="exact"/>
        <w:rPr>
          <w:sz w:val="20"/>
          <w:szCs w:val="20"/>
          <w:color w:val="auto"/>
        </w:rPr>
      </w:pPr>
    </w:p>
    <w:p>
      <w:pPr>
        <w:ind w:left="424" w:hanging="424"/>
        <w:spacing w:after="0"/>
        <w:tabs>
          <w:tab w:leader="none" w:pos="424" w:val="left"/>
        </w:tabs>
        <w:numPr>
          <w:ilvl w:val="0"/>
          <w:numId w:val="60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the CEO.</w:t>
      </w:r>
    </w:p>
    <w:p>
      <w:pPr>
        <w:spacing w:after="0" w:line="26" w:lineRule="exact"/>
        <w:rPr>
          <w:sz w:val="20"/>
          <w:szCs w:val="20"/>
          <w:color w:val="auto"/>
        </w:rPr>
      </w:pPr>
    </w:p>
    <w:p>
      <w:pPr>
        <w:ind w:left="424" w:hanging="424"/>
        <w:spacing w:after="0"/>
        <w:tabs>
          <w:tab w:leader="none" w:pos="424" w:val="left"/>
        </w:tabs>
        <w:numPr>
          <w:ilvl w:val="0"/>
          <w:numId w:val="60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non-CEO executives.</w:t>
      </w:r>
    </w:p>
    <w:p>
      <w:pPr>
        <w:spacing w:after="0" w:line="9" w:lineRule="exact"/>
        <w:rPr>
          <w:sz w:val="20"/>
          <w:szCs w:val="20"/>
          <w:color w:val="auto"/>
        </w:rPr>
      </w:pPr>
    </w:p>
    <w:p>
      <w:pPr>
        <w:ind w:left="424" w:hanging="424"/>
        <w:spacing w:after="0"/>
        <w:tabs>
          <w:tab w:leader="none" w:pos="424" w:val="left"/>
        </w:tabs>
        <w:numPr>
          <w:ilvl w:val="0"/>
          <w:numId w:val="60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the CEO.</w:t>
      </w:r>
    </w:p>
    <w:p>
      <w:pPr>
        <w:spacing w:after="0" w:line="9" w:lineRule="exact"/>
        <w:rPr>
          <w:sz w:val="20"/>
          <w:szCs w:val="20"/>
          <w:color w:val="auto"/>
        </w:rPr>
      </w:pPr>
    </w:p>
    <w:p>
      <w:pPr>
        <w:ind w:left="424" w:hanging="424"/>
        <w:spacing w:after="0"/>
        <w:tabs>
          <w:tab w:leader="none" w:pos="424" w:val="left"/>
        </w:tabs>
        <w:numPr>
          <w:ilvl w:val="0"/>
          <w:numId w:val="60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non-CEO executives.</w:t>
      </w:r>
    </w:p>
    <w:p>
      <w:pPr>
        <w:sectPr>
          <w:pgSz w:w="11900" w:h="16838" w:orient="portrait"/>
          <w:cols w:equalWidth="0" w:num="1">
            <w:col w:w="11024"/>
          </w:cols>
          <w:pgMar w:left="436" w:top="118" w:right="439" w:bottom="1440" w:gutter="0" w:footer="0" w:header="0"/>
        </w:sectPr>
      </w:pPr>
    </w:p>
    <w:bookmarkStart w:id="672" w:name="page673"/>
    <w:bookmarkEnd w:id="672"/>
    <w:p>
      <w:pPr>
        <w:ind w:left="764" w:hanging="324"/>
        <w:spacing w:after="0"/>
        <w:tabs>
          <w:tab w:leader="none" w:pos="764"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and Related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Executive’s initial base salary shall be paid at the rate of $[ ] per year. The Executive’s base salary shall be subject to periodic review by the Board or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base salary in effect at any given time is referred to herein as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executive officers.</w:t>
      </w:r>
    </w:p>
    <w:p>
      <w:pPr>
        <w:spacing w:after="0" w:line="180" w:lineRule="exact"/>
        <w:rPr>
          <w:sz w:val="20"/>
          <w:szCs w:val="20"/>
          <w:color w:val="auto"/>
        </w:rPr>
      </w:pPr>
    </w:p>
    <w:p>
      <w:pPr>
        <w:ind w:left="4" w:right="160" w:firstLine="987"/>
        <w:spacing w:after="0" w:line="261" w:lineRule="auto"/>
        <w:tabs>
          <w:tab w:leader="none" w:pos="1385"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The Executive shall be eligible to receive cash incentive compensation as determined by the Board or the Compensation Committee from time to time. Commencing January 1, 2021, the Executive’s initial target annual incentive compensation shall be</w:t>
      </w:r>
    </w:p>
    <w:p>
      <w:pPr>
        <w:ind w:left="964" w:hanging="964"/>
        <w:spacing w:after="0"/>
        <w:tabs>
          <w:tab w:leader="none" w:pos="96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the Executive’s Base Salary. The target annual incentive compensation in effect at any given time is referred to herein as</w:t>
      </w:r>
    </w:p>
    <w:p>
      <w:pPr>
        <w:spacing w:after="0" w:line="9"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actual amount of the Executive’s annual incentive compensation, if any, shall be determined in the sole discretion of the Board or the Compensation Committee, subject to the terms of any applicable incentive compensation plan that may be in effect from time to time. Except as otherwise provided herein, as may be provided by the Board or the Compensation Committee or as may otherwise be set forth in the applicable incentive compensation plan, the Executive must be employed by the Company on the date such incentive compensation is paid in order to earn or receive any annual incentive compensation.</w:t>
      </w:r>
    </w:p>
    <w:p>
      <w:pPr>
        <w:spacing w:after="0" w:line="187" w:lineRule="exact"/>
        <w:rPr>
          <w:sz w:val="20"/>
          <w:szCs w:val="20"/>
          <w:color w:val="auto"/>
        </w:rPr>
      </w:pPr>
    </w:p>
    <w:p>
      <w:pPr>
        <w:ind w:left="4" w:right="80" w:firstLine="987"/>
        <w:spacing w:after="0" w:line="266" w:lineRule="auto"/>
        <w:tabs>
          <w:tab w:leader="none" w:pos="1375"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 officers.</w:t>
      </w:r>
    </w:p>
    <w:p>
      <w:pPr>
        <w:spacing w:after="0" w:line="173" w:lineRule="exact"/>
        <w:rPr>
          <w:rFonts w:ascii="Times New Roman" w:cs="Times New Roman" w:eastAsia="Times New Roman" w:hAnsi="Times New Roman"/>
          <w:sz w:val="18"/>
          <w:szCs w:val="18"/>
          <w:color w:val="auto"/>
        </w:rPr>
      </w:pPr>
    </w:p>
    <w:p>
      <w:pPr>
        <w:ind w:left="4" w:firstLine="987"/>
        <w:spacing w:after="0" w:line="284" w:lineRule="auto"/>
        <w:tabs>
          <w:tab w:leader="none" w:pos="1385"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xml:space="preserve">. [The Executive shall work at the Company’s main office, currently located in Cambridge, MA,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may be required to travel for business as necessary.]</w:t>
      </w:r>
      <w:r>
        <w:rPr>
          <w:rFonts w:ascii="Times New Roman" w:cs="Times New Roman" w:eastAsia="Times New Roman" w:hAnsi="Times New Roman"/>
          <w:sz w:val="15"/>
          <w:szCs w:val="15"/>
          <w:color w:val="auto"/>
        </w:rPr>
        <w:t>5</w:t>
      </w:r>
    </w:p>
    <w:p>
      <w:pPr>
        <w:spacing w:after="0" w:line="16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[It is understood and agreed upon that the Executive will work remotely for a substantial period of time each month, and will work at the Company’s main office, currently located in Cambridge, MA, as necessary and mutually agreed upon with the Company’s CEO. It is acknowledged and agreed that the Executive will not relocate to Boston, MA. Furthermore, the Company will cover all customary travel-related expenses and lodging from the office/home of the Executive in Frederick, MD to Cambridge, MA. For purposes of clarity, such expenses shall not include living expenses other than lodging during the Executive’s stay in Cambridge, MA. The Executive also may be required to travel for business as necessary.]</w:t>
      </w: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7152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9" w:lineRule="exact"/>
        <w:rPr>
          <w:sz w:val="20"/>
          <w:szCs w:val="20"/>
          <w:color w:val="auto"/>
        </w:rPr>
      </w:pPr>
    </w:p>
    <w:p>
      <w:pPr>
        <w:ind w:left="424" w:hanging="424"/>
        <w:spacing w:after="0"/>
        <w:tabs>
          <w:tab w:leader="none" w:pos="424" w:val="left"/>
        </w:tabs>
        <w:numPr>
          <w:ilvl w:val="0"/>
          <w:numId w:val="6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executives other than Jon Wigginton and Jeff Trigilio.</w:t>
      </w:r>
    </w:p>
    <w:p>
      <w:pPr>
        <w:spacing w:after="0" w:line="26" w:lineRule="exact"/>
        <w:rPr>
          <w:sz w:val="20"/>
          <w:szCs w:val="20"/>
          <w:color w:val="auto"/>
        </w:rPr>
      </w:pPr>
    </w:p>
    <w:p>
      <w:pPr>
        <w:ind w:left="424" w:hanging="424"/>
        <w:spacing w:after="0"/>
        <w:tabs>
          <w:tab w:leader="none" w:pos="424" w:val="left"/>
        </w:tabs>
        <w:numPr>
          <w:ilvl w:val="0"/>
          <w:numId w:val="6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Jon Wigginton.</w:t>
      </w:r>
    </w:p>
    <w:p>
      <w:pPr>
        <w:spacing w:after="0" w:line="14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673" w:name="page674"/>
    <w:bookmarkEnd w:id="673"/>
    <w:p>
      <w:pPr>
        <w:ind w:left="4" w:right="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[It is understood and agreed that the Executive will work remotely,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shall be required to travel to the Company’s main office, currently located in Cambridge, MA, on a regular basis and as necessary and may also be required to travel for business as necessary.]</w:t>
      </w:r>
      <w:r>
        <w:rPr>
          <w:rFonts w:ascii="Times New Roman" w:cs="Times New Roman" w:eastAsia="Times New Roman" w:hAnsi="Times New Roman"/>
          <w:sz w:val="15"/>
          <w:szCs w:val="15"/>
          <w:color w:val="auto"/>
        </w:rPr>
        <w:t>7</w:t>
      </w:r>
    </w:p>
    <w:p>
      <w:pPr>
        <w:spacing w:after="0" w:line="160" w:lineRule="exact"/>
        <w:rPr>
          <w:sz w:val="20"/>
          <w:szCs w:val="20"/>
          <w:color w:val="auto"/>
        </w:rPr>
      </w:pPr>
    </w:p>
    <w:p>
      <w:pPr>
        <w:ind w:left="4" w:right="200" w:firstLine="987"/>
        <w:spacing w:after="0" w:line="282" w:lineRule="auto"/>
        <w:tabs>
          <w:tab w:leader="none" w:pos="1375"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355"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The Executive shall be entitled to take paid time off in accordance with the Company’s applicable paid time off policy for executives, as may be in effect from time to time.</w:t>
      </w:r>
    </w:p>
    <w:p>
      <w:pPr>
        <w:spacing w:after="0" w:line="161" w:lineRule="exact"/>
        <w:rPr>
          <w:rFonts w:ascii="Times New Roman" w:cs="Times New Roman" w:eastAsia="Times New Roman" w:hAnsi="Times New Roman"/>
          <w:sz w:val="18"/>
          <w:szCs w:val="18"/>
          <w:color w:val="auto"/>
        </w:rPr>
      </w:pPr>
    </w:p>
    <w:p>
      <w:pPr>
        <w:ind w:left="4" w:firstLine="987"/>
        <w:spacing w:after="0" w:line="270" w:lineRule="auto"/>
        <w:tabs>
          <w:tab w:leader="none" w:pos="1385" w:val="left"/>
        </w:tabs>
        <w:numPr>
          <w:ilvl w:val="1"/>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 The equity awards held by the Executive shall continue to be governed by the terms and conditions of the Company’s applicable equity incentive plan(s) and the applicable award agreement(s) (collectively, the “</w:t>
      </w:r>
      <w:r>
        <w:rPr>
          <w:rFonts w:ascii="Times New Roman" w:cs="Times New Roman" w:eastAsia="Times New Roman" w:hAnsi="Times New Roman"/>
          <w:sz w:val="17"/>
          <w:szCs w:val="17"/>
          <w:u w:val="single" w:color="auto"/>
          <w:color w:val="auto"/>
        </w:rPr>
        <w:t>Equity Documents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and notwithstanding anything to the contrary in the Equity Documents, (i) in the event that the Date of Termination (as defined below) is a result of the Executive’s death pursuant to Section 3(a) or disability pursuant to Section 3(b), 25% of the Executive’s then-unvested stock options and other stock-based awards held by the Executive, including, without limitation, any awards that are subject to performance-based vesting, except to the extent otherwise provided in the applicable option agreement that governs such performance-based award (the “</w:t>
      </w:r>
      <w:r>
        <w:rPr>
          <w:rFonts w:ascii="Times New Roman" w:cs="Times New Roman" w:eastAsia="Times New Roman" w:hAnsi="Times New Roman"/>
          <w:sz w:val="17"/>
          <w:szCs w:val="17"/>
          <w:u w:val="single" w:color="auto"/>
          <w:color w:val="auto"/>
        </w:rPr>
        <w:t>Equity Awards</w:t>
      </w:r>
      <w:r>
        <w:rPr>
          <w:rFonts w:ascii="Times New Roman" w:cs="Times New Roman" w:eastAsia="Times New Roman" w:hAnsi="Times New Roman"/>
          <w:sz w:val="17"/>
          <w:szCs w:val="17"/>
          <w:color w:val="auto"/>
        </w:rPr>
        <w:t>”), plus an additional 5% for each full year of the Executive’s service to the Company, shall immediately accelerate and become fully vested and exercisable or nonforfeitable on the Date of Termination, and (ii) in the event that the Date of Termination is a result of a termination by the Company without Cause under Section 3(d) or a termination by the Executive for Good Reason under Section 3(e), in each case during the Change in Control Period (as such terms are defined below), then any outstanding Equity Awards shall immediately accelerate and become fully vested and exercisable or nonforfeitable on the Date of Termination.</w:t>
      </w:r>
    </w:p>
    <w:p>
      <w:pPr>
        <w:spacing w:after="0" w:line="176" w:lineRule="exact"/>
        <w:rPr>
          <w:rFonts w:ascii="Times New Roman" w:cs="Times New Roman" w:eastAsia="Times New Roman" w:hAnsi="Times New Roman"/>
          <w:sz w:val="17"/>
          <w:szCs w:val="17"/>
          <w:color w:val="auto"/>
        </w:rPr>
      </w:pPr>
    </w:p>
    <w:p>
      <w:pPr>
        <w:ind w:left="4" w:right="780" w:firstLine="436"/>
        <w:spacing w:after="0" w:line="282" w:lineRule="auto"/>
        <w:tabs>
          <w:tab w:leader="none" w:pos="759"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death.</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385"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424" w:hanging="424"/>
        <w:spacing w:after="0"/>
        <w:tabs>
          <w:tab w:leader="none" w:pos="424" w:val="left"/>
        </w:tabs>
        <w:numPr>
          <w:ilvl w:val="0"/>
          <w:numId w:val="6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Jeff Trigilio.</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8" w:right="479" w:bottom="1440" w:gutter="0" w:footer="0" w:header="0"/>
        </w:sectPr>
      </w:pPr>
    </w:p>
    <w:bookmarkStart w:id="674" w:name="page675"/>
    <w:bookmarkEnd w:id="674"/>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3" w:lineRule="exact"/>
        <w:rPr>
          <w:sz w:val="20"/>
          <w:szCs w:val="20"/>
          <w:color w:val="auto"/>
        </w:rPr>
      </w:pPr>
    </w:p>
    <w:p>
      <w:pPr>
        <w:ind w:left="4" w:right="640" w:firstLine="987"/>
        <w:spacing w:after="0" w:line="282" w:lineRule="auto"/>
        <w:tabs>
          <w:tab w:leader="none" w:pos="1375"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hereunder for Cause.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161" w:lineRule="exact"/>
        <w:rPr>
          <w:rFonts w:ascii="Times New Roman" w:cs="Times New Roman" w:eastAsia="Times New Roman" w:hAnsi="Times New Roman"/>
          <w:sz w:val="18"/>
          <w:szCs w:val="18"/>
          <w:color w:val="auto"/>
        </w:rPr>
      </w:pPr>
    </w:p>
    <w:p>
      <w:pPr>
        <w:ind w:left="4" w:firstLine="1428"/>
        <w:spacing w:after="0" w:line="276" w:lineRule="auto"/>
        <w:tabs>
          <w:tab w:leader="none" w:pos="1786" w:val="left"/>
        </w:tabs>
        <w:numPr>
          <w:ilvl w:val="2"/>
          <w:numId w:val="6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by the Executive constituting a material act of misconduct in connection with the performance of the Executive’s duties, including, without limitation, (A) willful failure or refusal to perform material responsibilities that have been requested by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9</w:t>
      </w:r>
      <w:r>
        <w:rPr>
          <w:rFonts w:ascii="Times New Roman" w:cs="Times New Roman" w:eastAsia="Times New Roman" w:hAnsi="Times New Roman"/>
          <w:sz w:val="17"/>
          <w:szCs w:val="17"/>
          <w:color w:val="auto"/>
        </w:rPr>
        <w:t>;</w:t>
      </w:r>
    </w:p>
    <w:p>
      <w:pPr>
        <w:ind w:left="4" w:right="20" w:hanging="4"/>
        <w:spacing w:after="0" w:line="260" w:lineRule="auto"/>
        <w:tabs>
          <w:tab w:leader="none" w:pos="289"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 to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with respect to any material matter; or (C)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81" w:lineRule="exact"/>
        <w:rPr>
          <w:rFonts w:ascii="Times New Roman" w:cs="Times New Roman" w:eastAsia="Times New Roman" w:hAnsi="Times New Roman"/>
          <w:sz w:val="18"/>
          <w:szCs w:val="18"/>
          <w:color w:val="auto"/>
        </w:rPr>
      </w:pPr>
    </w:p>
    <w:p>
      <w:pPr>
        <w:ind w:left="4" w:right="440" w:firstLine="1428"/>
        <w:spacing w:after="0" w:line="282" w:lineRule="auto"/>
        <w:tabs>
          <w:tab w:leader="none" w:pos="1836" w:val="left"/>
        </w:tabs>
        <w:numPr>
          <w:ilvl w:val="2"/>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the Executive of acts satisfying the elements of (A) any felony or (B) a misdemeanor involving moral turpitude, deceit, dishonesty or fraud;</w:t>
      </w:r>
    </w:p>
    <w:p>
      <w:pPr>
        <w:spacing w:after="0" w:line="161" w:lineRule="exact"/>
        <w:rPr>
          <w:rFonts w:ascii="Times New Roman" w:cs="Times New Roman" w:eastAsia="Times New Roman" w:hAnsi="Times New Roman"/>
          <w:sz w:val="18"/>
          <w:szCs w:val="18"/>
          <w:color w:val="auto"/>
        </w:rPr>
      </w:pPr>
    </w:p>
    <w:p>
      <w:pPr>
        <w:ind w:left="4" w:right="240" w:firstLine="1428"/>
        <w:spacing w:after="0" w:line="266" w:lineRule="auto"/>
        <w:tabs>
          <w:tab w:leader="none" w:pos="1886" w:val="left"/>
        </w:tabs>
        <w:numPr>
          <w:ilvl w:val="2"/>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misconduct by the Executive, regardless of whether or not in the course of the Executive’s employment, that would reasonably be expected to result in material injury or reputational harm to the Company or any of its subsidiaries or affiliates if the Executive were to continue to be employed in the same position;</w:t>
      </w:r>
    </w:p>
    <w:p>
      <w:pPr>
        <w:spacing w:after="0" w:line="175"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876" w:val="left"/>
        </w:tabs>
        <w:numPr>
          <w:ilvl w:val="2"/>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non-performance by the Executive of the Executive’s duties hereunder (other than by reason of the Executive’s physical or mental illness, incapacity or disability) which has continued for more than 30 days following written notice of such non-performance from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460" w:firstLine="1428"/>
        <w:spacing w:after="0" w:line="282" w:lineRule="auto"/>
        <w:tabs>
          <w:tab w:leader="none" w:pos="1826" w:val="left"/>
        </w:tabs>
        <w:numPr>
          <w:ilvl w:val="2"/>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Executive of any of the provisions contained in Section 8 of this Agreement or the Restrictive Covenants Agreement (as defined below);</w:t>
      </w:r>
    </w:p>
    <w:p>
      <w:pPr>
        <w:spacing w:after="0" w:line="161"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2"/>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by the Executive of any of the Company’s written employment policies;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6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CEO.</w:t>
      </w:r>
    </w:p>
    <w:p>
      <w:pPr>
        <w:spacing w:after="0" w:line="26" w:lineRule="exact"/>
        <w:rPr>
          <w:sz w:val="20"/>
          <w:szCs w:val="20"/>
          <w:color w:val="auto"/>
        </w:rPr>
      </w:pPr>
    </w:p>
    <w:p>
      <w:pPr>
        <w:ind w:left="424" w:hanging="424"/>
        <w:spacing w:after="0"/>
        <w:tabs>
          <w:tab w:leader="none" w:pos="424" w:val="left"/>
        </w:tabs>
        <w:numPr>
          <w:ilvl w:val="0"/>
          <w:numId w:val="6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non-CEO Executive.</w:t>
      </w:r>
    </w:p>
    <w:p>
      <w:pPr>
        <w:spacing w:after="0" w:line="9" w:lineRule="exact"/>
        <w:rPr>
          <w:sz w:val="20"/>
          <w:szCs w:val="20"/>
          <w:color w:val="auto"/>
        </w:rPr>
      </w:pPr>
    </w:p>
    <w:p>
      <w:pPr>
        <w:ind w:left="424" w:hanging="424"/>
        <w:spacing w:after="0"/>
        <w:tabs>
          <w:tab w:leader="none" w:pos="424" w:val="left"/>
        </w:tabs>
        <w:numPr>
          <w:ilvl w:val="0"/>
          <w:numId w:val="6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CEO.</w:t>
      </w:r>
    </w:p>
    <w:p>
      <w:pPr>
        <w:spacing w:after="0" w:line="10"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non-CEO Executive.</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CEO.</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non-CEO Executive.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675" w:name="page676"/>
    <w:bookmarkEnd w:id="675"/>
    <w:p>
      <w:pPr>
        <w:ind w:right="480" w:firstLine="1428"/>
        <w:spacing w:after="0" w:line="261" w:lineRule="auto"/>
        <w:tabs>
          <w:tab w:leader="none" w:pos="1922" w:val="left"/>
        </w:tabs>
        <w:numPr>
          <w:ilvl w:val="2"/>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ind w:right="420" w:firstLine="987"/>
        <w:spacing w:after="0" w:line="261" w:lineRule="auto"/>
        <w:tabs>
          <w:tab w:leader="none" w:pos="1381"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9" w:lineRule="exact"/>
        <w:rPr>
          <w:rFonts w:ascii="Times New Roman" w:cs="Times New Roman" w:eastAsia="Times New Roman" w:hAnsi="Times New Roman"/>
          <w:sz w:val="18"/>
          <w:szCs w:val="18"/>
          <w:color w:val="auto"/>
        </w:rPr>
      </w:pPr>
    </w:p>
    <w:p>
      <w:pPr>
        <w:jc w:val="both"/>
        <w:ind w:right="280" w:firstLine="987"/>
        <w:spacing w:after="0" w:line="261" w:lineRule="auto"/>
        <w:tabs>
          <w:tab w:leader="none" w:pos="1371"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responsibilities, authority or duties;</w:t>
      </w:r>
    </w:p>
    <w:p>
      <w:pPr>
        <w:spacing w:after="0" w:line="11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92"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except for across-the-board salary reductions based on the Company’s financial performance similarly affecting all or substantially all senior management employees of the Company;</w:t>
      </w:r>
    </w:p>
    <w:p>
      <w:pPr>
        <w:spacing w:after="0" w:line="53" w:lineRule="exact"/>
        <w:rPr>
          <w:rFonts w:ascii="Times New Roman" w:cs="Times New Roman" w:eastAsia="Times New Roman" w:hAnsi="Times New Roman"/>
          <w:sz w:val="18"/>
          <w:szCs w:val="18"/>
          <w:color w:val="auto"/>
        </w:rPr>
      </w:pPr>
    </w:p>
    <w:p>
      <w:pPr>
        <w:ind w:left="440" w:firstLine="948"/>
        <w:spacing w:after="0" w:line="266" w:lineRule="auto"/>
        <w:tabs>
          <w:tab w:leader="none" w:pos="1842"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the principal office of the Company to which the Executive is assigned, such that there is an increase of at least thirty (30) miles of driving distance to such location from the Executive’s principal residence as of such change; or</w:t>
      </w:r>
    </w:p>
    <w:p>
      <w:pPr>
        <w:spacing w:after="0" w:line="67"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17" w:lineRule="exact"/>
        <w:rPr>
          <w:sz w:val="20"/>
          <w:szCs w:val="20"/>
          <w:color w:val="auto"/>
        </w:rPr>
      </w:pPr>
    </w:p>
    <w:p>
      <w:pPr>
        <w:ind w:left="1740" w:hanging="352"/>
        <w:spacing w:after="0"/>
        <w:tabs>
          <w:tab w:leader="none" w:pos="174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reasonably determines in good faith that a Good Reason Condition has occurred;</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792"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notifies the Company in writing of the first occurrence of the Good Reason Condition within 60 days of the first occurrence of such condition;</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842"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cooperates in good faith with the Company’s efforts, for a period of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Good Reason Condition;</w:t>
      </w:r>
    </w:p>
    <w:p>
      <w:pPr>
        <w:spacing w:after="0" w:line="53"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676" w:name="page677"/>
    <w:bookmarkEnd w:id="676"/>
    <w:p>
      <w:pPr>
        <w:ind w:left="1784" w:hanging="392"/>
        <w:spacing w:after="0"/>
        <w:tabs>
          <w:tab w:leader="none" w:pos="17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Executive terminates employment within 60 days after the end of the Cure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333" w:lineRule="exact"/>
        <w:rPr>
          <w:sz w:val="20"/>
          <w:szCs w:val="20"/>
          <w:color w:val="auto"/>
        </w:rPr>
      </w:pPr>
    </w:p>
    <w:p>
      <w:pPr>
        <w:ind w:left="764" w:hanging="324"/>
        <w:spacing w:after="0"/>
        <w:tabs>
          <w:tab w:leader="none" w:pos="764"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987"/>
        <w:spacing w:after="0" w:line="289" w:lineRule="auto"/>
        <w:tabs>
          <w:tab w:leader="none" w:pos="1375" w:val="left"/>
        </w:tabs>
        <w:numPr>
          <w:ilvl w:val="2"/>
          <w:numId w:val="6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157" w:lineRule="exact"/>
        <w:rPr>
          <w:rFonts w:ascii="Times New Roman" w:cs="Times New Roman" w:eastAsia="Times New Roman" w:hAnsi="Times New Roman"/>
          <w:sz w:val="17"/>
          <w:szCs w:val="17"/>
          <w:color w:val="auto"/>
        </w:rPr>
      </w:pPr>
    </w:p>
    <w:p>
      <w:pPr>
        <w:ind w:left="1384" w:hanging="393"/>
        <w:spacing w:after="0"/>
        <w:tabs>
          <w:tab w:leader="none" w:pos="1384" w:val="left"/>
        </w:tabs>
        <w:numPr>
          <w:ilvl w:val="2"/>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the Executive’s employment is terminated by death, the date of death;</w:t>
      </w:r>
    </w:p>
    <w:p>
      <w:pPr>
        <w:spacing w:after="0" w:line="27"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6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ind w:left="4" w:hanging="4"/>
        <w:spacing w:after="0" w:line="253" w:lineRule="auto"/>
        <w:tabs>
          <w:tab w:leader="none" w:pos="259"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8" w:lineRule="exact"/>
        <w:rPr>
          <w:rFonts w:ascii="Times New Roman" w:cs="Times New Roman" w:eastAsia="Times New Roman" w:hAnsi="Times New Roman"/>
          <w:sz w:val="18"/>
          <w:szCs w:val="18"/>
          <w:color w:val="auto"/>
        </w:rPr>
      </w:pPr>
    </w:p>
    <w:p>
      <w:pPr>
        <w:ind w:left="4" w:right="460" w:firstLine="987"/>
        <w:spacing w:after="0" w:line="261" w:lineRule="auto"/>
        <w:tabs>
          <w:tab w:leader="none" w:pos="1375" w:val="left"/>
        </w:tabs>
        <w:numPr>
          <w:ilvl w:val="2"/>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the Executive’s authorized representative or estate) (i) any Base Salary earned through the Date of Termination;</w:t>
      </w:r>
    </w:p>
    <w:p>
      <w:pPr>
        <w:ind w:left="4" w:right="40" w:hanging="4"/>
        <w:spacing w:after="0" w:line="255" w:lineRule="auto"/>
        <w:tabs>
          <w:tab w:leader="none" w:pos="269"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4" w:right="260" w:firstLine="987"/>
        <w:spacing w:after="0" w:line="261" w:lineRule="auto"/>
        <w:tabs>
          <w:tab w:leader="none" w:pos="1385" w:val="left"/>
        </w:tabs>
        <w:numPr>
          <w:ilvl w:val="2"/>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79"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75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18"/>
          <w:szCs w:val="18"/>
          <w:color w:val="auto"/>
        </w:rPr>
        <w:t>. If the Executive’s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77" w:name="page678"/>
    <w:bookmarkEnd w:id="677"/>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employment is terminated by the Company without Cause as provided in Section 3(d), or the Executive terminates employment for Good Reason as provided in Section 3(e), in each case outside of the Change in Control Period,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a reaffirmation of all of the Executive’s Continuing Obligations (as defined below), and, in the Company’s sole discretion, a one-year post-employment noncompetition agreement, and shall provide that if the Executive breaches any of the Continuing Obligations, all payments of the Severance Amount shall immediately cease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(ii) the Separation Agreement becoming irrevocable, all within 60 days after the Date of Termination (or such shorter period as set forth in the Separation Agreement):</w:t>
      </w:r>
    </w:p>
    <w:p>
      <w:pPr>
        <w:spacing w:after="0" w:line="19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(a) the Company shall pay the Executive an amount equal to the sum of (A) [ ]</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months of the Executive’s Base Salary plus (B) a pro-rata portion of the Target Bonus based on the Date of Termination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 w:firstLine="987"/>
        <w:spacing w:after="0" w:line="272" w:lineRule="auto"/>
        <w:tabs>
          <w:tab w:leader="none" w:pos="1385" w:val="left"/>
        </w:tabs>
        <w:numPr>
          <w:ilvl w:val="0"/>
          <w:numId w:val="6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 Company shall pay to the group health plan provider or the COBRA provider a monthly payment equal to the monthly employer contribution that the Company would have made</w:t>
      </w:r>
    </w:p>
    <w:p>
      <w:pPr>
        <w:ind w:left="4" w:right="80"/>
        <w:spacing w:after="0" w:line="252" w:lineRule="auto"/>
        <w:rPr>
          <w:sz w:val="20"/>
          <w:szCs w:val="20"/>
          <w:color w:val="auto"/>
        </w:rPr>
      </w:pPr>
      <w:r>
        <w:rPr>
          <w:rFonts w:ascii="Times New Roman" w:cs="Times New Roman" w:eastAsia="Times New Roman" w:hAnsi="Times New Roman"/>
          <w:sz w:val="18"/>
          <w:szCs w:val="18"/>
          <w:color w:val="auto"/>
        </w:rPr>
        <w:t>to provide health insurance to the Executive if the Executive had remained employed by the Company until the earliest of (A) the [ ]</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90"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The amounts payable under Section 5, to the extent taxable, shall be paid out in substantially equal installments in accordance with the Company’s payroll practice over [ ]</w:t>
      </w:r>
      <w:r>
        <w:rPr>
          <w:rFonts w:ascii="Times New Roman" w:cs="Times New Roman" w:eastAsia="Times New Roman" w:hAnsi="Times New Roman"/>
          <w:sz w:val="15"/>
          <w:szCs w:val="15"/>
          <w:color w:val="auto"/>
        </w:rPr>
        <w:t>16</w:t>
      </w:r>
      <w:r>
        <w:rPr>
          <w:rFonts w:ascii="Times New Roman" w:cs="Times New Roman" w:eastAsia="Times New Roman" w:hAnsi="Times New Roman"/>
          <w:sz w:val="18"/>
          <w:szCs w:val="18"/>
          <w:color w:val="auto"/>
        </w:rPr>
        <w:t xml:space="preserve"> months commencing within 60 days after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shall begin to be paid in the second calendar year by the last day of such 60-day period;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7152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5" w:lineRule="exact"/>
        <w:rPr>
          <w:sz w:val="20"/>
          <w:szCs w:val="20"/>
          <w:color w:val="auto"/>
        </w:rPr>
      </w:pPr>
    </w:p>
    <w:p>
      <w:pPr>
        <w:ind w:left="424" w:hanging="424"/>
        <w:spacing w:after="0"/>
        <w:tabs>
          <w:tab w:leader="none" w:pos="424" w:val="left"/>
        </w:tabs>
        <w:numPr>
          <w:ilvl w:val="0"/>
          <w:numId w:val="6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9 months for non-CEO executives; 12 months for CEO.</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9 months for non-CEO executives; 12 months for CEO.</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9 months for non-CEO executives; 12 months for CEO.</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678" w:name="page679"/>
    <w:bookmarkEnd w:id="678"/>
    <w:p>
      <w:pPr>
        <w:ind w:left="4" w:firstLine="436"/>
        <w:spacing w:after="0" w:line="258" w:lineRule="auto"/>
        <w:tabs>
          <w:tab w:leader="none" w:pos="759"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Severance Pay and Benefits Upon Termination by the Company without Cause or by the Executive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within the Change in Control Period. These provisions shall terminate and be of no further force or effect after the Change in Control Period.</w:t>
      </w:r>
    </w:p>
    <w:p>
      <w:pPr>
        <w:spacing w:after="0" w:line="183" w:lineRule="exact"/>
        <w:rPr>
          <w:rFonts w:ascii="Times New Roman" w:cs="Times New Roman" w:eastAsia="Times New Roman" w:hAnsi="Times New Roman"/>
          <w:sz w:val="18"/>
          <w:szCs w:val="18"/>
          <w:color w:val="auto"/>
        </w:rPr>
      </w:pPr>
    </w:p>
    <w:p>
      <w:pPr>
        <w:ind w:left="4" w:firstLine="987"/>
        <w:spacing w:after="0" w:line="255" w:lineRule="auto"/>
        <w:tabs>
          <w:tab w:leader="none" w:pos="1375"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a general release of claims against the Company and all related persons and entities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by the Executive and the Release becoming fully effective, all within the time frame set forth in the Release but in no event more than</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the Date of Termination:</w:t>
      </w:r>
    </w:p>
    <w:p>
      <w:pPr>
        <w:spacing w:after="0" w:line="99" w:lineRule="exact"/>
        <w:rPr>
          <w:sz w:val="20"/>
          <w:szCs w:val="20"/>
          <w:color w:val="auto"/>
        </w:rPr>
      </w:pPr>
    </w:p>
    <w:p>
      <w:pPr>
        <w:ind w:left="444" w:right="360" w:firstLine="952"/>
        <w:spacing w:after="0" w:line="275" w:lineRule="auto"/>
        <w:rPr>
          <w:sz w:val="20"/>
          <w:szCs w:val="20"/>
          <w:color w:val="auto"/>
        </w:rPr>
      </w:pPr>
      <w:r>
        <w:rPr>
          <w:rFonts w:ascii="Times New Roman" w:cs="Times New Roman" w:eastAsia="Times New Roman" w:hAnsi="Times New Roman"/>
          <w:sz w:val="17"/>
          <w:szCs w:val="17"/>
          <w:color w:val="auto"/>
        </w:rPr>
        <w:t>(i) the Company shall pay the Executive a lump sum in cash in an amount equal to the sum of (A) [ ]</w:t>
      </w:r>
      <w:r>
        <w:rPr>
          <w:rFonts w:ascii="Times New Roman" w:cs="Times New Roman" w:eastAsia="Times New Roman" w:hAnsi="Times New Roman"/>
          <w:sz w:val="14"/>
          <w:szCs w:val="14"/>
          <w:color w:val="auto"/>
        </w:rPr>
        <w:t>17</w:t>
      </w:r>
      <w:r>
        <w:rPr>
          <w:rFonts w:ascii="Times New Roman" w:cs="Times New Roman" w:eastAsia="Times New Roman" w:hAnsi="Times New Roman"/>
          <w:sz w:val="17"/>
          <w:szCs w:val="17"/>
          <w:color w:val="auto"/>
        </w:rPr>
        <w:t xml:space="preserve"> months of the Executive’s then-current Base Salary (or the Executive’s Base Salary in effect immediately prior to the Change in Control, if higher) plus (B)</w:t>
      </w:r>
    </w:p>
    <w:p>
      <w:pPr>
        <w:spacing w:after="0" w:line="1" w:lineRule="exact"/>
        <w:rPr>
          <w:sz w:val="20"/>
          <w:szCs w:val="20"/>
          <w:color w:val="auto"/>
        </w:rPr>
      </w:pPr>
    </w:p>
    <w:p>
      <w:pPr>
        <w:ind w:left="444" w:right="80" w:hanging="4"/>
        <w:spacing w:after="0" w:line="262" w:lineRule="auto"/>
        <w:tabs>
          <w:tab w:leader="none" w:pos="86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18</w:t>
      </w:r>
      <w:r>
        <w:rPr>
          <w:rFonts w:ascii="Times New Roman" w:cs="Times New Roman" w:eastAsia="Times New Roman" w:hAnsi="Times New Roman"/>
          <w:sz w:val="18"/>
          <w:szCs w:val="18"/>
          <w:color w:val="auto"/>
        </w:rPr>
        <w:t xml:space="preserve"> times the Executive’s Target Bonus for the then-current year (or the Executive’s Target Bonus in effect immediately prior to the Change in Control, if higher); and</w:t>
      </w:r>
    </w:p>
    <w:p>
      <w:pPr>
        <w:spacing w:after="0" w:line="71" w:lineRule="exact"/>
        <w:rPr>
          <w:rFonts w:ascii="Times New Roman" w:cs="Times New Roman" w:eastAsia="Times New Roman" w:hAnsi="Times New Roman"/>
          <w:sz w:val="18"/>
          <w:szCs w:val="18"/>
          <w:color w:val="auto"/>
        </w:rPr>
      </w:pPr>
    </w:p>
    <w:p>
      <w:pPr>
        <w:ind w:left="444" w:right="60" w:firstLine="948"/>
        <w:spacing w:after="0" w:line="253" w:lineRule="auto"/>
        <w:tabs>
          <w:tab w:leader="none" w:pos="1796"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 ]</w:t>
      </w:r>
      <w:r>
        <w:rPr>
          <w:rFonts w:ascii="Times New Roman" w:cs="Times New Roman" w:eastAsia="Times New Roman" w:hAnsi="Times New Roman"/>
          <w:sz w:val="15"/>
          <w:szCs w:val="15"/>
          <w:color w:val="auto"/>
        </w:rPr>
        <w:t>19</w:t>
      </w:r>
      <w:r>
        <w:rPr>
          <w:rFonts w:ascii="Times New Roman" w:cs="Times New Roman" w:eastAsia="Times New Roman" w:hAnsi="Times New Roman"/>
          <w:sz w:val="18"/>
          <w:szCs w:val="18"/>
          <w:color w:val="auto"/>
        </w:rPr>
        <w:t xml:space="preserve">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7152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0" w:lineRule="exact"/>
        <w:rPr>
          <w:sz w:val="20"/>
          <w:szCs w:val="20"/>
          <w:color w:val="auto"/>
        </w:rPr>
      </w:pPr>
    </w:p>
    <w:p>
      <w:pPr>
        <w:ind w:left="424" w:hanging="424"/>
        <w:spacing w:after="0"/>
        <w:tabs>
          <w:tab w:leader="none" w:pos="424" w:val="left"/>
        </w:tabs>
        <w:numPr>
          <w:ilvl w:val="0"/>
          <w:numId w:val="6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12 months for non-CEO executives; 18 months for CEO.</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1.0 times for non-CEO executives; 1.5 times for CEO.</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6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12 months for non-CEO executives; 18 months for CEO.</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679" w:name="page680"/>
    <w:bookmarkEnd w:id="67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amounts payable under this Section 6(a), to the extent taxable, shall be paid or commence to be paid within 60 days after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deferred compensation” within the meaning of Section 409A of the Code, shall be paid or commence to be paid in the second calendar year by the last day of such 60-day period.</w:t>
      </w:r>
    </w:p>
    <w:p>
      <w:pPr>
        <w:spacing w:after="0" w:line="288" w:lineRule="exact"/>
        <w:rPr>
          <w:sz w:val="20"/>
          <w:szCs w:val="20"/>
          <w:color w:val="auto"/>
        </w:rPr>
      </w:pPr>
    </w:p>
    <w:p>
      <w:pPr>
        <w:ind w:left="1380" w:hanging="393"/>
        <w:spacing w:after="0"/>
        <w:tabs>
          <w:tab w:leader="none" w:pos="1380"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52" w:lineRule="auto"/>
        <w:tabs>
          <w:tab w:leader="none" w:pos="1732" w:val="left"/>
        </w:tabs>
        <w:numPr>
          <w:ilvl w:val="2"/>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6" w:lineRule="exact"/>
        <w:rPr>
          <w:rFonts w:ascii="Times New Roman" w:cs="Times New Roman" w:eastAsia="Times New Roman" w:hAnsi="Times New Roman"/>
          <w:sz w:val="18"/>
          <w:szCs w:val="18"/>
          <w:color w:val="auto"/>
        </w:rPr>
      </w:pPr>
    </w:p>
    <w:p>
      <w:pPr>
        <w:ind w:left="440" w:right="160" w:hanging="4"/>
        <w:spacing w:after="0" w:line="253" w:lineRule="auto"/>
        <w:tabs>
          <w:tab w:leader="none" w:pos="695"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80"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792" w:val="left"/>
        </w:tabs>
        <w:numPr>
          <w:ilvl w:val="2"/>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w:t>
      </w:r>
      <w:r>
        <w:rPr>
          <w:rFonts w:ascii="Times New Roman" w:cs="Times New Roman" w:eastAsia="Times New Roman" w:hAnsi="Times New Roman"/>
          <w:sz w:val="18"/>
          <w:szCs w:val="18"/>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9" w:lineRule="exact"/>
        <w:rPr>
          <w:rFonts w:ascii="Times New Roman" w:cs="Times New Roman" w:eastAsia="Times New Roman" w:hAnsi="Times New Roman"/>
          <w:sz w:val="18"/>
          <w:szCs w:val="18"/>
          <w:color w:val="auto"/>
        </w:rPr>
      </w:pPr>
    </w:p>
    <w:p>
      <w:pPr>
        <w:ind w:left="440" w:right="60" w:firstLine="948"/>
        <w:spacing w:after="0" w:line="258" w:lineRule="auto"/>
        <w:tabs>
          <w:tab w:leader="none" w:pos="1838" w:val="left"/>
        </w:tabs>
        <w:numPr>
          <w:ilvl w:val="2"/>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680" w:name="page681"/>
    <w:bookmarkEnd w:id="680"/>
    <w:p>
      <w:pPr>
        <w:ind w:left="1300" w:hanging="373"/>
        <w:spacing w:after="0"/>
        <w:tabs>
          <w:tab w:leader="none" w:pos="130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Definitions</w:t>
      </w:r>
      <w:r>
        <w:rPr>
          <w:rFonts w:ascii="Times New Roman" w:cs="Times New Roman" w:eastAsia="Times New Roman" w:hAnsi="Times New Roman"/>
          <w:sz w:val="18"/>
          <w:szCs w:val="18"/>
          <w:color w:val="auto"/>
        </w:rPr>
        <w:t>. For purposes of this Agreement, the following terms shall have the meanings set forth below:</w:t>
      </w:r>
    </w:p>
    <w:p>
      <w:pPr>
        <w:spacing w:after="0" w:line="117" w:lineRule="exact"/>
        <w:rPr>
          <w:rFonts w:ascii="Times New Roman" w:cs="Times New Roman" w:eastAsia="Times New Roman" w:hAnsi="Times New Roman"/>
          <w:sz w:val="18"/>
          <w:szCs w:val="18"/>
          <w:color w:val="auto"/>
        </w:rPr>
      </w:pPr>
    </w:p>
    <w:p>
      <w:pPr>
        <w:ind w:left="1720" w:hanging="392"/>
        <w:spacing w:after="0"/>
        <w:tabs>
          <w:tab w:leader="none" w:pos="1720" w:val="left"/>
        </w:tabs>
        <w:numPr>
          <w:ilvl w:val="2"/>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“Sale Event” as defined in the Company’s [Name of Equity Incentive Plan].</w:t>
      </w:r>
    </w:p>
    <w:p>
      <w:pPr>
        <w:spacing w:after="0" w:line="117" w:lineRule="exact"/>
        <w:rPr>
          <w:rFonts w:ascii="Times New Roman" w:cs="Times New Roman" w:eastAsia="Times New Roman" w:hAnsi="Times New Roman"/>
          <w:sz w:val="18"/>
          <w:szCs w:val="18"/>
          <w:color w:val="auto"/>
        </w:rPr>
      </w:pPr>
    </w:p>
    <w:p>
      <w:pPr>
        <w:ind w:left="380" w:right="260" w:firstLine="948"/>
        <w:spacing w:after="0" w:line="282" w:lineRule="auto"/>
        <w:tabs>
          <w:tab w:leader="none" w:pos="1732" w:val="left"/>
        </w:tabs>
        <w:numPr>
          <w:ilvl w:val="2"/>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commencing on the occurrence of the first event constituting a Change in Control and ending twelve (12) months after the occurrence of the first event constituting a Change in Control.</w:t>
      </w:r>
    </w:p>
    <w:p>
      <w:pPr>
        <w:spacing w:after="0" w:line="26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firstLine="987"/>
        <w:spacing w:after="0" w:line="254" w:lineRule="auto"/>
        <w:tabs>
          <w:tab w:leader="none" w:pos="1301"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8" w:lineRule="exact"/>
        <w:rPr>
          <w:rFonts w:ascii="Times New Roman" w:cs="Times New Roman" w:eastAsia="Times New Roman" w:hAnsi="Times New Roman"/>
          <w:sz w:val="18"/>
          <w:szCs w:val="18"/>
          <w:color w:val="auto"/>
        </w:rPr>
      </w:pPr>
    </w:p>
    <w:p>
      <w:pPr>
        <w:ind w:left="-60" w:right="60" w:firstLine="987"/>
        <w:spacing w:after="0" w:line="256" w:lineRule="auto"/>
        <w:tabs>
          <w:tab w:leader="none" w:pos="1311"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left="-60" w:right="180" w:firstLine="987"/>
        <w:spacing w:after="0" w:line="261" w:lineRule="auto"/>
        <w:tabs>
          <w:tab w:leader="none" w:pos="1308"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500" w:top="270" w:right="499" w:bottom="1440" w:gutter="0" w:footer="0" w:header="0"/>
        </w:sectPr>
      </w:pPr>
    </w:p>
    <w:bookmarkStart w:id="681" w:name="page682"/>
    <w:bookmarkEnd w:id="681"/>
    <w:p>
      <w:pPr>
        <w:ind w:firstLine="987"/>
        <w:spacing w:after="0" w:line="256" w:lineRule="auto"/>
        <w:tabs>
          <w:tab w:leader="none" w:pos="1378"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368"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8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0" w:firstLine="987"/>
        <w:spacing w:after="0" w:line="281" w:lineRule="auto"/>
        <w:tabs>
          <w:tab w:leader="none" w:pos="1371"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Covenants Agreement</w:t>
      </w:r>
      <w:r>
        <w:rPr>
          <w:rFonts w:ascii="Times New Roman" w:cs="Times New Roman" w:eastAsia="Times New Roman" w:hAnsi="Times New Roman"/>
          <w:sz w:val="17"/>
          <w:szCs w:val="17"/>
          <w:color w:val="auto"/>
        </w:rPr>
        <w:t xml:space="preserve">. As a condition of the Executive’s continued employment, the Executive is required to enter into the Employee Confidentiality, Assignment and Nonsolicitation Agreement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Restrictive Covenants Agreement</w:t>
      </w:r>
      <w:r>
        <w:rPr>
          <w:rFonts w:ascii="Times New Roman" w:cs="Times New Roman" w:eastAsia="Times New Roman" w:hAnsi="Times New Roman"/>
          <w:sz w:val="17"/>
          <w:szCs w:val="17"/>
          <w:color w:val="auto"/>
        </w:rPr>
        <w: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7"/>
          <w:szCs w:val="17"/>
          <w:u w:val="single" w:color="auto"/>
          <w:color w:val="auto"/>
        </w:rPr>
        <w:t>Continuing Obligations</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right="140" w:firstLine="987"/>
        <w:spacing w:after="0" w:line="254" w:lineRule="auto"/>
        <w:tabs>
          <w:tab w:leader="none" w:pos="1381"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rFonts w:ascii="Times New Roman" w:cs="Times New Roman" w:eastAsia="Times New Roman" w:hAnsi="Times New Roman"/>
          <w:sz w:val="18"/>
          <w:szCs w:val="18"/>
          <w:color w:val="auto"/>
        </w:rPr>
      </w:pPr>
    </w:p>
    <w:p>
      <w:pPr>
        <w:ind w:right="240" w:firstLine="987"/>
        <w:spacing w:after="0" w:line="261" w:lineRule="auto"/>
        <w:tabs>
          <w:tab w:leader="none" w:pos="1371"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including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82" w:name="page683"/>
    <w:bookmarkEnd w:id="682"/>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87" w:lineRule="exact"/>
        <w:rPr>
          <w:sz w:val="20"/>
          <w:szCs w:val="20"/>
          <w:color w:val="auto"/>
        </w:rPr>
      </w:pPr>
    </w:p>
    <w:p>
      <w:pPr>
        <w:ind w:right="120" w:firstLine="987"/>
        <w:spacing w:after="0" w:line="258" w:lineRule="auto"/>
        <w:tabs>
          <w:tab w:leader="none" w:pos="138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75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rFonts w:ascii="Times New Roman" w:cs="Times New Roman" w:eastAsia="Times New Roman" w:hAnsi="Times New Roman"/>
          <w:sz w:val="18"/>
          <w:szCs w:val="18"/>
          <w:color w:val="auto"/>
        </w:rPr>
      </w:pPr>
    </w:p>
    <w:p>
      <w:pPr>
        <w:ind w:right="60" w:firstLine="436"/>
        <w:spacing w:after="0" w:line="266" w:lineRule="auto"/>
        <w:tabs>
          <w:tab w:leader="none" w:pos="84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constitutes the entire agreement between the parties with respect to the subject matter hereof and supersedes all prior agreements between the parties concerning such subject matter, including the Prior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Equity Documents and any obligations regarding confidentiality and invention assignment remain in full force and effect.</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838"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84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Executive remains employed or becomes employed by the Company, the purchaser or any of their affiliates in connection with any such transaction, then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83" w:name="page684"/>
    <w:bookmarkEnd w:id="683"/>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shall not be entitled to any payments, benefits or vesting pursuant to Section 2(g), Section 5 or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87" w:lineRule="exact"/>
        <w:rPr>
          <w:sz w:val="20"/>
          <w:szCs w:val="20"/>
          <w:color w:val="auto"/>
        </w:rPr>
      </w:pPr>
    </w:p>
    <w:p>
      <w:pPr>
        <w:jc w:val="both"/>
        <w:ind w:right="220" w:firstLine="436"/>
        <w:spacing w:after="0" w:line="261" w:lineRule="auto"/>
        <w:tabs>
          <w:tab w:leader="none" w:pos="84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84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84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Times New Roman" w:cs="Times New Roman" w:eastAsia="Times New Roman" w:hAnsi="Times New Roman"/>
          <w:sz w:val="18"/>
          <w:szCs w:val="18"/>
          <w:color w:val="auto"/>
        </w:rPr>
      </w:pPr>
    </w:p>
    <w:p>
      <w:pPr>
        <w:ind w:right="280" w:firstLine="436"/>
        <w:spacing w:after="0" w:line="261" w:lineRule="auto"/>
        <w:tabs>
          <w:tab w:leader="none" w:pos="84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9" w:lineRule="exact"/>
        <w:rPr>
          <w:rFonts w:ascii="Times New Roman" w:cs="Times New Roman" w:eastAsia="Times New Roman" w:hAnsi="Times New Roman"/>
          <w:sz w:val="18"/>
          <w:szCs w:val="18"/>
          <w:color w:val="auto"/>
        </w:rPr>
      </w:pPr>
    </w:p>
    <w:p>
      <w:pPr>
        <w:ind w:right="180" w:firstLine="436"/>
        <w:spacing w:after="0" w:line="282" w:lineRule="auto"/>
        <w:tabs>
          <w:tab w:leader="none" w:pos="84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the Executive and by a duly authorized representative of the Company.</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84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84" w:name="page685"/>
    <w:bookmarkEnd w:id="684"/>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not both. Further, Section 5 and Section 6 of this Agreement are mutually exclusive and in no event shall the Executive be entitled to payments or benefits pursuant to both Section 5 and Section 6 of this Agreement.</w:t>
      </w:r>
    </w:p>
    <w:p>
      <w:pPr>
        <w:spacing w:after="0" w:line="162" w:lineRule="exact"/>
        <w:rPr>
          <w:sz w:val="20"/>
          <w:szCs w:val="20"/>
          <w:color w:val="auto"/>
        </w:rPr>
      </w:pPr>
    </w:p>
    <w:p>
      <w:pPr>
        <w:ind w:right="140" w:firstLine="436"/>
        <w:spacing w:after="0" w:line="261" w:lineRule="auto"/>
        <w:tabs>
          <w:tab w:leader="none" w:pos="84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79" w:lineRule="exact"/>
        <w:rPr>
          <w:rFonts w:ascii="Times New Roman" w:cs="Times New Roman" w:eastAsia="Times New Roman" w:hAnsi="Times New Roman"/>
          <w:sz w:val="18"/>
          <w:szCs w:val="18"/>
          <w:color w:val="auto"/>
        </w:rPr>
      </w:pPr>
    </w:p>
    <w:p>
      <w:pPr>
        <w:ind w:firstLine="436"/>
        <w:spacing w:after="0" w:line="282" w:lineRule="auto"/>
        <w:tabs>
          <w:tab w:leader="none" w:pos="84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685" w:name="page686"/>
    <w:bookmarkEnd w:id="6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ectPr>
          <w:pgSz w:w="11900" w:h="16838" w:orient="portrait"/>
          <w:cols w:equalWidth="0" w:num="1">
            <w:col w:w="9019"/>
          </w:cols>
          <w:pgMar w:left="1440" w:top="266" w:right="1440" w:bottom="1440" w:gutter="0" w:footer="0" w:header="0"/>
        </w:sectPr>
      </w:pPr>
    </w:p>
    <w:bookmarkStart w:id="686" w:name="page687"/>
    <w:bookmarkEnd w:id="686"/>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u w:val="single" w:color="auto"/>
          <w:color w:val="auto"/>
        </w:rPr>
        <w:t>CONSULTING AGREEMENT</w:t>
      </w:r>
    </w:p>
    <w:p>
      <w:pPr>
        <w:spacing w:after="0" w:line="206"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THIS CONSULTING AGREEMENT (the “Agreement”), made as of January 1, 2019 is entered into by Cullinan Management, Inc. a Delaware corporation (the “Company”), and Corinne Savill (the “Consultant”).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INTRODUCTION</w:t>
      </w:r>
    </w:p>
    <w:p>
      <w:pPr>
        <w:spacing w:after="0" w:line="206" w:lineRule="exact"/>
        <w:rPr>
          <w:sz w:val="20"/>
          <w:szCs w:val="20"/>
          <w:color w:val="auto"/>
        </w:rPr>
      </w:pPr>
    </w:p>
    <w:p>
      <w:pPr>
        <w:jc w:val="both"/>
        <w:ind w:left="4" w:right="20" w:firstLine="551"/>
        <w:spacing w:after="0" w:line="261" w:lineRule="auto"/>
        <w:rPr>
          <w:sz w:val="20"/>
          <w:szCs w:val="20"/>
          <w:color w:val="auto"/>
        </w:rPr>
      </w:pPr>
      <w:r>
        <w:rPr>
          <w:rFonts w:ascii="Times New Roman" w:cs="Times New Roman" w:eastAsia="Times New Roman" w:hAnsi="Times New Roman"/>
          <w:sz w:val="21"/>
          <w:szCs w:val="21"/>
          <w:color w:val="auto"/>
        </w:rPr>
        <w:t>The Company and the Consultant desire to establish the terms and conditions under which the Consultant will provide Services to the Company. In consideration of the mutual covenants and promises contained herein and other good and valuable consideration, the receipt and sufficiency of which is hereby acknowledged by the parties hereto, the parties agree as follows:</w:t>
      </w:r>
    </w:p>
    <w:p>
      <w:pPr>
        <w:spacing w:after="0" w:line="184" w:lineRule="exact"/>
        <w:rPr>
          <w:sz w:val="20"/>
          <w:szCs w:val="20"/>
          <w:color w:val="auto"/>
        </w:rPr>
      </w:pPr>
    </w:p>
    <w:p>
      <w:pPr>
        <w:jc w:val="both"/>
        <w:ind w:left="544" w:right="20" w:hanging="544"/>
        <w:spacing w:after="0" w:line="244" w:lineRule="auto"/>
        <w:tabs>
          <w:tab w:leader="none" w:pos="544"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The Consultant agrees to perform such consulting, advisory and related services to and for the Company as may be reasonably requested from time to time by the officers of the Company (the “Services”). The Consultant will not be expected to relocate her residence.</w:t>
      </w:r>
    </w:p>
    <w:p>
      <w:pPr>
        <w:spacing w:after="0" w:line="200" w:lineRule="exact"/>
        <w:rPr>
          <w:rFonts w:ascii="Times New Roman" w:cs="Times New Roman" w:eastAsia="Times New Roman" w:hAnsi="Times New Roman"/>
          <w:sz w:val="22"/>
          <w:szCs w:val="22"/>
          <w:color w:val="auto"/>
        </w:rPr>
      </w:pPr>
    </w:p>
    <w:p>
      <w:pPr>
        <w:ind w:left="544" w:right="20" w:hanging="544"/>
        <w:spacing w:after="0" w:line="258" w:lineRule="auto"/>
        <w:tabs>
          <w:tab w:leader="none" w:pos="544"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on the date hereof and shall terminate on the last date on which Consultant provides Services to the Company under this Agreement (the “Consultation Period”).</w:t>
      </w:r>
    </w:p>
    <w:p>
      <w:pPr>
        <w:spacing w:after="0" w:line="185"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424" w:hanging="647"/>
        <w:spacing w:after="0" w:line="236" w:lineRule="auto"/>
        <w:tabs>
          <w:tab w:leader="none" w:pos="1404"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Your consulting fee will be at the monthly rate of $31,666.66 per month (annualized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$380,000.00), less all applicable taxes and withholdings, to be paid in installments, in accordance with the Company’s regular payroll practices. Such base consulting fee may be adjusted from time to time in accordance with normal business practice and in the sole discretion of the Company.</w:t>
      </w:r>
    </w:p>
    <w:p>
      <w:pPr>
        <w:spacing w:after="0" w:line="1" w:lineRule="exact"/>
        <w:rPr>
          <w:sz w:val="20"/>
          <w:szCs w:val="20"/>
          <w:color w:val="auto"/>
        </w:rPr>
      </w:pPr>
    </w:p>
    <w:p>
      <w:pPr>
        <w:jc w:val="both"/>
        <w:ind w:left="1424" w:hanging="647"/>
        <w:spacing w:after="0" w:line="230" w:lineRule="auto"/>
        <w:tabs>
          <w:tab w:leader="none" w:pos="1404"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 xml:space="preserve">Bonus. </w:t>
      </w:r>
      <w:r>
        <w:rPr>
          <w:rFonts w:ascii="Times New Roman" w:cs="Times New Roman" w:eastAsia="Times New Roman" w:hAnsi="Times New Roman"/>
          <w:sz w:val="22"/>
          <w:szCs w:val="22"/>
          <w:color w:val="auto"/>
        </w:rPr>
        <w:t>Following the end of each fiscal year and subject to the approval of the Company’s Board of Directors,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you will be eligible for a retention and performance bonus of up to 30% of your annualized base consulting fee, based on your individual performance and the Company’s performance during the applicable fiscal year, as determined by the Board in accordance with certain milestones to be mutually agreed upon between you and the Board each year. You must be an active consultant of the Company on the date any bonus is distributed in order to be eligible for and to earn a bonus award, as it also serves as an incentive to remain engaged by the Company.</w:t>
      </w:r>
    </w:p>
    <w:p>
      <w:pPr>
        <w:spacing w:after="0" w:line="4" w:lineRule="exact"/>
        <w:rPr>
          <w:sz w:val="20"/>
          <w:szCs w:val="20"/>
          <w:color w:val="auto"/>
        </w:rPr>
      </w:pPr>
    </w:p>
    <w:p>
      <w:pPr>
        <w:jc w:val="both"/>
        <w:ind w:left="1424" w:right="20" w:hanging="647"/>
        <w:spacing w:after="0" w:line="234" w:lineRule="auto"/>
        <w:tabs>
          <w:tab w:leader="none" w:pos="1404"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 xml:space="preserve">Equity. </w:t>
      </w:r>
      <w:r>
        <w:rPr>
          <w:rFonts w:ascii="Times New Roman" w:cs="Times New Roman" w:eastAsia="Times New Roman" w:hAnsi="Times New Roman"/>
          <w:sz w:val="22"/>
          <w:szCs w:val="22"/>
          <w:color w:val="auto"/>
        </w:rPr>
        <w:t>Subject to the approval of the Board of Directors, the Company will grant you incentive units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“Units”) under the Cullinan Oncology LLC (the “LLC”) Profits Interest Plan (the “Plan”) equating to an ownership interest entitling you to 1.5% of the distributions made by the LLC with respect to the Common Units of the LLC in excess of the strike</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24"/>
          </w:cols>
          <w:pgMar w:left="436" w:top="108" w:right="439" w:bottom="1440" w:gutter="0" w:footer="0" w:header="0"/>
        </w:sectPr>
      </w:pPr>
    </w:p>
    <w:bookmarkStart w:id="687" w:name="page688"/>
    <w:bookmarkEnd w:id="687"/>
    <w:p>
      <w:pPr>
        <w:jc w:val="both"/>
        <w:ind w:left="1424"/>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price associated with your Units, up to an aggregate initial seed and Series A equity investment of $150-200MM. The strike price of each Unit will be determined by the LLC’s Board of Directors on the date such Units are granted and shall be equal to the amount that would be distributed in respect of a Common Unit of the LLC in a hypothetical liquidation of the LLC on the date of issuance of such Unit. The Units will be evidenced in writing by, and subject to the terms of the Plan and a Unit Grant Agreement provided by the LLC, which agreement will specify monthly vesting over four (4) years with a one (1) year cliff.</w:t>
      </w:r>
    </w:p>
    <w:p>
      <w:pPr>
        <w:spacing w:after="0" w:line="208" w:lineRule="exact"/>
        <w:rPr>
          <w:sz w:val="20"/>
          <w:szCs w:val="20"/>
          <w:color w:val="auto"/>
        </w:rPr>
      </w:pPr>
    </w:p>
    <w:p>
      <w:pPr>
        <w:ind w:left="764" w:right="7040" w:hanging="764"/>
        <w:spacing w:after="0" w:line="469" w:lineRule="auto"/>
        <w:tabs>
          <w:tab w:leader="none" w:pos="535" w:val="left"/>
        </w:tabs>
        <w:numPr>
          <w:ilvl w:val="0"/>
          <w:numId w:val="6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xml:space="preserve">Proprietary Information and Inventions. </w:t>
      </w: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Proprietary Information.</w:t>
      </w:r>
    </w:p>
    <w:p>
      <w:pPr>
        <w:spacing w:after="0" w:line="1" w:lineRule="exact"/>
        <w:rPr>
          <w:rFonts w:ascii="Times New Roman" w:cs="Times New Roman" w:eastAsia="Times New Roman" w:hAnsi="Times New Roman"/>
          <w:sz w:val="21"/>
          <w:szCs w:val="21"/>
          <w:color w:val="auto"/>
        </w:rPr>
      </w:pPr>
    </w:p>
    <w:p>
      <w:pPr>
        <w:jc w:val="both"/>
        <w:ind w:left="544" w:firstLine="844"/>
        <w:spacing w:after="0" w:line="233" w:lineRule="auto"/>
        <w:tabs>
          <w:tab w:leader="none" w:pos="2078" w:val="left"/>
        </w:tabs>
        <w:numPr>
          <w:ilvl w:val="1"/>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Consultant’s relationship with the Company is one of high trust and confidence and that in the course of Consultant’s service to the Company, will have access to and contact with Proprietary Information (</w:t>
      </w:r>
      <w:r>
        <w:rPr>
          <w:rFonts w:ascii="Times New Roman" w:cs="Times New Roman" w:eastAsia="Times New Roman" w:hAnsi="Times New Roman"/>
          <w:sz w:val="22"/>
          <w:szCs w:val="22"/>
          <w:i w:val="1"/>
          <w:iCs w:val="1"/>
          <w:color w:val="auto"/>
        </w:rPr>
        <w:t>as defined below in Section 4.1(b)</w:t>
      </w:r>
      <w:r>
        <w:rPr>
          <w:rFonts w:ascii="Times New Roman" w:cs="Times New Roman" w:eastAsia="Times New Roman" w:hAnsi="Times New Roman"/>
          <w:sz w:val="22"/>
          <w:szCs w:val="22"/>
          <w:color w:val="auto"/>
        </w:rPr>
        <w:t>) of both the Company and any company or other entity that Cullinan Oncology, LLC has invested in or is considering for investment (a “Portfolio Company”). While Consultant is providing Services to the Company, and for three (3) years following the expiration of the Consultation Period, Consultant will not disclose or deliver to anyone, except as authorized by the Company, or use in any way other than to provide the Services, any Proprietary Information of the Company or a Portfolio Company. The restrictions set forth in this Section 4 will not apply to Information which (a) Consultant is required to disclose by an order of a court of competent jurisdiction, provided Consultant has provided all reasonable and practicable notice to the Company prior to such order being imposed, and at the request and cost of the Company, Consultant will promptly do all such reasonable acts or things as the Company and its duly authorized officers may reasonably require to defend in any proceeding, judicial or otherwise, such confidences and disclosures, or (b) becomes generally known to the public or in the trade, unless such knowledge results from an unauthorized disclosure by the Consultant.</w:t>
      </w:r>
    </w:p>
    <w:p>
      <w:pPr>
        <w:spacing w:after="0" w:line="182" w:lineRule="exact"/>
        <w:rPr>
          <w:rFonts w:ascii="Times New Roman" w:cs="Times New Roman" w:eastAsia="Times New Roman" w:hAnsi="Times New Roman"/>
          <w:sz w:val="22"/>
          <w:szCs w:val="22"/>
          <w:color w:val="auto"/>
        </w:rPr>
      </w:pPr>
    </w:p>
    <w:p>
      <w:pPr>
        <w:jc w:val="both"/>
        <w:ind w:left="544" w:firstLine="844"/>
        <w:spacing w:after="0" w:line="234" w:lineRule="auto"/>
        <w:tabs>
          <w:tab w:leader="none" w:pos="2144" w:val="left"/>
        </w:tabs>
        <w:numPr>
          <w:ilvl w:val="1"/>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“Proprietary Information” shall mean, by way of illustration and not limitation, all information, whether or not in writing, whether or not patentable and whether or not copyrightable, of a private, secret or confidential nature, owned, possessed or used by the Company or any Portfolio Company, concerning the business, business relationships or financial affairs, including, without limitation, any Invention, formula, vendor information, customer information, apparatus, equipment, trade secret, process, research, report; technical or research data, clinical data; know-how, computer program, software, software documentation, hardware design, technology, product, processes, methods, techniques, formulas, compounds, projects, developments, marketing or business plan, forecast, unpublished financial statement, budget, license, price, cost, customer, supplier or personnel information or employee lists concerning either the Company, one of its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61" w:right="439" w:bottom="1440" w:gutter="0" w:footer="0" w:header="0"/>
        </w:sectPr>
      </w:pPr>
    </w:p>
    <w:bookmarkStart w:id="688" w:name="page689"/>
    <w:bookmarkEnd w:id="688"/>
    <w:p>
      <w:pPr>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affiliated entities, or a Portfolio Company that is communicated to, learned of, developed or otherwise acquired by the Consultant in the course of Consultant’s Service as a consultant under this Agreement to the Company.</w:t>
      </w:r>
    </w:p>
    <w:p>
      <w:pPr>
        <w:spacing w:after="0" w:line="158" w:lineRule="exact"/>
        <w:rPr>
          <w:sz w:val="20"/>
          <w:szCs w:val="20"/>
          <w:color w:val="auto"/>
        </w:rPr>
      </w:pPr>
    </w:p>
    <w:p>
      <w:pPr>
        <w:jc w:val="both"/>
        <w:ind w:firstLine="844"/>
        <w:spacing w:after="0" w:line="245" w:lineRule="auto"/>
        <w:tabs>
          <w:tab w:leader="none" w:pos="1656" w:val="left"/>
        </w:tabs>
        <w:numPr>
          <w:ilvl w:val="0"/>
          <w:numId w:val="6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agrees that all files, documents, letters, memoranda, reports, records, data sketches, drawings, models, laboratory notebooks, program listings, computer equipment or devices, computer programs or other written, photographic, or other tangible material containing Proprietary Information, whether created by the Consultant or others, which shall come into her custody or possession, shall be and are the exclusive property of either the Company or a Portfolio Company, and are to be used by the Consultant only in the performance of Consultant’s duties under this Agreement and shall not be copied or removed from the Company’s or Portfolio Company’s premises except in the pursuit of the Services. All such materials or copies thereof and all tangible property of the Company or Portfolio Company in the custody or possession of the Consultant shall, unless otherwise agreed to by the Company or Portfolio Company in writing, be delivered to the Company or Portfolio Company upon the earlier of (i) a request by the Company or Portfolio Company, (ii) the termination of this Agreement or (iii) the expiration of the Consultation Period. After such delivery, the Consultant shall not retain any such materials or copies thereof or any such tangible property.</w:t>
      </w:r>
    </w:p>
    <w:p>
      <w:pPr>
        <w:spacing w:after="0" w:line="177" w:lineRule="exact"/>
        <w:rPr>
          <w:rFonts w:ascii="Times New Roman" w:cs="Times New Roman" w:eastAsia="Times New Roman" w:hAnsi="Times New Roman"/>
          <w:sz w:val="21"/>
          <w:szCs w:val="21"/>
          <w:color w:val="auto"/>
        </w:rPr>
      </w:pPr>
    </w:p>
    <w:p>
      <w:pPr>
        <w:jc w:val="both"/>
        <w:ind w:firstLine="844"/>
        <w:spacing w:after="0" w:line="234" w:lineRule="auto"/>
        <w:tabs>
          <w:tab w:leader="none" w:pos="1586"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agrees that Consultant’s obligation not to disclose or to use information and materials of the types set forth in paragraphs (b) and (c) above, and Consultant’s obligation to return materials and tangible property set forth in paragraph (c) above extends to such types of information, materials and tangible property of customers of the Company, a Portfolio Company, suppliers to the Company or other third parties who may have disclosed or entrusted the same to the Company, a Portfolio Company or the Consultant. In addition, the Consultant may disclose Proprietary Information pursuant to a subpoena or other order issued by a court of competent jurisdiction or governmental agency, but only if the Consultant advises the Company or Portfolio Company in writing in advance of such intended disclosure and cooperates with the Company or Portfolio Company in the event the Company or Portfolio Company elects to legally contest and avoid such disclosure. In any event, the Consultant may disclose only such portion of the Proprietary Information that Consultant is legally required to disclose.</w:t>
      </w:r>
    </w:p>
    <w:p>
      <w:pPr>
        <w:spacing w:after="0" w:line="179" w:lineRule="exact"/>
        <w:rPr>
          <w:rFonts w:ascii="Times New Roman" w:cs="Times New Roman" w:eastAsia="Times New Roman" w:hAnsi="Times New Roman"/>
          <w:sz w:val="22"/>
          <w:szCs w:val="22"/>
          <w:color w:val="auto"/>
        </w:rPr>
      </w:pPr>
    </w:p>
    <w:p>
      <w:pPr>
        <w:jc w:val="both"/>
        <w:ind w:right="20" w:firstLine="844"/>
        <w:spacing w:after="0" w:line="236" w:lineRule="auto"/>
        <w:tabs>
          <w:tab w:leader="none" w:pos="1623"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the Company from time to time may have agreements with other persons or with the United States Government, or agencies thereof, that impose obligations or restrictions on the Company or Portfolio Company regarding inventions made during the course of work under such agreements or regarding the confidential nature of such work. The Consultant agrees to be bound by all such obligations and restrictions that are known to him and to take all action necessary to discharge the obligations of the Company under such agreements.</w:t>
      </w:r>
    </w:p>
    <w:p>
      <w:pPr>
        <w:spacing w:after="0" w:line="1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480"/>
          </w:cols>
          <w:pgMar w:left="980" w:top="261" w:right="439" w:bottom="1440" w:gutter="0" w:footer="0" w:header="0"/>
        </w:sectPr>
      </w:pPr>
    </w:p>
    <w:bookmarkStart w:id="689" w:name="page690"/>
    <w:bookmarkEnd w:id="689"/>
    <w:p>
      <w:pPr>
        <w:ind w:left="764"/>
        <w:spacing w:after="0"/>
        <w:tabs>
          <w:tab w:leader="none" w:pos="1404"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21"/>
          <w:szCs w:val="21"/>
          <w:u w:val="single" w:color="auto"/>
          <w:color w:val="auto"/>
        </w:rPr>
        <w:t>Inventions.</w:t>
      </w:r>
    </w:p>
    <w:p>
      <w:pPr>
        <w:spacing w:after="0" w:line="206" w:lineRule="exact"/>
        <w:rPr>
          <w:sz w:val="20"/>
          <w:szCs w:val="20"/>
          <w:color w:val="auto"/>
        </w:rPr>
      </w:pPr>
    </w:p>
    <w:p>
      <w:pPr>
        <w:jc w:val="both"/>
        <w:ind w:left="544" w:firstLine="844"/>
        <w:spacing w:after="0" w:line="236" w:lineRule="auto"/>
        <w:tabs>
          <w:tab w:leader="none" w:pos="2515" w:val="left"/>
        </w:tabs>
        <w:numPr>
          <w:ilvl w:val="2"/>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inventions, ideas, creations, discoveries, computer programs, works of authorship, data, developments, technology, designs, innovations and improvements (whether or not patentable and whether or not copyrightable) which are made, conceived, reduced to practice, created, written, designed or developed by the Consultant, solely or jointly with others or under her direction and whether during normal business hours or otherwise,</w:t>
      </w:r>
    </w:p>
    <w:p>
      <w:pPr>
        <w:jc w:val="both"/>
        <w:ind w:left="544" w:firstLine="7"/>
        <w:spacing w:after="0" w:line="231" w:lineRule="auto"/>
        <w:tabs>
          <w:tab w:leader="none" w:pos="851"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Consultation Period and in the course of performing Services hereunder or (ii) during or after the Consultation Period if resulting or directly derived from Proprietary Information (as defined below) (collectively under clauses (i) and (ii), “Inventions”), shall be the sole property of the Company or Portfolio Company. The Consultant hereby assigns and in the future will assign to the Company or Portfolio Company all Inventions and any and all related patents, copyrights, trademarks, trade names, and other industrial and intellectual property rights and applications therefor, in the United States and elsewhere and appoints any officer of the Company or Portfolio Company as his duly authorized attorney to execute, file, prosecute and protect the same before any government agency, court or authority. However, this paragraph shall not apply to Inventions which do not relate to the Company’s or Portfolio Company’s business or research and development conducted or planned to be conducted by the Company at the time such Invention is created, made, conceived or reduced to practice and which are made and conceived by the Consultant not during normal working hours, not on the Company’s or Portfolio Company’s premises and not using the Company’s or Portfolio Company’s tools, devices, equipment or Proprietary Information.</w:t>
      </w:r>
    </w:p>
    <w:p>
      <w:pPr>
        <w:spacing w:after="0" w:line="186" w:lineRule="exact"/>
        <w:rPr>
          <w:rFonts w:ascii="Times New Roman" w:cs="Times New Roman" w:eastAsia="Times New Roman" w:hAnsi="Times New Roman"/>
          <w:sz w:val="22"/>
          <w:szCs w:val="22"/>
          <w:color w:val="auto"/>
        </w:rPr>
      </w:pPr>
    </w:p>
    <w:p>
      <w:pPr>
        <w:jc w:val="both"/>
        <w:ind w:left="544" w:right="20" w:firstLine="844"/>
        <w:spacing w:after="0" w:line="236" w:lineRule="auto"/>
        <w:tabs>
          <w:tab w:leader="none" w:pos="2079" w:val="left"/>
        </w:tabs>
        <w:numPr>
          <w:ilvl w:val="2"/>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Company or Portfolio Company and at the Company’s or Portfolio Company’s expense, the Consultant shall execute such further assignments, documents and other instruments as may be necessary or desirable to fully and completely assign all Inventions to the Company or Portfolio Company and to assist the Company or Portfolio Company in applying for, obtaining and enforcing patents or copyrights or other rights in the United States and in any foreign country with respect to any Invention. The Consultant also hereby waives all claims to moral rights in any Inventions.</w:t>
      </w:r>
    </w:p>
    <w:p>
      <w:pPr>
        <w:spacing w:after="0" w:line="181" w:lineRule="exact"/>
        <w:rPr>
          <w:rFonts w:ascii="Times New Roman" w:cs="Times New Roman" w:eastAsia="Times New Roman" w:hAnsi="Times New Roman"/>
          <w:sz w:val="22"/>
          <w:szCs w:val="22"/>
          <w:color w:val="auto"/>
        </w:rPr>
      </w:pPr>
    </w:p>
    <w:p>
      <w:pPr>
        <w:jc w:val="both"/>
        <w:ind w:left="544" w:right="20" w:firstLine="844"/>
        <w:spacing w:after="0" w:line="239" w:lineRule="auto"/>
        <w:tabs>
          <w:tab w:leader="none" w:pos="2118" w:val="left"/>
        </w:tabs>
        <w:numPr>
          <w:ilvl w:val="2"/>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shall promptly disclose to the Company or Portfolio Company all Inventions and will maintain adequate and current written records (in the form of notes, sketches, drawings and as may be specified by the Company or Portfolio Company) to document the conception and/or first actual reduction to practice of any Invention. Such written records shall be available to and remain the sole property of the Company at all times.</w:t>
      </w:r>
    </w:p>
    <w:p>
      <w:pPr>
        <w:spacing w:after="0" w:line="207"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 Status.</w:t>
      </w:r>
    </w:p>
    <w:p>
      <w:pPr>
        <w:spacing w:after="0" w:line="233" w:lineRule="exact"/>
        <w:rPr>
          <w:sz w:val="20"/>
          <w:szCs w:val="20"/>
          <w:color w:val="auto"/>
        </w:rPr>
      </w:pPr>
    </w:p>
    <w:p>
      <w:pPr>
        <w:ind w:left="1424" w:right="20" w:hanging="647"/>
        <w:spacing w:after="0" w:line="258" w:lineRule="auto"/>
        <w:tabs>
          <w:tab w:leader="none" w:pos="1404" w:val="left"/>
        </w:tabs>
        <w:rPr>
          <w:sz w:val="20"/>
          <w:szCs w:val="20"/>
          <w:color w:val="auto"/>
        </w:rPr>
      </w:pPr>
      <w:r>
        <w:rPr>
          <w:rFonts w:ascii="Times New Roman" w:cs="Times New Roman" w:eastAsia="Times New Roman" w:hAnsi="Times New Roman"/>
          <w:sz w:val="22"/>
          <w:szCs w:val="22"/>
          <w:color w:val="auto"/>
        </w:rPr>
        <w:t>5.1.</w:t>
        <w:tab/>
        <w:t>The Consultant shall perform all Services under this Agreement as an “independent contractor” and not as an employee or agent of the Company or a Portfolio Company. The Consultant is not authorized to</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4"/>
          </w:cols>
          <w:pgMar w:left="436" w:top="261" w:right="439" w:bottom="1440" w:gutter="0" w:footer="0" w:header="0"/>
        </w:sectPr>
      </w:pPr>
    </w:p>
    <w:bookmarkStart w:id="690" w:name="page691"/>
    <w:bookmarkEnd w:id="690"/>
    <w:p>
      <w:pPr>
        <w:ind w:left="1424"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assume or create any obligation or responsibility, express or implied, on behalf of, or in the name of, the Company or a Portfolio Company or to bind the Company or a Portfolio Company in any manner.</w:t>
      </w:r>
    </w:p>
    <w:p>
      <w:pPr>
        <w:spacing w:after="0" w:line="185" w:lineRule="exact"/>
        <w:rPr>
          <w:sz w:val="20"/>
          <w:szCs w:val="20"/>
          <w:color w:val="auto"/>
        </w:rPr>
      </w:pPr>
    </w:p>
    <w:p>
      <w:pPr>
        <w:jc w:val="both"/>
        <w:ind w:left="1424" w:hanging="647"/>
        <w:spacing w:after="0" w:line="235" w:lineRule="auto"/>
        <w:tabs>
          <w:tab w:leader="none" w:pos="1404" w:val="left"/>
        </w:tabs>
        <w:rPr>
          <w:sz w:val="20"/>
          <w:szCs w:val="20"/>
          <w:color w:val="auto"/>
        </w:rPr>
      </w:pPr>
      <w:r>
        <w:rPr>
          <w:rFonts w:ascii="Times New Roman" w:cs="Times New Roman" w:eastAsia="Times New Roman" w:hAnsi="Times New Roman"/>
          <w:sz w:val="22"/>
          <w:szCs w:val="22"/>
          <w:color w:val="auto"/>
        </w:rPr>
        <w:t>5.2.</w:t>
        <w:tab/>
        <w:t>The Consultant shall have the right to control and determine the time, place, methods, manner and means of performing the Services. In performing the Services, the amount of time devoted by the Consultant on any given day will be entirely within the Consultant’s control, and the Company or a Portfolio Company will rely on the Consultant to put in the amount of time necessary to fulfill the requirements of this Agreement. The Consultant will provide all equipment and supplies required to perform the Services. The Consultant is not required to attend regular meetings at the Company or a Portfolio Company. However, upon reasonable notice, the Consultant shall meet with representatives of the Company or a Portfolio Company at a location to be designated by the parties to this Agreement.</w:t>
      </w:r>
    </w:p>
    <w:p>
      <w:pPr>
        <w:spacing w:after="0" w:line="205" w:lineRule="exact"/>
        <w:rPr>
          <w:sz w:val="20"/>
          <w:szCs w:val="20"/>
          <w:color w:val="auto"/>
        </w:rPr>
      </w:pPr>
    </w:p>
    <w:p>
      <w:pPr>
        <w:jc w:val="both"/>
        <w:ind w:left="1424" w:hanging="647"/>
        <w:spacing w:after="0" w:line="238" w:lineRule="auto"/>
        <w:tabs>
          <w:tab w:leader="none" w:pos="1404" w:val="left"/>
        </w:tabs>
        <w:rPr>
          <w:sz w:val="20"/>
          <w:szCs w:val="20"/>
          <w:color w:val="auto"/>
        </w:rPr>
      </w:pPr>
      <w:r>
        <w:rPr>
          <w:rFonts w:ascii="Times New Roman" w:cs="Times New Roman" w:eastAsia="Times New Roman" w:hAnsi="Times New Roman"/>
          <w:sz w:val="22"/>
          <w:szCs w:val="22"/>
          <w:color w:val="auto"/>
        </w:rPr>
        <w:t>5.3.</w:t>
        <w:tab/>
        <w:t>In the performance of the Services, the Consultant has the authority to control and direct the performance of the details of the Services, the Company or a Portfolio Company being interested only in the results obtained. However, the Services contemplated by the Agreement must meet the Company’s or a Portfolio Company’s standards and approval and shall be subject to the Company’s or a Portfolio Company’s general right of inspection and supervision to secure their satisfactory completion.</w:t>
      </w:r>
    </w:p>
    <w:p>
      <w:pPr>
        <w:spacing w:after="0" w:line="204" w:lineRule="exact"/>
        <w:rPr>
          <w:sz w:val="20"/>
          <w:szCs w:val="20"/>
          <w:color w:val="auto"/>
        </w:rPr>
      </w:pPr>
    </w:p>
    <w:p>
      <w:pPr>
        <w:jc w:val="both"/>
        <w:ind w:left="1424" w:hanging="647"/>
        <w:spacing w:after="0" w:line="258" w:lineRule="auto"/>
        <w:tabs>
          <w:tab w:leader="none" w:pos="1404" w:val="left"/>
        </w:tabs>
        <w:rPr>
          <w:sz w:val="20"/>
          <w:szCs w:val="20"/>
          <w:color w:val="auto"/>
        </w:rPr>
      </w:pPr>
      <w:r>
        <w:rPr>
          <w:rFonts w:ascii="Times New Roman" w:cs="Times New Roman" w:eastAsia="Times New Roman" w:hAnsi="Times New Roman"/>
          <w:sz w:val="22"/>
          <w:szCs w:val="22"/>
          <w:color w:val="auto"/>
        </w:rPr>
        <w:t>5.4.</w:t>
        <w:tab/>
        <w:t>The Consultant shall not use the Company’s or a Portfolio Company’s trade names, trademarks, service names or servicemarks without the prior approval of the Company or a Portfolio Company.</w:t>
      </w:r>
    </w:p>
    <w:p>
      <w:pPr>
        <w:spacing w:after="0" w:line="185" w:lineRule="exact"/>
        <w:rPr>
          <w:sz w:val="20"/>
          <w:szCs w:val="20"/>
          <w:color w:val="auto"/>
        </w:rPr>
      </w:pPr>
    </w:p>
    <w:p>
      <w:pPr>
        <w:jc w:val="both"/>
        <w:ind w:left="1424" w:hanging="647"/>
        <w:spacing w:after="0" w:line="244" w:lineRule="auto"/>
        <w:tabs>
          <w:tab w:leader="none" w:pos="1404" w:val="left"/>
        </w:tabs>
        <w:rPr>
          <w:sz w:val="20"/>
          <w:szCs w:val="20"/>
          <w:color w:val="auto"/>
        </w:rPr>
      </w:pPr>
      <w:r>
        <w:rPr>
          <w:rFonts w:ascii="Times New Roman" w:cs="Times New Roman" w:eastAsia="Times New Roman" w:hAnsi="Times New Roman"/>
          <w:sz w:val="22"/>
          <w:szCs w:val="22"/>
          <w:color w:val="auto"/>
        </w:rPr>
        <w:t>5.5.</w:t>
        <w:tab/>
        <w:t>The Consultant shall be solely responsible for all state and federal income taxes, unemployment insurance and social security taxes in connection with this Agreement and for maintaining adequate workers’ compensation insurance coverage.</w:t>
      </w:r>
    </w:p>
    <w:p>
      <w:pPr>
        <w:spacing w:after="0" w:line="200" w:lineRule="exact"/>
        <w:rPr>
          <w:sz w:val="20"/>
          <w:szCs w:val="20"/>
          <w:color w:val="auto"/>
        </w:rPr>
      </w:pPr>
    </w:p>
    <w:p>
      <w:pPr>
        <w:jc w:val="both"/>
        <w:ind w:left="544" w:right="20" w:hanging="544"/>
        <w:spacing w:after="0" w:line="236" w:lineRule="auto"/>
        <w:tabs>
          <w:tab w:leader="none" w:pos="544"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Consultant acknowledges that any breach of the provisions of Section 4 of this Agreement is likely to result in serious and irreparable injury to the Company or a Portfolio Company for which the Company or a Portfolio Company cannot be adequately compensated by monetary damages alone. The Consultant agrees, therefore, that, in addition to any other remedy it may have, the Company or a Portfolio Company is entitled to seek to enforce the specific performance of this Agreement by the Consultant and to seek both temporary and permanent injunctive relief (to the extent permitted by law) without the necessity of proving actual damages or posting a bond.</w:t>
      </w:r>
    </w:p>
    <w:p>
      <w:pPr>
        <w:spacing w:after="0" w:line="208" w:lineRule="exact"/>
        <w:rPr>
          <w:rFonts w:ascii="Times New Roman" w:cs="Times New Roman" w:eastAsia="Times New Roman" w:hAnsi="Times New Roman"/>
          <w:sz w:val="22"/>
          <w:szCs w:val="22"/>
          <w:color w:val="auto"/>
        </w:rPr>
      </w:pPr>
    </w:p>
    <w:p>
      <w:pPr>
        <w:jc w:val="both"/>
        <w:ind w:left="544" w:right="20" w:hanging="544"/>
        <w:spacing w:after="0" w:line="244" w:lineRule="auto"/>
        <w:tabs>
          <w:tab w:leader="none" w:pos="544"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Consultant shall be solely liable for, and shall indemnify, defend and hold harmless the Company or a Portfolio Company and its successors and assigns from and against any claim or liability of any kind (including penalties, fees or charges)</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4"/>
          </w:cols>
          <w:pgMar w:left="436" w:top="261" w:right="439" w:bottom="1440" w:gutter="0" w:footer="0" w:header="0"/>
        </w:sectPr>
      </w:pPr>
    </w:p>
    <w:bookmarkStart w:id="691" w:name="page692"/>
    <w:bookmarkEnd w:id="691"/>
    <w:p>
      <w:pPr>
        <w:jc w:val="both"/>
        <w:ind w:left="544" w:right="2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resulting from the Consultant’s failure to pay the taxes, penalties, and payments referenced in Section 5 of this Agreement. The Consultant shall further indemnify, defend and hold harmless the Company or a Portfolio Company and its successors and assigns from and against any and all loss or damage resulting from any misrepresentation, or any non-fulfillment of any representation, responsibility, covenant or agreement on her part, as well as any and all acts, suits, proceedings, demands, assessments, penalties, judgments of or against the Company or a Portfolio Company arising out of the Consultant’s gross negligence in the provision of Services hereunder.</w:t>
      </w:r>
    </w:p>
    <w:p>
      <w:pPr>
        <w:spacing w:after="0" w:line="208" w:lineRule="exact"/>
        <w:rPr>
          <w:sz w:val="20"/>
          <w:szCs w:val="20"/>
          <w:color w:val="auto"/>
        </w:rPr>
      </w:pPr>
    </w:p>
    <w:p>
      <w:pPr>
        <w:ind w:left="544" w:right="20" w:hanging="544"/>
        <w:spacing w:after="0" w:line="258" w:lineRule="auto"/>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executed by both the Company and the Consultant.</w:t>
      </w:r>
    </w:p>
    <w:p>
      <w:pPr>
        <w:spacing w:after="0" w:line="185" w:lineRule="exact"/>
        <w:rPr>
          <w:rFonts w:ascii="Times New Roman" w:cs="Times New Roman" w:eastAsia="Times New Roman" w:hAnsi="Times New Roman"/>
          <w:sz w:val="22"/>
          <w:szCs w:val="22"/>
          <w:color w:val="auto"/>
        </w:rPr>
      </w:pPr>
    </w:p>
    <w:p>
      <w:pPr>
        <w:jc w:val="both"/>
        <w:ind w:left="544" w:hanging="544"/>
        <w:spacing w:after="0" w:line="239" w:lineRule="auto"/>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of Contract</w:t>
      </w:r>
      <w:r>
        <w:rPr>
          <w:rFonts w:ascii="Times New Roman" w:cs="Times New Roman" w:eastAsia="Times New Roman" w:hAnsi="Times New Roman"/>
          <w:sz w:val="22"/>
          <w:szCs w:val="22"/>
          <w:color w:val="auto"/>
        </w:rPr>
        <w:t>. This Agreement is personal to the Consultant and the Consultant shall not have the right to assign any of her rights or delegate any of her duties without the express written consent of the Company. Any non-consented-to assignment or delegation, whether express or implied or by operation of law, shall be void and shall constitute a breach and a default by the Consultant.</w:t>
      </w:r>
    </w:p>
    <w:p>
      <w:pPr>
        <w:spacing w:after="0" w:line="207" w:lineRule="exact"/>
        <w:rPr>
          <w:rFonts w:ascii="Times New Roman" w:cs="Times New Roman" w:eastAsia="Times New Roman" w:hAnsi="Times New Roman"/>
          <w:sz w:val="22"/>
          <w:szCs w:val="22"/>
          <w:color w:val="auto"/>
        </w:rPr>
      </w:pPr>
    </w:p>
    <w:p>
      <w:pPr>
        <w:jc w:val="both"/>
        <w:ind w:left="544" w:right="20" w:hanging="544"/>
        <w:spacing w:after="0" w:line="244" w:lineRule="auto"/>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giving effect to any choice or conflict of law provision or rule that would cause the application of laws of any other jurisdiction.</w:t>
      </w:r>
    </w:p>
    <w:p>
      <w:pPr>
        <w:spacing w:after="0" w:line="200" w:lineRule="exact"/>
        <w:rPr>
          <w:rFonts w:ascii="Times New Roman" w:cs="Times New Roman" w:eastAsia="Times New Roman" w:hAnsi="Times New Roman"/>
          <w:sz w:val="22"/>
          <w:szCs w:val="22"/>
          <w:color w:val="auto"/>
        </w:rPr>
      </w:pPr>
    </w:p>
    <w:p>
      <w:pPr>
        <w:jc w:val="both"/>
        <w:ind w:left="544" w:hanging="544"/>
        <w:spacing w:after="0" w:line="239" w:lineRule="auto"/>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are personal and shall not be assigned by him.</w:t>
      </w:r>
    </w:p>
    <w:p>
      <w:pPr>
        <w:spacing w:after="0" w:line="207" w:lineRule="exact"/>
        <w:rPr>
          <w:rFonts w:ascii="Times New Roman" w:cs="Times New Roman" w:eastAsia="Times New Roman" w:hAnsi="Times New Roman"/>
          <w:sz w:val="22"/>
          <w:szCs w:val="22"/>
          <w:color w:val="auto"/>
        </w:rPr>
      </w:pPr>
    </w:p>
    <w:p>
      <w:pPr>
        <w:jc w:val="both"/>
        <w:ind w:left="544" w:right="20" w:hanging="544"/>
        <w:spacing w:after="0" w:line="239" w:lineRule="auto"/>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Consultant and the Company acknowledge and agree that any Portfolio Company is an intended third-party beneficiary of this Agreement to the extent such provisions cover or are applicable to any Portfolio Company. The Portfolio Company shall have the right to enforce such provisions of this Agreement against the Consultant, as though the Portfolio Company was a party thereto, with respect to such provisions.</w:t>
      </w:r>
    </w:p>
    <w:p>
      <w:pPr>
        <w:spacing w:after="0" w:line="207" w:lineRule="exact"/>
        <w:rPr>
          <w:rFonts w:ascii="Times New Roman" w:cs="Times New Roman" w:eastAsia="Times New Roman" w:hAnsi="Times New Roman"/>
          <w:sz w:val="22"/>
          <w:szCs w:val="22"/>
          <w:color w:val="auto"/>
        </w:rPr>
      </w:pPr>
    </w:p>
    <w:p>
      <w:pPr>
        <w:jc w:val="both"/>
        <w:ind w:left="544" w:hanging="544"/>
        <w:spacing w:after="0" w:line="239" w:lineRule="auto"/>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If any restriction set forth in Section 4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207"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4 through 15 shall survive the expiration or termination of this Agreement.</w:t>
      </w:r>
    </w:p>
    <w:p>
      <w:pPr>
        <w:spacing w:after="0" w:line="233"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4"/>
          </w:cols>
          <w:pgMar w:left="436" w:top="261" w:right="439" w:bottom="1440" w:gutter="0" w:footer="0" w:header="0"/>
        </w:sectPr>
      </w:pPr>
    </w:p>
    <w:bookmarkStart w:id="692" w:name="page693"/>
    <w:bookmarkEnd w:id="692"/>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15.1.</w:t>
      </w:r>
      <w:r>
        <w:rPr>
          <w:sz w:val="20"/>
          <w:szCs w:val="20"/>
          <w:color w:val="auto"/>
        </w:rPr>
        <w:tab/>
      </w:r>
      <w:r>
        <w:rPr>
          <w:rFonts w:ascii="Times New Roman" w:cs="Times New Roman" w:eastAsia="Times New Roman" w:hAnsi="Times New Roman"/>
          <w:sz w:val="21"/>
          <w:szCs w:val="21"/>
          <w:color w:val="auto"/>
        </w:rPr>
        <w:t>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18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15.2.</w:t>
        <w:tab/>
        <w:t>The captions of the sections of this Agreement are for convenience of reference only and in no way define, limit or affect the scope or substance of any section of this Agreement.</w:t>
      </w:r>
    </w:p>
    <w:p>
      <w:pPr>
        <w:spacing w:after="0" w:line="18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15.3.</w:t>
        <w:tab/>
        <w:t>In the event that any provision of this Agreement shall be invalid, illegal or otherwise unenforceable, the validity, legality and enforceability of the remaining provisions shall in no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240"/>
          </w:cols>
          <w:pgMar w:left="1200" w:top="261" w:right="459" w:bottom="1440" w:gutter="0" w:footer="0" w:header="0"/>
        </w:sectPr>
      </w:pPr>
    </w:p>
    <w:bookmarkStart w:id="693" w:name="page694"/>
    <w:bookmarkEnd w:id="693"/>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day and year set forth above.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CULLINAN MANAGEMENT,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-13970</wp:posOffset>
            </wp:positionV>
            <wp:extent cx="163068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Owen Hughes</w:t>
      </w:r>
    </w:p>
    <w:p>
      <w:pPr>
        <w:spacing w:after="0"/>
        <w:rPr>
          <w:sz w:val="20"/>
          <w:szCs w:val="20"/>
          <w:color w:val="auto"/>
        </w:rPr>
      </w:pPr>
      <w:r>
        <w:rPr>
          <w:rFonts w:ascii="Times New Roman" w:cs="Times New Roman" w:eastAsia="Times New Roman" w:hAnsi="Times New Roman"/>
          <w:sz w:val="22"/>
          <w:szCs w:val="22"/>
          <w:color w:val="auto"/>
        </w:rPr>
        <w:t>Title: CEO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/s/_Corinne Savill_____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Corinne Savill</w:t>
      </w:r>
    </w:p>
    <w:p>
      <w:pPr>
        <w:spacing w:after="0" w:line="1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019"/>
          </w:cols>
          <w:pgMar w:left="440" w:top="261" w:right="1440" w:bottom="1440" w:gutter="0" w:footer="0" w:header="0"/>
        </w:sectPr>
      </w:pPr>
    </w:p>
    <w:bookmarkStart w:id="694" w:name="page695"/>
    <w:bookmarkEnd w:id="694"/>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u w:val="single" w:color="auto"/>
          <w:color w:val="auto"/>
        </w:rPr>
        <w:t>CONSULTING AGREEMENT</w:t>
      </w:r>
    </w:p>
    <w:p>
      <w:pPr>
        <w:spacing w:after="0" w:line="314"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THIS CONSULTING AGREEMENT (the “Agreement”), made as of January 1, 2019 is entered into by Cullinan Management, Inc. a Delaware corporation (the “Company”), and Patrick Baeuerle (the “Consultant”).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INTRODUCTION</w:t>
      </w:r>
    </w:p>
    <w:p>
      <w:pPr>
        <w:spacing w:after="0" w:line="206" w:lineRule="exact"/>
        <w:rPr>
          <w:sz w:val="20"/>
          <w:szCs w:val="20"/>
          <w:color w:val="auto"/>
        </w:rPr>
      </w:pPr>
    </w:p>
    <w:p>
      <w:pPr>
        <w:jc w:val="both"/>
        <w:ind w:left="4" w:right="20" w:firstLine="551"/>
        <w:spacing w:after="0" w:line="261" w:lineRule="auto"/>
        <w:rPr>
          <w:sz w:val="20"/>
          <w:szCs w:val="20"/>
          <w:color w:val="auto"/>
        </w:rPr>
      </w:pPr>
      <w:r>
        <w:rPr>
          <w:rFonts w:ascii="Times New Roman" w:cs="Times New Roman" w:eastAsia="Times New Roman" w:hAnsi="Times New Roman"/>
          <w:sz w:val="21"/>
          <w:szCs w:val="21"/>
          <w:color w:val="auto"/>
        </w:rPr>
        <w:t>The Company and the Consultant desire to establish the terms and conditions under which the Consultant will provide Services to the Company. In consideration of the mutual covenants and promises contained herein and other good and valuable consideration, the receipt and sufficiency of which is hereby acknowledged by the parties hereto, the parties agree as follows:</w:t>
      </w:r>
    </w:p>
    <w:p>
      <w:pPr>
        <w:spacing w:after="0" w:line="184" w:lineRule="exact"/>
        <w:rPr>
          <w:sz w:val="20"/>
          <w:szCs w:val="20"/>
          <w:color w:val="auto"/>
        </w:rPr>
      </w:pPr>
    </w:p>
    <w:p>
      <w:pPr>
        <w:jc w:val="both"/>
        <w:ind w:left="544" w:right="20" w:hanging="544"/>
        <w:spacing w:after="0" w:line="244" w:lineRule="auto"/>
        <w:tabs>
          <w:tab w:leader="none" w:pos="544"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The Consultant agrees to perform such consulting, advisory and related services to and for the Company as may be reasonably requested from time to time by the officers of the Company (the “Services”). The Consultant will not be expected to relocate his residence.</w:t>
      </w:r>
    </w:p>
    <w:p>
      <w:pPr>
        <w:spacing w:after="0" w:line="200" w:lineRule="exact"/>
        <w:rPr>
          <w:rFonts w:ascii="Times New Roman" w:cs="Times New Roman" w:eastAsia="Times New Roman" w:hAnsi="Times New Roman"/>
          <w:sz w:val="22"/>
          <w:szCs w:val="22"/>
          <w:color w:val="auto"/>
        </w:rPr>
      </w:pPr>
    </w:p>
    <w:p>
      <w:pPr>
        <w:ind w:left="544" w:right="20" w:hanging="544"/>
        <w:spacing w:after="0" w:line="258" w:lineRule="auto"/>
        <w:tabs>
          <w:tab w:leader="none" w:pos="544"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on the date hereof and shall terminate on the last date on which Consultant provides Services to the Company under this Agreement (the “Consultation Period”).</w:t>
      </w:r>
    </w:p>
    <w:p>
      <w:pPr>
        <w:spacing w:after="0" w:line="185"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424" w:hanging="647"/>
        <w:spacing w:after="0" w:line="236" w:lineRule="auto"/>
        <w:tabs>
          <w:tab w:leader="none" w:pos="1404"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Your consulting fee be at the monthly rate of EUR30,833.33 per month (annualized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EUR370,000.00), less all applicable taxes and withholdings, to be paid in installments, in accordance with the Company’s regular payroll practices. Such base consulting fee may be adjusted from time to time in accordance with normal business practice and in the sole discretion of the Company.</w:t>
      </w:r>
    </w:p>
    <w:p>
      <w:pPr>
        <w:spacing w:after="0" w:line="1" w:lineRule="exact"/>
        <w:rPr>
          <w:sz w:val="20"/>
          <w:szCs w:val="20"/>
          <w:color w:val="auto"/>
        </w:rPr>
      </w:pPr>
    </w:p>
    <w:p>
      <w:pPr>
        <w:jc w:val="both"/>
        <w:ind w:left="1424" w:hanging="647"/>
        <w:spacing w:after="0" w:line="230" w:lineRule="auto"/>
        <w:tabs>
          <w:tab w:leader="none" w:pos="1404"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 xml:space="preserve">Bonus. </w:t>
      </w:r>
      <w:r>
        <w:rPr>
          <w:rFonts w:ascii="Times New Roman" w:cs="Times New Roman" w:eastAsia="Times New Roman" w:hAnsi="Times New Roman"/>
          <w:sz w:val="22"/>
          <w:szCs w:val="22"/>
          <w:color w:val="auto"/>
        </w:rPr>
        <w:t>Following the end of each fiscal year and subject to the approval of the Company’s Board of Directors,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you will be eligible for a retention and performance bonus of up to 33% of your annualized base consulting fee, based on your individual performance and the Company’s performance during the applicable fiscal year, as determined by the Board in accordance with certain milestones to be mutually agreed upon between you and the Board each year. You must be an active consultant of the Company on the date any bonus is distributed in order to be eligible for and to earn a bonus award, as it also serves as an incentive to remain engaged by the Company.</w:t>
      </w:r>
    </w:p>
    <w:p>
      <w:pPr>
        <w:spacing w:after="0" w:line="4" w:lineRule="exact"/>
        <w:rPr>
          <w:sz w:val="20"/>
          <w:szCs w:val="20"/>
          <w:color w:val="auto"/>
        </w:rPr>
      </w:pPr>
    </w:p>
    <w:p>
      <w:pPr>
        <w:jc w:val="both"/>
        <w:ind w:left="1424" w:right="20" w:hanging="647"/>
        <w:spacing w:after="0" w:line="234" w:lineRule="auto"/>
        <w:tabs>
          <w:tab w:leader="none" w:pos="1404"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 xml:space="preserve">Equity. </w:t>
      </w:r>
      <w:r>
        <w:rPr>
          <w:rFonts w:ascii="Times New Roman" w:cs="Times New Roman" w:eastAsia="Times New Roman" w:hAnsi="Times New Roman"/>
          <w:sz w:val="22"/>
          <w:szCs w:val="22"/>
          <w:color w:val="auto"/>
        </w:rPr>
        <w:t>Subject to the approval of the Board of Directors, the Company will grant you incentive units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“Units”) under the Cullinan Oncology, LLC (the “LLC”) Profits Interest Plan (the “Plan”) equating to an ownership interest entitling you to 2.5% of the distributions made by the LLC with respect to the Common Units of the LLC in excess of</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24"/>
          </w:cols>
          <w:pgMar w:left="436" w:top="108" w:right="439" w:bottom="1440" w:gutter="0" w:footer="0" w:header="0"/>
        </w:sectPr>
      </w:pPr>
    </w:p>
    <w:bookmarkStart w:id="695" w:name="page696"/>
    <w:bookmarkEnd w:id="695"/>
    <w:p>
      <w:pPr>
        <w:jc w:val="both"/>
        <w:ind w:left="1424"/>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strike price associated with your Units, up to an aggregate initial seed and Series A equity investment of USD$150-200M. The strike price of each such Unit will be determined by the LLC Board of Directors on the date such Units are granted and shall be equal to the amount that would be distributed in respect of a Common Unit of the LLC in a hypothetical liquidation of the LLC on the date of issuance of such Unit. In addition, provided you remain employed by the Company through the applicable grant date, you will be eligible for one or more additional incentive unit grants, to be determined based on future financing rounds and corporate structure. Any such additional grant(s) will be subject to requisite LLC Board of Director approval. The Units, and any additional grants, will be evidenced in writing by, and subject to the terms of the Plan and a Unit Grant Agreement provided by the LLC, which agreement will specify monthly vesting over four (4) years with a one (1) year cliff.</w:t>
      </w:r>
    </w:p>
    <w:p>
      <w:pPr>
        <w:spacing w:after="0" w:line="206" w:lineRule="exact"/>
        <w:rPr>
          <w:sz w:val="20"/>
          <w:szCs w:val="20"/>
          <w:color w:val="auto"/>
        </w:rPr>
      </w:pPr>
    </w:p>
    <w:p>
      <w:pPr>
        <w:ind w:left="764" w:right="7040" w:hanging="764"/>
        <w:spacing w:after="0" w:line="469" w:lineRule="auto"/>
        <w:tabs>
          <w:tab w:leader="none" w:pos="535" w:val="left"/>
        </w:tabs>
        <w:numPr>
          <w:ilvl w:val="0"/>
          <w:numId w:val="6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xml:space="preserve">Proprietary Information and Inventions. </w:t>
      </w: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Proprietary Information.</w:t>
      </w:r>
    </w:p>
    <w:p>
      <w:pPr>
        <w:spacing w:after="0" w:line="1" w:lineRule="exact"/>
        <w:rPr>
          <w:rFonts w:ascii="Times New Roman" w:cs="Times New Roman" w:eastAsia="Times New Roman" w:hAnsi="Times New Roman"/>
          <w:sz w:val="21"/>
          <w:szCs w:val="21"/>
          <w:color w:val="auto"/>
        </w:rPr>
      </w:pPr>
    </w:p>
    <w:p>
      <w:pPr>
        <w:jc w:val="both"/>
        <w:ind w:left="544" w:firstLine="844"/>
        <w:spacing w:after="0" w:line="233" w:lineRule="auto"/>
        <w:tabs>
          <w:tab w:leader="none" w:pos="2078" w:val="left"/>
        </w:tabs>
        <w:numPr>
          <w:ilvl w:val="1"/>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Consultant’s relationship with the Company is one of high trust and confidence and that in the course of Consultant’s service to the Company, will have access to and contact with Proprietary Information (</w:t>
      </w:r>
      <w:r>
        <w:rPr>
          <w:rFonts w:ascii="Times New Roman" w:cs="Times New Roman" w:eastAsia="Times New Roman" w:hAnsi="Times New Roman"/>
          <w:sz w:val="22"/>
          <w:szCs w:val="22"/>
          <w:i w:val="1"/>
          <w:iCs w:val="1"/>
          <w:color w:val="auto"/>
        </w:rPr>
        <w:t>as defined below in Section 4.1(b)</w:t>
      </w:r>
      <w:r>
        <w:rPr>
          <w:rFonts w:ascii="Times New Roman" w:cs="Times New Roman" w:eastAsia="Times New Roman" w:hAnsi="Times New Roman"/>
          <w:sz w:val="22"/>
          <w:szCs w:val="22"/>
          <w:color w:val="auto"/>
        </w:rPr>
        <w:t>) of both the Company and any company or other entity that Cullinan Oncology, LLC has invested in or is considering for investment (a “Portfolio Company”). While Consultant is providing Services to the Company, and for three (3) years following the expiration of the Consultation Period, Consultant will not disclose or deliver to anyone, except as authorized by the Company, or use in any way other than to provide the Services, any Proprietary Information of the Company or a Portfolio Company. The restrictions set forth in this Section 4 will not apply to Information which (a) Consultant is required to disclose by an order of a court of competent jurisdiction, provided Consultant has provided all reasonable and practicable notice to the Company prior to such order being imposed, and at the request and cost of the Company, Consultant will promptly do all such reasonable acts or things as the Company and its duly authorized officers may reasonably require to defend in any proceeding, judicial or otherwise, such confidences and disclosures, or (b) becomes generally known to the public or in the trade, unless such knowledge results from an unauthorized disclosure by the Consultant.</w:t>
      </w:r>
    </w:p>
    <w:p>
      <w:pPr>
        <w:spacing w:after="0" w:line="182" w:lineRule="exact"/>
        <w:rPr>
          <w:rFonts w:ascii="Times New Roman" w:cs="Times New Roman" w:eastAsia="Times New Roman" w:hAnsi="Times New Roman"/>
          <w:sz w:val="22"/>
          <w:szCs w:val="22"/>
          <w:color w:val="auto"/>
        </w:rPr>
      </w:pPr>
    </w:p>
    <w:p>
      <w:pPr>
        <w:jc w:val="both"/>
        <w:ind w:left="544" w:firstLine="844"/>
        <w:spacing w:after="0" w:line="236" w:lineRule="auto"/>
        <w:tabs>
          <w:tab w:leader="none" w:pos="2144" w:val="left"/>
        </w:tabs>
        <w:numPr>
          <w:ilvl w:val="1"/>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“Proprietary Information” shall mean, by way of illustration and not limitation, all information, whether or not in writing, whether or not patentable and whether or not copyrightable, of a private, secret or confidential nature, owned, possessed or used by the Company or any Portfolio Company, concerning the business, business relationships or financial affairs, including, without limitation, any Invention, formula, vendor information, customer information, apparatus, equipment, trade secret, process, research, report; technical or research data, clinical data; know-how, computer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61" w:right="439" w:bottom="1440" w:gutter="0" w:footer="0" w:header="0"/>
        </w:sectPr>
      </w:pPr>
    </w:p>
    <w:bookmarkStart w:id="696" w:name="page697"/>
    <w:bookmarkEnd w:id="696"/>
    <w:p>
      <w:pPr>
        <w:jc w:val="both"/>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program, software, software documentation, hardware design, technology, product, processes, methods, techniques, formulas, compounds, projects, developments, marketing or business plan, forecast, unpublished financial statement, budget, license, price, cost, customer, supplier or personnel information or employee lists concerning either the Company, one of its affiliated entities, or a Portfolio Company that is communicated to, learned of, developed or otherwise acquired by the Consultant in the course of Consultant’s Service as a consultant under this Agreement to the Company.</w:t>
      </w:r>
    </w:p>
    <w:p>
      <w:pPr>
        <w:spacing w:after="0" w:line="181" w:lineRule="exact"/>
        <w:rPr>
          <w:sz w:val="20"/>
          <w:szCs w:val="20"/>
          <w:color w:val="auto"/>
        </w:rPr>
      </w:pPr>
    </w:p>
    <w:p>
      <w:pPr>
        <w:jc w:val="both"/>
        <w:ind w:firstLine="844"/>
        <w:spacing w:after="0" w:line="245" w:lineRule="auto"/>
        <w:tabs>
          <w:tab w:leader="none" w:pos="1656" w:val="left"/>
        </w:tabs>
        <w:numPr>
          <w:ilvl w:val="0"/>
          <w:numId w:val="6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agrees that all files, documents, letters, memoranda, reports, records, data sketches, drawings, models, laboratory notebooks, program listings, computer equipment or devices, computer programs or other written, photographic, or other tangible material containing Proprietary Information, whether created by the Consultant or others, which shall come into her custody or possession, shall be and are the exclusive property of either the Company or a Portfolio Company, and are to be used by the Consultant only in the performance of Consultant’s duties under this Agreement and shall not be copied or removed from the Company’s or Portfolio Company’s premises except in the pursuit of the Services. All such materials or copies thereof and all tangible property of the Company or Portfolio Company in the custody or possession of the Consultant shall, unless otherwise agreed to by the Company or Portfolio Company in writing, be delivered to the Company or Portfolio Company upon the earlier of (i) a request by the Company or Portfolio Company, (ii) the termination of this Agreement or (iii) the expiration of the Consultation Period. After such delivery, the Consultant shall not retain any such materials or copies thereof or any such tangible property.</w:t>
      </w:r>
    </w:p>
    <w:p>
      <w:pPr>
        <w:spacing w:after="0" w:line="177" w:lineRule="exact"/>
        <w:rPr>
          <w:rFonts w:ascii="Times New Roman" w:cs="Times New Roman" w:eastAsia="Times New Roman" w:hAnsi="Times New Roman"/>
          <w:sz w:val="21"/>
          <w:szCs w:val="21"/>
          <w:color w:val="auto"/>
        </w:rPr>
      </w:pPr>
    </w:p>
    <w:p>
      <w:pPr>
        <w:jc w:val="both"/>
        <w:ind w:firstLine="844"/>
        <w:spacing w:after="0" w:line="234" w:lineRule="auto"/>
        <w:tabs>
          <w:tab w:leader="none" w:pos="1586"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agrees that Consultant’s obligation not to disclose or to use information and materials of the types set forth in paragraphs (b) and (c) above, and Consultant’s obligation to return materials and tangible property set forth in paragraph (c) above extends to such types of information, materials and tangible property of customers of the Company, a Portfolio Company, suppliers to the Company or other third parties who may have disclosed or entrusted the same to the Company, a Portfolio Company or the Consultant. In addition, the Consultant may disclose Proprietary Information pursuant to a subpoena or other order issued by a court of competent jurisdiction or governmental agency, but only if the Consultant advises the Company or Portfolio Company in writing in advance of such intended disclosure and cooperates with the Company or Portfolio Company in the event the Company or Portfolio Company elects to legally contest and avoid such disclosure. In any event, the Consultant may disclose only such portion of the Proprietary Information that Consultant is legally required to disclose.</w:t>
      </w:r>
    </w:p>
    <w:p>
      <w:pPr>
        <w:spacing w:after="0" w:line="179" w:lineRule="exact"/>
        <w:rPr>
          <w:rFonts w:ascii="Times New Roman" w:cs="Times New Roman" w:eastAsia="Times New Roman" w:hAnsi="Times New Roman"/>
          <w:sz w:val="22"/>
          <w:szCs w:val="22"/>
          <w:color w:val="auto"/>
        </w:rPr>
      </w:pPr>
    </w:p>
    <w:p>
      <w:pPr>
        <w:jc w:val="both"/>
        <w:ind w:right="20" w:firstLine="844"/>
        <w:spacing w:after="0" w:line="244" w:lineRule="auto"/>
        <w:tabs>
          <w:tab w:leader="none" w:pos="1623"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the Company from time to time may have agreements with other persons or with the United States Government, or agencies thereof, that impose obligations or restrictions on the Company or Portfolio Company regarding inventions made during the course of</w:t>
      </w:r>
    </w:p>
    <w:p>
      <w:pPr>
        <w:spacing w:after="0" w:line="1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480"/>
          </w:cols>
          <w:pgMar w:left="980" w:top="261" w:right="439" w:bottom="1440" w:gutter="0" w:footer="0" w:header="0"/>
        </w:sectPr>
      </w:pPr>
    </w:p>
    <w:bookmarkStart w:id="697" w:name="page698"/>
    <w:bookmarkEnd w:id="697"/>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work under such agreements or regarding the confidential nature of such work. The Consultant agrees to be bound by all such obligations and restrictions that are known to him and to take all action necessary to discharge the obligations of the Company under such agreements.</w:t>
      </w:r>
    </w:p>
    <w:p>
      <w:pPr>
        <w:spacing w:after="0" w:line="200" w:lineRule="exact"/>
        <w:rPr>
          <w:sz w:val="20"/>
          <w:szCs w:val="20"/>
          <w:color w:val="auto"/>
        </w:rPr>
      </w:pPr>
    </w:p>
    <w:p>
      <w:pPr>
        <w:ind w:left="220"/>
        <w:spacing w:after="0"/>
        <w:tabs>
          <w:tab w:leader="none" w:pos="8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Inventions.</w:t>
      </w:r>
    </w:p>
    <w:p>
      <w:pPr>
        <w:spacing w:after="0" w:line="206" w:lineRule="exact"/>
        <w:rPr>
          <w:sz w:val="20"/>
          <w:szCs w:val="20"/>
          <w:color w:val="auto"/>
        </w:rPr>
      </w:pPr>
    </w:p>
    <w:p>
      <w:pPr>
        <w:jc w:val="both"/>
        <w:ind w:firstLine="844"/>
        <w:spacing w:after="0" w:line="236" w:lineRule="auto"/>
        <w:tabs>
          <w:tab w:leader="none" w:pos="1971" w:val="left"/>
        </w:tabs>
        <w:numPr>
          <w:ilvl w:val="1"/>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inventions, ideas, creations, discoveries, computer programs, works of authorship, data, developments, technology, designs, innovations and improvements (whether or not patentable and whether or not copyrightable) which are made, conceived, reduced to practice, created, written, designed or developed by the Consultant, solely or jointly with others or under her direction and whether during normal business hours or otherwise,</w:t>
      </w:r>
    </w:p>
    <w:p>
      <w:pPr>
        <w:jc w:val="both"/>
        <w:ind w:firstLine="7"/>
        <w:spacing w:after="0" w:line="231" w:lineRule="auto"/>
        <w:tabs>
          <w:tab w:leader="none" w:pos="307"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Consultation Period and in the course of performing Services hereunder or (ii) during or after the Consultation Period if resulting or directly derived from Proprietary Information (as defined below) (collectively under clauses (i) and (ii), “Inventions”), shall be the sole property of the Company or Portfolio Company. The Consultant hereby assigns and in the future will assign to the Company or Portfolio Company all Inventions and any and all related patents, copyrights, trademarks, trade names, and other industrial and intellectual property rights and applications therefor, in the United States and elsewhere and appoints any officer of the Company or Portfolio Company as his duly authorized attorney to execute, file, prosecute and protect the same before any government agency, court or authority. However, this paragraph shall not apply to Inventions which do not relate to the Company’s or Portfolio Company’s business or research and development conducted or planned to be conducted by the Company at the time such Invention is created, made, conceived or reduced to practice and which are made and conceived by the Consultant not during normal working hours, not on the Company’s or Portfolio Company’s premises and not using the Company’s or Portfolio Company’s tools, devices, equipment or Proprietary Information.</w:t>
      </w:r>
    </w:p>
    <w:p>
      <w:pPr>
        <w:spacing w:after="0" w:line="186" w:lineRule="exact"/>
        <w:rPr>
          <w:rFonts w:ascii="Times New Roman" w:cs="Times New Roman" w:eastAsia="Times New Roman" w:hAnsi="Times New Roman"/>
          <w:sz w:val="22"/>
          <w:szCs w:val="22"/>
          <w:color w:val="auto"/>
        </w:rPr>
      </w:pPr>
    </w:p>
    <w:p>
      <w:pPr>
        <w:jc w:val="both"/>
        <w:ind w:left="340" w:right="20" w:firstLine="504"/>
        <w:spacing w:after="0" w:line="236" w:lineRule="auto"/>
        <w:tabs>
          <w:tab w:leader="none" w:pos="1545" w:val="left"/>
        </w:tabs>
        <w:numPr>
          <w:ilvl w:val="1"/>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Company or Portfolio Company and at the Company’s or Portfolio Company’s expense, the Consultant shall execute such further assignments, documents and other instruments as may be necessary or desirable to fully and completely assign all Inventions to the Company or Portfolio Company and to assist the Company or Portfolio Company in applying for, obtaining and enforcing patents or copyrights or other rights in the United States and in any foreign country with respect to any Invention. The Consultant also hereby waives all claims to moral rights in any Inventions.</w:t>
      </w:r>
    </w:p>
    <w:p>
      <w:pPr>
        <w:spacing w:after="0" w:line="181" w:lineRule="exact"/>
        <w:rPr>
          <w:rFonts w:ascii="Times New Roman" w:cs="Times New Roman" w:eastAsia="Times New Roman" w:hAnsi="Times New Roman"/>
          <w:sz w:val="22"/>
          <w:szCs w:val="22"/>
          <w:color w:val="auto"/>
        </w:rPr>
      </w:pPr>
    </w:p>
    <w:p>
      <w:pPr>
        <w:jc w:val="both"/>
        <w:ind w:left="340" w:firstLine="504"/>
        <w:spacing w:after="0" w:line="255" w:lineRule="auto"/>
        <w:tabs>
          <w:tab w:leader="none" w:pos="1583" w:val="left"/>
        </w:tabs>
        <w:numPr>
          <w:ilvl w:val="1"/>
          <w:numId w:val="6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shall promptly disclose to the Company or Portfolio Company all Inventions and will maintain adequate and current written records (in the form of notes, sketches, drawings and as may be specified by the Company or Portfolio Company) to document the conception and/or first actual reduction to practice of any Invention. Such written records shall be available to and remain the sole property of the Company at all times.</w:t>
      </w:r>
    </w:p>
    <w:p>
      <w:pPr>
        <w:spacing w:after="0" w:line="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480"/>
          </w:cols>
          <w:pgMar w:left="980" w:top="261" w:right="439" w:bottom="1440" w:gutter="0" w:footer="0" w:header="0"/>
        </w:sectPr>
      </w:pPr>
    </w:p>
    <w:bookmarkStart w:id="698" w:name="page699"/>
    <w:bookmarkEnd w:id="698"/>
    <w:p>
      <w:pPr>
        <w:ind w:left="544" w:hanging="544"/>
        <w:spacing w:after="0"/>
        <w:tabs>
          <w:tab w:leader="none" w:pos="544"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Contractor Status.</w:t>
      </w:r>
    </w:p>
    <w:p>
      <w:pPr>
        <w:spacing w:after="0" w:line="233" w:lineRule="exact"/>
        <w:rPr>
          <w:sz w:val="20"/>
          <w:szCs w:val="20"/>
          <w:color w:val="auto"/>
        </w:rPr>
      </w:pPr>
    </w:p>
    <w:p>
      <w:pPr>
        <w:jc w:val="both"/>
        <w:ind w:left="1424" w:right="20" w:hanging="647"/>
        <w:spacing w:after="0" w:line="239" w:lineRule="auto"/>
        <w:tabs>
          <w:tab w:leader="none" w:pos="1404" w:val="left"/>
        </w:tabs>
        <w:rPr>
          <w:sz w:val="20"/>
          <w:szCs w:val="20"/>
          <w:color w:val="auto"/>
        </w:rPr>
      </w:pPr>
      <w:r>
        <w:rPr>
          <w:rFonts w:ascii="Times New Roman" w:cs="Times New Roman" w:eastAsia="Times New Roman" w:hAnsi="Times New Roman"/>
          <w:sz w:val="22"/>
          <w:szCs w:val="22"/>
          <w:color w:val="auto"/>
        </w:rPr>
        <w:t>5.1.</w:t>
        <w:tab/>
        <w:t>The Consultant shall perform all Services under this Agreement as an “independent contractor” and not as an employee or agent of the Company or a Portfolio Company. The Consultant is not authorized to assume or create any obligation or responsibility, express or implied, on behalf of, or in the name of, the Company or a Portfolio Company or to bind the Company or a Portfolio Company in any manner.</w:t>
      </w:r>
    </w:p>
    <w:p>
      <w:pPr>
        <w:spacing w:after="0" w:line="207" w:lineRule="exact"/>
        <w:rPr>
          <w:sz w:val="20"/>
          <w:szCs w:val="20"/>
          <w:color w:val="auto"/>
        </w:rPr>
      </w:pPr>
    </w:p>
    <w:p>
      <w:pPr>
        <w:jc w:val="both"/>
        <w:ind w:left="1424" w:hanging="647"/>
        <w:spacing w:after="0" w:line="235" w:lineRule="auto"/>
        <w:tabs>
          <w:tab w:leader="none" w:pos="1404" w:val="left"/>
        </w:tabs>
        <w:rPr>
          <w:sz w:val="20"/>
          <w:szCs w:val="20"/>
          <w:color w:val="auto"/>
        </w:rPr>
      </w:pPr>
      <w:r>
        <w:rPr>
          <w:rFonts w:ascii="Times New Roman" w:cs="Times New Roman" w:eastAsia="Times New Roman" w:hAnsi="Times New Roman"/>
          <w:sz w:val="22"/>
          <w:szCs w:val="22"/>
          <w:color w:val="auto"/>
        </w:rPr>
        <w:t>5.2.</w:t>
        <w:tab/>
        <w:t>The Consultant shall have the right to control and determine the time, place, methods, manner and means of performing the Services. In performing the Services, the amount of time devoted by the Consultant on any given day will be entirely within the Consultant’s control, and the Company or a Portfolio Company will rely on the Consultant to put in the amount of time necessary to fulfill the requirements of this Agreement. The Consultant will provide all equipment and supplies required to perform the Services. The Consultant is not required to attend regular meetings at the Company or a Portfolio Company. However, upon reasonable notice, the Consultant shall meet with representatives of the Company or a Portfolio Company at a location to be designated by the parties to this Agreement.</w:t>
      </w:r>
    </w:p>
    <w:p>
      <w:pPr>
        <w:spacing w:after="0" w:line="205" w:lineRule="exact"/>
        <w:rPr>
          <w:sz w:val="20"/>
          <w:szCs w:val="20"/>
          <w:color w:val="auto"/>
        </w:rPr>
      </w:pPr>
    </w:p>
    <w:p>
      <w:pPr>
        <w:jc w:val="both"/>
        <w:ind w:left="1424" w:hanging="647"/>
        <w:spacing w:after="0" w:line="238" w:lineRule="auto"/>
        <w:tabs>
          <w:tab w:leader="none" w:pos="1404" w:val="left"/>
        </w:tabs>
        <w:rPr>
          <w:sz w:val="20"/>
          <w:szCs w:val="20"/>
          <w:color w:val="auto"/>
        </w:rPr>
      </w:pPr>
      <w:r>
        <w:rPr>
          <w:rFonts w:ascii="Times New Roman" w:cs="Times New Roman" w:eastAsia="Times New Roman" w:hAnsi="Times New Roman"/>
          <w:sz w:val="22"/>
          <w:szCs w:val="22"/>
          <w:color w:val="auto"/>
        </w:rPr>
        <w:t>5.3.</w:t>
        <w:tab/>
        <w:t>In the performance of the Services, the Consultant has the authority to control and direct the performance of the details of the Services, the Company or a Portfolio Company being interested only in the results obtained. However, the Services contemplated by the Agreement must meet the Company’s or a Portfolio Company’s standards and approval and shall be subject to the Company’s or a Portfolio Company’s general right of inspection and supervision to secure their satisfactory completion.</w:t>
      </w:r>
    </w:p>
    <w:p>
      <w:pPr>
        <w:spacing w:after="0" w:line="204" w:lineRule="exact"/>
        <w:rPr>
          <w:sz w:val="20"/>
          <w:szCs w:val="20"/>
          <w:color w:val="auto"/>
        </w:rPr>
      </w:pPr>
    </w:p>
    <w:p>
      <w:pPr>
        <w:jc w:val="both"/>
        <w:ind w:left="1424" w:hanging="647"/>
        <w:spacing w:after="0" w:line="258" w:lineRule="auto"/>
        <w:tabs>
          <w:tab w:leader="none" w:pos="1404" w:val="left"/>
        </w:tabs>
        <w:rPr>
          <w:sz w:val="20"/>
          <w:szCs w:val="20"/>
          <w:color w:val="auto"/>
        </w:rPr>
      </w:pPr>
      <w:r>
        <w:rPr>
          <w:rFonts w:ascii="Times New Roman" w:cs="Times New Roman" w:eastAsia="Times New Roman" w:hAnsi="Times New Roman"/>
          <w:sz w:val="22"/>
          <w:szCs w:val="22"/>
          <w:color w:val="auto"/>
        </w:rPr>
        <w:t>5.4.</w:t>
        <w:tab/>
        <w:t>The Consultant shall not use the Company’s or a Portfolio Company’s trade names, trademarks, service names or servicemarks without the prior approval of the Company or a Portfolio Company.</w:t>
      </w:r>
    </w:p>
    <w:p>
      <w:pPr>
        <w:spacing w:after="0" w:line="185" w:lineRule="exact"/>
        <w:rPr>
          <w:sz w:val="20"/>
          <w:szCs w:val="20"/>
          <w:color w:val="auto"/>
        </w:rPr>
      </w:pPr>
    </w:p>
    <w:p>
      <w:pPr>
        <w:jc w:val="both"/>
        <w:ind w:left="1424" w:hanging="647"/>
        <w:spacing w:after="0" w:line="244" w:lineRule="auto"/>
        <w:tabs>
          <w:tab w:leader="none" w:pos="1404" w:val="left"/>
        </w:tabs>
        <w:rPr>
          <w:sz w:val="20"/>
          <w:szCs w:val="20"/>
          <w:color w:val="auto"/>
        </w:rPr>
      </w:pPr>
      <w:r>
        <w:rPr>
          <w:rFonts w:ascii="Times New Roman" w:cs="Times New Roman" w:eastAsia="Times New Roman" w:hAnsi="Times New Roman"/>
          <w:sz w:val="22"/>
          <w:szCs w:val="22"/>
          <w:color w:val="auto"/>
        </w:rPr>
        <w:t>5.5.</w:t>
        <w:tab/>
        <w:t>The Consultant shall be solely responsible for all state and federal income taxes, unemployment insurance and social security taxes in connection with this Agreement and for maintaining adequate workers’ compensation insurance coverage.</w:t>
      </w:r>
    </w:p>
    <w:p>
      <w:pPr>
        <w:spacing w:after="0" w:line="200" w:lineRule="exact"/>
        <w:rPr>
          <w:sz w:val="20"/>
          <w:szCs w:val="20"/>
          <w:color w:val="auto"/>
        </w:rPr>
      </w:pPr>
    </w:p>
    <w:p>
      <w:pPr>
        <w:jc w:val="both"/>
        <w:ind w:left="544" w:right="20" w:hanging="544"/>
        <w:spacing w:after="0" w:line="236" w:lineRule="auto"/>
        <w:tabs>
          <w:tab w:leader="none" w:pos="544"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Consultant acknowledges that any breach of the provisions of Section 4 of this Agreement is likely to result in serious and irreparable injury to the Company or a Portfolio Company for which the Company or a Portfolio Company cannot be adequately compensated by monetary damages alone. The Consultant agrees, therefore, that, in addition to any other remedy it may have, the Company or a Portfolio Company is entitled to seek to enforce the specific performance of this Agreement by the Consultant and to seek both temporary and permanent injunctive relief (to the extent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4"/>
          </w:cols>
          <w:pgMar w:left="436" w:top="261" w:right="439" w:bottom="1440" w:gutter="0" w:footer="0" w:header="0"/>
        </w:sectPr>
      </w:pPr>
    </w:p>
    <w:bookmarkStart w:id="699" w:name="page700"/>
    <w:bookmarkEnd w:id="699"/>
    <w:p>
      <w:pPr>
        <w:ind w:left="54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permitted by law) without the necessity of proving actual damages or posting a bond.</w:t>
      </w:r>
    </w:p>
    <w:p>
      <w:pPr>
        <w:spacing w:after="0" w:line="233" w:lineRule="exact"/>
        <w:rPr>
          <w:sz w:val="20"/>
          <w:szCs w:val="20"/>
          <w:color w:val="auto"/>
        </w:rPr>
      </w:pPr>
    </w:p>
    <w:p>
      <w:pPr>
        <w:jc w:val="both"/>
        <w:ind w:left="544" w:right="20" w:hanging="544"/>
        <w:spacing w:after="0" w:line="247" w:lineRule="auto"/>
        <w:tabs>
          <w:tab w:leader="none" w:pos="544" w:val="left"/>
        </w:tabs>
        <w:numPr>
          <w:ilvl w:val="0"/>
          <w:numId w:val="6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Consultant shall be solely liable for, and shall indemnify, defend and hold harmless the Company or a Portfolio Company and its successors and assigns from and against any claim or liability of any kind (including penalties, fees or charges) resulting from the Consultant’s failure to pay the taxes, penalties, and payments referenced in Section 5 of this Agreement. The Consultant shall further indemnify, defend and hold harmless the Company or a Portfolio Company and its successors and assigns from and against any and all loss or damage resulting from any misrepresentation, or any non-fulfillment of any representation, responsibility, covenant or agreement on her part, as well as any and all acts, suits, proceedings, demands, assessments, penalties, judgments of or against the Company or a Portfolio Company arising out of the Consultant’s gross negligence in the provision of Services hereunder.</w:t>
      </w:r>
    </w:p>
    <w:p>
      <w:pPr>
        <w:spacing w:after="0" w:line="198" w:lineRule="exact"/>
        <w:rPr>
          <w:rFonts w:ascii="Times New Roman" w:cs="Times New Roman" w:eastAsia="Times New Roman" w:hAnsi="Times New Roman"/>
          <w:sz w:val="21"/>
          <w:szCs w:val="21"/>
          <w:color w:val="auto"/>
        </w:rPr>
      </w:pPr>
    </w:p>
    <w:p>
      <w:pPr>
        <w:ind w:left="544" w:right="20" w:hanging="544"/>
        <w:spacing w:after="0" w:line="258" w:lineRule="auto"/>
        <w:tabs>
          <w:tab w:leader="none" w:pos="544"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executed by both the Company and the Consultant.</w:t>
      </w:r>
    </w:p>
    <w:p>
      <w:pPr>
        <w:spacing w:after="0" w:line="185" w:lineRule="exact"/>
        <w:rPr>
          <w:rFonts w:ascii="Times New Roman" w:cs="Times New Roman" w:eastAsia="Times New Roman" w:hAnsi="Times New Roman"/>
          <w:sz w:val="22"/>
          <w:szCs w:val="22"/>
          <w:color w:val="auto"/>
        </w:rPr>
      </w:pPr>
    </w:p>
    <w:p>
      <w:pPr>
        <w:jc w:val="both"/>
        <w:ind w:left="544" w:hanging="544"/>
        <w:spacing w:after="0" w:line="239" w:lineRule="auto"/>
        <w:tabs>
          <w:tab w:leader="none" w:pos="544"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of Contract</w:t>
      </w:r>
      <w:r>
        <w:rPr>
          <w:rFonts w:ascii="Times New Roman" w:cs="Times New Roman" w:eastAsia="Times New Roman" w:hAnsi="Times New Roman"/>
          <w:sz w:val="22"/>
          <w:szCs w:val="22"/>
          <w:color w:val="auto"/>
        </w:rPr>
        <w:t>. This Agreement is personal to the Consultant and the Consultant shall not have the right to assign any of her rights or delegate any of her duties without the express written consent of the Company. Any non-consented-to assignment or delegation, whether express or implied or by operation of law, shall be void and shall constitute a breach and a default by the Consultant.</w:t>
      </w:r>
    </w:p>
    <w:p>
      <w:pPr>
        <w:spacing w:after="0" w:line="207" w:lineRule="exact"/>
        <w:rPr>
          <w:rFonts w:ascii="Times New Roman" w:cs="Times New Roman" w:eastAsia="Times New Roman" w:hAnsi="Times New Roman"/>
          <w:sz w:val="22"/>
          <w:szCs w:val="22"/>
          <w:color w:val="auto"/>
        </w:rPr>
      </w:pPr>
    </w:p>
    <w:p>
      <w:pPr>
        <w:jc w:val="both"/>
        <w:ind w:left="544" w:right="20" w:hanging="544"/>
        <w:spacing w:after="0" w:line="244" w:lineRule="auto"/>
        <w:tabs>
          <w:tab w:leader="none" w:pos="544"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giving effect to any choice or conflict of law provision or rule that would cause the application of laws of any other jurisdiction.</w:t>
      </w:r>
    </w:p>
    <w:p>
      <w:pPr>
        <w:spacing w:after="0" w:line="200" w:lineRule="exact"/>
        <w:rPr>
          <w:rFonts w:ascii="Times New Roman" w:cs="Times New Roman" w:eastAsia="Times New Roman" w:hAnsi="Times New Roman"/>
          <w:sz w:val="22"/>
          <w:szCs w:val="22"/>
          <w:color w:val="auto"/>
        </w:rPr>
      </w:pPr>
    </w:p>
    <w:p>
      <w:pPr>
        <w:jc w:val="both"/>
        <w:ind w:left="544" w:hanging="544"/>
        <w:spacing w:after="0" w:line="239" w:lineRule="auto"/>
        <w:tabs>
          <w:tab w:leader="none" w:pos="544"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are personal and shall not be assigned by him.</w:t>
      </w:r>
    </w:p>
    <w:p>
      <w:pPr>
        <w:spacing w:after="0" w:line="207" w:lineRule="exact"/>
        <w:rPr>
          <w:rFonts w:ascii="Times New Roman" w:cs="Times New Roman" w:eastAsia="Times New Roman" w:hAnsi="Times New Roman"/>
          <w:sz w:val="22"/>
          <w:szCs w:val="22"/>
          <w:color w:val="auto"/>
        </w:rPr>
      </w:pPr>
    </w:p>
    <w:p>
      <w:pPr>
        <w:jc w:val="both"/>
        <w:ind w:left="544" w:right="20" w:hanging="544"/>
        <w:spacing w:after="0" w:line="239" w:lineRule="auto"/>
        <w:tabs>
          <w:tab w:leader="none" w:pos="544"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Consultant and the Company acknowledge and agree that any Portfolio Company is an intended third-party beneficiary of this Agreement to the extent such provisions cover or are applicable to any Portfolio Company. The Portfolio Company shall have the right to enforce such provisions of this Agreement against the Consultant, as though the Portfolio Company was a party thereto, with respect to such provisions.</w:t>
      </w:r>
    </w:p>
    <w:p>
      <w:pPr>
        <w:spacing w:after="0" w:line="207" w:lineRule="exact"/>
        <w:rPr>
          <w:rFonts w:ascii="Times New Roman" w:cs="Times New Roman" w:eastAsia="Times New Roman" w:hAnsi="Times New Roman"/>
          <w:sz w:val="22"/>
          <w:szCs w:val="22"/>
          <w:color w:val="auto"/>
        </w:rPr>
      </w:pPr>
    </w:p>
    <w:p>
      <w:pPr>
        <w:jc w:val="both"/>
        <w:ind w:left="544" w:hanging="544"/>
        <w:spacing w:after="0" w:line="239" w:lineRule="auto"/>
        <w:tabs>
          <w:tab w:leader="none" w:pos="544"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If any restriction set forth in Section 4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4"/>
          </w:cols>
          <w:pgMar w:left="436" w:top="261" w:right="439" w:bottom="1440" w:gutter="0" w:footer="0" w:header="0"/>
        </w:sectPr>
      </w:pPr>
    </w:p>
    <w:bookmarkStart w:id="700" w:name="page701"/>
    <w:bookmarkEnd w:id="700"/>
    <w:p>
      <w:pPr>
        <w:ind w:left="544" w:hanging="544"/>
        <w:spacing w:after="0"/>
        <w:tabs>
          <w:tab w:leader="none" w:pos="544"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r>
        <w:rPr>
          <w:rFonts w:ascii="Times New Roman" w:cs="Times New Roman" w:eastAsia="Times New Roman" w:hAnsi="Times New Roman"/>
          <w:sz w:val="22"/>
          <w:szCs w:val="22"/>
          <w:color w:val="auto"/>
        </w:rPr>
        <w:t>. Sections 4 through 15 shall survive the expiration or termination of this Agreement.</w:t>
      </w:r>
    </w:p>
    <w:p>
      <w:pPr>
        <w:spacing w:after="0" w:line="233"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33" w:lineRule="exact"/>
        <w:rPr>
          <w:sz w:val="20"/>
          <w:szCs w:val="20"/>
          <w:color w:val="auto"/>
        </w:rPr>
      </w:pPr>
    </w:p>
    <w:p>
      <w:pPr>
        <w:jc w:val="both"/>
        <w:ind w:left="1424" w:hanging="647"/>
        <w:spacing w:after="0" w:line="261" w:lineRule="auto"/>
        <w:tabs>
          <w:tab w:leader="none" w:pos="1404"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184" w:lineRule="exact"/>
        <w:rPr>
          <w:sz w:val="20"/>
          <w:szCs w:val="20"/>
          <w:color w:val="auto"/>
        </w:rPr>
      </w:pPr>
    </w:p>
    <w:p>
      <w:pPr>
        <w:jc w:val="both"/>
        <w:ind w:left="1424" w:hanging="647"/>
        <w:spacing w:after="0" w:line="258" w:lineRule="auto"/>
        <w:tabs>
          <w:tab w:leader="none" w:pos="1404" w:val="left"/>
        </w:tabs>
        <w:rPr>
          <w:sz w:val="20"/>
          <w:szCs w:val="20"/>
          <w:color w:val="auto"/>
        </w:rPr>
      </w:pPr>
      <w:r>
        <w:rPr>
          <w:rFonts w:ascii="Times New Roman" w:cs="Times New Roman" w:eastAsia="Times New Roman" w:hAnsi="Times New Roman"/>
          <w:sz w:val="22"/>
          <w:szCs w:val="22"/>
          <w:color w:val="auto"/>
        </w:rPr>
        <w:t>15.2.</w:t>
        <w:tab/>
        <w:t>The captions of the sections of this Agreement are for convenience of reference only and in no way define, limit or affect the scope or substance of any section of this Agreement.</w:t>
      </w:r>
    </w:p>
    <w:p>
      <w:pPr>
        <w:spacing w:after="0" w:line="185" w:lineRule="exact"/>
        <w:rPr>
          <w:sz w:val="20"/>
          <w:szCs w:val="20"/>
          <w:color w:val="auto"/>
        </w:rPr>
      </w:pPr>
    </w:p>
    <w:p>
      <w:pPr>
        <w:jc w:val="both"/>
        <w:ind w:left="1424" w:hanging="647"/>
        <w:spacing w:after="0" w:line="244" w:lineRule="auto"/>
        <w:tabs>
          <w:tab w:leader="none" w:pos="1404" w:val="left"/>
        </w:tabs>
        <w:rPr>
          <w:sz w:val="20"/>
          <w:szCs w:val="20"/>
          <w:color w:val="auto"/>
        </w:rPr>
      </w:pPr>
      <w:r>
        <w:rPr>
          <w:rFonts w:ascii="Times New Roman" w:cs="Times New Roman" w:eastAsia="Times New Roman" w:hAnsi="Times New Roman"/>
          <w:sz w:val="22"/>
          <w:szCs w:val="22"/>
          <w:color w:val="auto"/>
        </w:rPr>
        <w:t>15.3.</w:t>
        <w:tab/>
        <w:t>In the event that any provision of this Agreement shall be invalid, illegal or otherwise unenforceable, the validity, legality and enforceability of the remaining provisions shall in no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04"/>
          </w:cols>
          <w:pgMar w:left="436" w:top="261" w:right="459" w:bottom="1440" w:gutter="0" w:footer="0" w:header="0"/>
        </w:sectPr>
      </w:pPr>
    </w:p>
    <w:bookmarkStart w:id="701" w:name="page702"/>
    <w:bookmarkEnd w:id="701"/>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executed this Agreement as of the day and year set forth above.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CULLINAN MANAGEMENT,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-22860</wp:posOffset>
            </wp:positionV>
            <wp:extent cx="14935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22"/>
          <w:szCs w:val="22"/>
          <w:color w:val="auto"/>
        </w:rPr>
        <w:t>Name: Owen Hughes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CEO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Patrick Baeuerle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-22860</wp:posOffset>
            </wp:positionV>
            <wp:extent cx="162242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Patrick Baeuerle</w:t>
      </w:r>
    </w:p>
    <w:p>
      <w:pPr>
        <w:spacing w:after="0" w:line="1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019"/>
          </w:cols>
          <w:pgMar w:left="440" w:top="261" w:right="1440" w:bottom="1440" w:gutter="0" w:footer="0" w:header="0"/>
        </w:sectPr>
      </w:pPr>
    </w:p>
    <w:bookmarkStart w:id="702" w:name="page703"/>
    <w:bookmarkEnd w:id="702"/>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u w:val="single" w:color="auto"/>
          <w:color w:val="auto"/>
        </w:rPr>
        <w:t>CONSULTING AGREEMENT</w:t>
      </w:r>
    </w:p>
    <w:p>
      <w:pPr>
        <w:spacing w:after="0" w:line="206" w:lineRule="exact"/>
        <w:rPr>
          <w:sz w:val="20"/>
          <w:szCs w:val="20"/>
          <w:color w:val="auto"/>
        </w:rPr>
      </w:pPr>
    </w:p>
    <w:p>
      <w:pPr>
        <w:jc w:val="both"/>
        <w:ind w:left="4" w:right="20" w:firstLine="551"/>
        <w:spacing w:after="0" w:line="244" w:lineRule="auto"/>
        <w:rPr>
          <w:sz w:val="20"/>
          <w:szCs w:val="20"/>
          <w:color w:val="auto"/>
        </w:rPr>
      </w:pPr>
      <w:r>
        <w:rPr>
          <w:rFonts w:ascii="Times New Roman" w:cs="Times New Roman" w:eastAsia="Times New Roman" w:hAnsi="Times New Roman"/>
          <w:sz w:val="22"/>
          <w:szCs w:val="22"/>
          <w:color w:val="auto"/>
        </w:rPr>
        <w:t>THIS CONSULTING AGREEMENT (the “Agreement”), made as of April 1, 2020 is entered into by Cullinan Management, Inc. a Delaware corporation (the “Company”), and Globeways Holdings Limited, a British Virgin Islands corporation (the “Consultant”).</w:t>
      </w:r>
    </w:p>
    <w:p>
      <w:pPr>
        <w:spacing w:after="0" w:line="1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INTRODUCTION</w:t>
      </w:r>
    </w:p>
    <w:p>
      <w:pPr>
        <w:spacing w:after="0" w:line="206" w:lineRule="exact"/>
        <w:rPr>
          <w:sz w:val="20"/>
          <w:szCs w:val="20"/>
          <w:color w:val="auto"/>
        </w:rPr>
      </w:pPr>
    </w:p>
    <w:p>
      <w:pPr>
        <w:jc w:val="both"/>
        <w:ind w:left="4" w:right="20" w:firstLine="551"/>
        <w:spacing w:after="0" w:line="261" w:lineRule="auto"/>
        <w:rPr>
          <w:sz w:val="20"/>
          <w:szCs w:val="20"/>
          <w:color w:val="auto"/>
        </w:rPr>
      </w:pPr>
      <w:r>
        <w:rPr>
          <w:rFonts w:ascii="Times New Roman" w:cs="Times New Roman" w:eastAsia="Times New Roman" w:hAnsi="Times New Roman"/>
          <w:sz w:val="21"/>
          <w:szCs w:val="21"/>
          <w:color w:val="auto"/>
        </w:rPr>
        <w:t>The Company and the Consultant desire to establish the terms and conditions under which the Consultant will provide Services to the Company. In consideration of the mutual covenants and promises contained herein and other good and valuable consideration, the receipt and sufficiency of which is hereby acknowledged by the parties hereto, the parties agree as follows:</w:t>
      </w:r>
    </w:p>
    <w:p>
      <w:pPr>
        <w:spacing w:after="0" w:line="157" w:lineRule="exact"/>
        <w:rPr>
          <w:sz w:val="20"/>
          <w:szCs w:val="20"/>
          <w:color w:val="auto"/>
        </w:rPr>
      </w:pPr>
    </w:p>
    <w:p>
      <w:pPr>
        <w:ind w:left="1204" w:hanging="973"/>
        <w:spacing w:after="0" w:line="261" w:lineRule="auto"/>
        <w:tabs>
          <w:tab w:leader="none" w:pos="845" w:val="left"/>
        </w:tabs>
        <w:numPr>
          <w:ilvl w:val="1"/>
          <w:numId w:val="6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The Consultant agrees to perform such consulting, advisory and related services to and for the Company as may be reasonably requested from time to time by the Chief Executive Officer of the Company (the “Services”) provided however that the Consultant shall not be required to perform the Services in the United States.</w:t>
      </w:r>
    </w:p>
    <w:p>
      <w:pPr>
        <w:spacing w:after="0" w:line="157" w:lineRule="exact"/>
        <w:rPr>
          <w:rFonts w:ascii="Times New Roman" w:cs="Times New Roman" w:eastAsia="Times New Roman" w:hAnsi="Times New Roman"/>
          <w:sz w:val="21"/>
          <w:szCs w:val="21"/>
          <w:color w:val="auto"/>
        </w:rPr>
      </w:pPr>
    </w:p>
    <w:p>
      <w:pPr>
        <w:ind w:left="1204" w:right="20" w:hanging="973"/>
        <w:spacing w:after="0" w:line="258" w:lineRule="auto"/>
        <w:tabs>
          <w:tab w:leader="none" w:pos="1155" w:val="left"/>
        </w:tabs>
        <w:numPr>
          <w:ilvl w:val="1"/>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on the date hereof and shall terminate on the first anniversary (the “Consultation Period”).</w:t>
      </w:r>
    </w:p>
    <w:p>
      <w:pPr>
        <w:spacing w:after="0" w:line="185" w:lineRule="exact"/>
        <w:rPr>
          <w:rFonts w:ascii="Times New Roman" w:cs="Times New Roman" w:eastAsia="Times New Roman" w:hAnsi="Times New Roman"/>
          <w:sz w:val="22"/>
          <w:szCs w:val="22"/>
          <w:color w:val="auto"/>
        </w:rPr>
      </w:pPr>
    </w:p>
    <w:p>
      <w:pPr>
        <w:ind w:left="764" w:hanging="764"/>
        <w:spacing w:after="0"/>
        <w:tabs>
          <w:tab w:leader="none" w:pos="764"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2204" w:right="20" w:hanging="768"/>
        <w:spacing w:after="0" w:line="258" w:lineRule="auto"/>
        <w:tabs>
          <w:tab w:leader="none" w:pos="2184"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Your consulting fee will be at the rate of $25,000.00 per month (annualized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$300,000) to be paid in monthly installments in advance.</w:t>
      </w:r>
    </w:p>
    <w:p>
      <w:pPr>
        <w:spacing w:after="0" w:line="185" w:lineRule="exact"/>
        <w:rPr>
          <w:sz w:val="20"/>
          <w:szCs w:val="20"/>
          <w:color w:val="auto"/>
        </w:rPr>
      </w:pPr>
    </w:p>
    <w:p>
      <w:pPr>
        <w:ind w:left="1424" w:right="6720" w:hanging="1424"/>
        <w:spacing w:after="0" w:line="448" w:lineRule="auto"/>
        <w:tabs>
          <w:tab w:leader="none" w:pos="762" w:val="left"/>
        </w:tabs>
        <w:numPr>
          <w:ilvl w:val="0"/>
          <w:numId w:val="6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Proprietary Information and Inventions.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Proprietary Information.</w:t>
      </w:r>
    </w:p>
    <w:p>
      <w:pPr>
        <w:jc w:val="both"/>
        <w:ind w:left="884" w:firstLine="1112"/>
        <w:spacing w:after="0" w:line="234" w:lineRule="auto"/>
        <w:tabs>
          <w:tab w:leader="none" w:pos="2775" w:val="left"/>
        </w:tabs>
        <w:numPr>
          <w:ilvl w:val="1"/>
          <w:numId w:val="6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Consultant’s relationship with the Company is one of high trust and confidence and that in the course of Consultant’s service to the Company, will have access to and contact with Proprietary Information (</w:t>
      </w:r>
      <w:r>
        <w:rPr>
          <w:rFonts w:ascii="Times New Roman" w:cs="Times New Roman" w:eastAsia="Times New Roman" w:hAnsi="Times New Roman"/>
          <w:sz w:val="22"/>
          <w:szCs w:val="22"/>
          <w:i w:val="1"/>
          <w:iCs w:val="1"/>
          <w:color w:val="auto"/>
        </w:rPr>
        <w:t>as defined below in Section 4.1(b)</w:t>
      </w:r>
      <w:r>
        <w:rPr>
          <w:rFonts w:ascii="Times New Roman" w:cs="Times New Roman" w:eastAsia="Times New Roman" w:hAnsi="Times New Roman"/>
          <w:sz w:val="22"/>
          <w:szCs w:val="22"/>
          <w:color w:val="auto"/>
        </w:rPr>
        <w:t>) of both the Company and any company or other entity that Cullinan Oncology, LLC has invested in or is considering for investment (a “Portfolio Company”). While Consultant is providing Services to the Company, and for three (3) years following the expiration of the Consultation Period, Consultant will not disclose or deliver to anyone, except as authorized by the Company, or use in any way other than to provide the Services, any Proprietary Information of the Company or a Portfolio Company. The restrictions set forth in this Section 4 will not apply to Information which (a) Consultant is required to disclose by an order of a court of competent jurisdiction, provided Consultant has provided all reasonable and practicable notice to the Company prior to such order being imposed, and at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24"/>
          </w:cols>
          <w:pgMar w:left="436" w:top="108" w:right="439" w:bottom="1440" w:gutter="0" w:footer="0" w:header="0"/>
        </w:sectPr>
      </w:pPr>
    </w:p>
    <w:bookmarkStart w:id="703" w:name="page704"/>
    <w:bookmarkEnd w:id="703"/>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request and cost of the Company, Consultant will promptly do all such reasonable acts or things as the Company and its duly authorized officers may reasonably require to defend in any proceeding, judicial or otherwise, such confidences and disclosures, or (b) becomes generally known to the public or in the trade, unless such knowledge results from an unauthorized disclosure by the Consultant.</w:t>
      </w:r>
    </w:p>
    <w:p>
      <w:pPr>
        <w:spacing w:after="0" w:line="180" w:lineRule="exact"/>
        <w:rPr>
          <w:sz w:val="20"/>
          <w:szCs w:val="20"/>
          <w:color w:val="auto"/>
        </w:rPr>
      </w:pPr>
    </w:p>
    <w:p>
      <w:pPr>
        <w:jc w:val="both"/>
        <w:ind w:firstLine="1112"/>
        <w:spacing w:after="0" w:line="245" w:lineRule="auto"/>
        <w:tabs>
          <w:tab w:leader="none" w:pos="1918" w:val="left"/>
        </w:tabs>
        <w:numPr>
          <w:ilvl w:val="0"/>
          <w:numId w:val="6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“Proprietary Information” shall mean, by way of illustration and not limitation, all information, whether or not in writing, whether or not patentable and whether or not copyrightable, of a private, secret or confidential nature, owned, possessed or used by the Company or any Portfolio Company, concerning the business, business relationships or financial affairs, including, without limitation, any Invention, formula, vendor information, customer information, apparatus, equipment, trade secret, process, research, report; technical or research data, clinical data; know-how, computer program, software, software documentation, hardware design, technology, product, processes, methods, techniques, formulas, compounds, projects, developments, marketing or business plan, forecast, unpublished financial statement, budget, license, price, cost, customer, supplier or personnel information or employee lists concerning either the Company, one of its affiliated entities, or a Portfolio Company that is communicated to, learned of, developed or otherwise acquired by the Consultant in the course of Consultant’s Service as a consultant under this Agreement to the Company.</w:t>
      </w:r>
    </w:p>
    <w:p>
      <w:pPr>
        <w:spacing w:after="0" w:line="177" w:lineRule="exact"/>
        <w:rPr>
          <w:rFonts w:ascii="Times New Roman" w:cs="Times New Roman" w:eastAsia="Times New Roman" w:hAnsi="Times New Roman"/>
          <w:sz w:val="21"/>
          <w:szCs w:val="21"/>
          <w:color w:val="auto"/>
        </w:rPr>
      </w:pPr>
    </w:p>
    <w:p>
      <w:pPr>
        <w:jc w:val="both"/>
        <w:ind w:firstLine="1112"/>
        <w:spacing w:after="0" w:line="233" w:lineRule="auto"/>
        <w:tabs>
          <w:tab w:leader="none" w:pos="2039" w:val="left"/>
        </w:tabs>
        <w:numPr>
          <w:ilvl w:val="0"/>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agrees that all files, documents, letters, memoranda, reports, records, data sketches, drawings, models, laboratory notebooks, program listings, computer equipment or devices, computer programs or other written, photographic, or other tangible material containing Proprietary Information, whether created by the Consultant or others, which shall come into her custody or possession, shall be and are the exclusive property of either the Company or a Portfolio Company, and are to be used by the Consultant only in the performance of Consultant’s duties under this Agreement and shall not be copied or removed from the Company’s or Portfolio Company’s premises except in the pursuit of the Services. All such materials or copies thereof and all tangible property of the Company or Portfolio Company in the custody or possession of the Consultant shall, unless otherwise agreed to by the Company or Portfolio Company in writing, be delivered to the Company or Portfolio Company upon the earlier of (i) a request by the Company or Portfolio Company, (ii) the termination of this Agreement or (iii) the expiration of the Consultation Period. After such delivery, the Consultant shall not retain any such materials or copies thereof or any such tangible property.</w:t>
      </w:r>
    </w:p>
    <w:p>
      <w:pPr>
        <w:spacing w:after="0" w:line="184" w:lineRule="exact"/>
        <w:rPr>
          <w:rFonts w:ascii="Times New Roman" w:cs="Times New Roman" w:eastAsia="Times New Roman" w:hAnsi="Times New Roman"/>
          <w:sz w:val="22"/>
          <w:szCs w:val="22"/>
          <w:color w:val="auto"/>
        </w:rPr>
      </w:pPr>
    </w:p>
    <w:p>
      <w:pPr>
        <w:jc w:val="both"/>
        <w:ind w:right="20" w:firstLine="1112"/>
        <w:spacing w:after="0" w:line="239" w:lineRule="auto"/>
        <w:tabs>
          <w:tab w:leader="none" w:pos="1954" w:val="left"/>
        </w:tabs>
        <w:numPr>
          <w:ilvl w:val="0"/>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agrees that Consultant’s obligation not to disclose or to use information and materials of the types set forth in paragraphs (b) and (c) above, and Consultant’s obligation to return materials and tangible property set forth in paragraph (c) above extends to such types of information, materials and tangible property of customers of the Company, a Portfolio</w:t>
      </w:r>
    </w:p>
    <w:p>
      <w:pPr>
        <w:spacing w:after="0" w:line="11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40"/>
          </w:cols>
          <w:pgMar w:left="1320" w:top="261" w:right="439" w:bottom="1440" w:gutter="0" w:footer="0" w:header="0"/>
        </w:sectPr>
      </w:pPr>
    </w:p>
    <w:bookmarkStart w:id="704" w:name="page705"/>
    <w:bookmarkEnd w:id="704"/>
    <w:p>
      <w:pPr>
        <w:jc w:val="both"/>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suppliers to the Company or other third parties who may have disclosed or entrusted the same to the Company, a Portfolio Company or the Consultant. In addition, the Consultant may disclose Proprietary Information pursuant to a subpoena or other order issued by a court of competent jurisdiction or governmental agency, but only if the Consultant advises the Company or Portfolio Company in writing in advance of such intended disclosure and cooperates with the Company or Portfolio Company in the event the Company or Portfolio Company elects to legally contest and avoid such disclosure. In any event, the Consultant may disclose only such portion of the Proprietary Information that Consultant is legally required to disclose.</w:t>
      </w:r>
    </w:p>
    <w:p>
      <w:pPr>
        <w:spacing w:after="0" w:line="183" w:lineRule="exact"/>
        <w:rPr>
          <w:sz w:val="20"/>
          <w:szCs w:val="20"/>
          <w:color w:val="auto"/>
        </w:rPr>
      </w:pPr>
    </w:p>
    <w:p>
      <w:pPr>
        <w:jc w:val="both"/>
        <w:ind w:firstLine="1112"/>
        <w:spacing w:after="0" w:line="236" w:lineRule="auto"/>
        <w:tabs>
          <w:tab w:leader="none" w:pos="1865"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the Company from time to time may have agreements with other persons or with the United States Government, or agencies thereof, that impose obligations or restrictions on the Company or Portfolio Company regarding inventions made during the course of work under such agreements or regarding the confidential nature of such work. The Consultant agrees to be bound by all such obligations and restrictions that are known to him and to take all action necessary to discharge the obligations of the Company under such agreements.</w:t>
      </w:r>
    </w:p>
    <w:p>
      <w:pPr>
        <w:spacing w:after="0" w:line="208"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Inventions.</w:t>
      </w:r>
    </w:p>
    <w:p>
      <w:pPr>
        <w:spacing w:after="0" w:line="206" w:lineRule="exact"/>
        <w:rPr>
          <w:sz w:val="20"/>
          <w:szCs w:val="20"/>
          <w:color w:val="auto"/>
        </w:rPr>
      </w:pPr>
    </w:p>
    <w:p>
      <w:pPr>
        <w:jc w:val="both"/>
        <w:ind w:firstLine="1112"/>
        <w:spacing w:after="0" w:line="232" w:lineRule="auto"/>
        <w:tabs>
          <w:tab w:leader="none" w:pos="1979"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inventions, ideas, creations, discoveries, computer programs, works of authorship, data, developments, technology, designs, innovations and improvements (whether or not patentable and whether or not copyrightable) which are made, conceived, reduced to practice, created, written, designed or developed by the Consultant, solely or jointly with others or under her direction and whether during normal business hours or otherwise, (i) during the Consultation Period and in the course of performing Services hereunder or (ii) during or after the Consultation Period if resulting or directly derived from Proprietary Information (as defined below) (collectively under clauses (i) and (ii), “Inventions”), shall be the sole property of the Company or Portfolio Company. The Consultant hereby assigns and in the future will assign to the Company or Portfolio Company all Inventions and any and all related patents, copyrights, trademarks, trade names, and other industrial and intellectual property rights and applications therefor, in the United States and elsewhere and appoints any officer of the Company or Portfolio Company as his duly authorized attorney to execute, file, prosecute and protect the same before any government agency, court or authority. However, this paragraph shall not apply to Inventions which do not relate to the Company’s or Portfolio Company’s business or research and development conducted or planned to be conducted by the Company at the time such Invention is created, made, conceived or reduced to practice and which are made and conceived by the Consultant not during normal working hours, not on the Company’s or Portfolio Company’s premises and not using the Company’s or Portfolio Company’s tools, devices, equipment or Proprietary Information.</w:t>
      </w:r>
    </w:p>
    <w:p>
      <w:pPr>
        <w:spacing w:after="0" w:line="1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40"/>
          </w:cols>
          <w:pgMar w:left="1320" w:top="261" w:right="439" w:bottom="1440" w:gutter="0" w:footer="0" w:header="0"/>
        </w:sectPr>
      </w:pPr>
    </w:p>
    <w:bookmarkStart w:id="705" w:name="page706"/>
    <w:bookmarkEnd w:id="705"/>
    <w:p>
      <w:pPr>
        <w:jc w:val="both"/>
        <w:ind w:left="884" w:right="20" w:firstLine="1112"/>
        <w:spacing w:after="0" w:line="236" w:lineRule="auto"/>
        <w:tabs>
          <w:tab w:leader="none" w:pos="2855" w:val="left"/>
        </w:tabs>
        <w:numPr>
          <w:ilvl w:val="1"/>
          <w:numId w:val="6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request of the Company or Portfolio Company and at the Company’s or Portfolio Company’s expense, the Consultant shall execute such further assignments, documents and other instruments as may be necessary or desirable to fully and completely assign all Inventions to the Company or Portfolio Company and to assist the Company or Portfolio Company in applying for, obtaining and enforcing patents or copyrights or other rights in the United States and in any foreign country with respect to any Invention. The Consultant also hereby waives all claims to moral rights in any Inventions.</w:t>
      </w:r>
    </w:p>
    <w:p>
      <w:pPr>
        <w:spacing w:after="0" w:line="181" w:lineRule="exact"/>
        <w:rPr>
          <w:rFonts w:ascii="Times New Roman" w:cs="Times New Roman" w:eastAsia="Times New Roman" w:hAnsi="Times New Roman"/>
          <w:sz w:val="22"/>
          <w:szCs w:val="22"/>
          <w:color w:val="auto"/>
        </w:rPr>
      </w:pPr>
    </w:p>
    <w:p>
      <w:pPr>
        <w:jc w:val="both"/>
        <w:ind w:left="884" w:right="20" w:firstLine="1112"/>
        <w:spacing w:after="0" w:line="238" w:lineRule="auto"/>
        <w:tabs>
          <w:tab w:leader="none" w:pos="2802" w:val="left"/>
        </w:tabs>
        <w:numPr>
          <w:ilvl w:val="1"/>
          <w:numId w:val="6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shall promptly disclose to the Company or Portfolio Company all Inventions and will maintain adequate and current written records (in the form of notes, sketches, drawings and as may be specified by the Company or Portfolio Company) to document the conception and/or first actual reduction to practice of any Invention. Such written records shall be available to and remain the sole property of the Company at all times.</w:t>
      </w:r>
    </w:p>
    <w:p>
      <w:pPr>
        <w:spacing w:after="0" w:line="203" w:lineRule="exact"/>
        <w:rPr>
          <w:rFonts w:ascii="Times New Roman" w:cs="Times New Roman" w:eastAsia="Times New Roman" w:hAnsi="Times New Roman"/>
          <w:sz w:val="22"/>
          <w:szCs w:val="22"/>
          <w:color w:val="auto"/>
        </w:rPr>
      </w:pPr>
    </w:p>
    <w:p>
      <w:pPr>
        <w:ind w:left="764" w:hanging="764"/>
        <w:spacing w:after="0"/>
        <w:tabs>
          <w:tab w:leader="none" w:pos="764"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 Status.</w:t>
      </w:r>
    </w:p>
    <w:p>
      <w:pPr>
        <w:spacing w:after="0" w:line="233" w:lineRule="exact"/>
        <w:rPr>
          <w:sz w:val="20"/>
          <w:szCs w:val="20"/>
          <w:color w:val="auto"/>
        </w:rPr>
      </w:pPr>
    </w:p>
    <w:p>
      <w:pPr>
        <w:jc w:val="both"/>
        <w:ind w:left="2204" w:hanging="768"/>
        <w:spacing w:after="0" w:line="238" w:lineRule="auto"/>
        <w:tabs>
          <w:tab w:leader="none" w:pos="2184"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The Consultant shall perform all Services under this Agreement as an “independent contractor” and not as an employee or agent of the Company or a Portfolio Company. The Consultant is not authorized to assume or create any obligation or responsibility, express or implied, on behalf of, or in the name of, the Company or a Portfolio Company or to bind the Company or a Portfolio Company in any manner.</w:t>
      </w:r>
    </w:p>
    <w:p>
      <w:pPr>
        <w:spacing w:after="0" w:line="204" w:lineRule="exact"/>
        <w:rPr>
          <w:sz w:val="20"/>
          <w:szCs w:val="20"/>
          <w:color w:val="auto"/>
        </w:rPr>
      </w:pPr>
    </w:p>
    <w:p>
      <w:pPr>
        <w:jc w:val="both"/>
        <w:ind w:left="2204" w:hanging="768"/>
        <w:spacing w:after="0" w:line="234" w:lineRule="auto"/>
        <w:tabs>
          <w:tab w:leader="none" w:pos="2184"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The Consultant shall have the right to control and determine the time, place, methods, manner and means of performing the Services. In performing the Services, the amount of time devoted by the Consultant on any given day will be entirely within the Consultant’s control, and the Company or a Portfolio Company will rely on the Consultant to put in the amount of time necessary to fulfill the requirements of this Agreement. The Consultant will provide all equipment and supplies required to perform the Services. The Consultant is not required to attend regular meetings at the Company or a Portfolio Company. However, upon reasonable notice, the Consultant shall meet with representatives of the Company or a Portfolio Company at a location to be designated by the parties to this Agreement.</w:t>
      </w:r>
    </w:p>
    <w:p>
      <w:pPr>
        <w:spacing w:after="0" w:line="210" w:lineRule="exact"/>
        <w:rPr>
          <w:sz w:val="20"/>
          <w:szCs w:val="20"/>
          <w:color w:val="auto"/>
        </w:rPr>
      </w:pPr>
    </w:p>
    <w:p>
      <w:pPr>
        <w:jc w:val="both"/>
        <w:ind w:left="2204" w:hanging="768"/>
        <w:spacing w:after="0" w:line="236" w:lineRule="auto"/>
        <w:tabs>
          <w:tab w:leader="none" w:pos="2184"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In the performance of the Services, the Consultant has the authority to control and direct the performance of the details of the Services, the Company or a Portfolio Company being interested only in the results obtained. However, the Services contemplated by the Agreement must meet the Company’s or a Portfolio Company’s standards and approval and shall be subject to the Company’s or a Portfolio Company’s general right of inspection and supervision to secure their satisfactory completion.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4"/>
          </w:cols>
          <w:pgMar w:left="436" w:top="261" w:right="439" w:bottom="1440" w:gutter="0" w:footer="0" w:header="0"/>
        </w:sectPr>
      </w:pPr>
    </w:p>
    <w:bookmarkStart w:id="706" w:name="page707"/>
    <w:bookmarkEnd w:id="706"/>
    <w:p>
      <w:pPr>
        <w:jc w:val="both"/>
        <w:ind w:left="1980" w:right="20" w:hanging="768"/>
        <w:spacing w:after="0" w:line="258" w:lineRule="auto"/>
        <w:tabs>
          <w:tab w:leader="none" w:pos="196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22"/>
          <w:szCs w:val="22"/>
          <w:color w:val="auto"/>
        </w:rPr>
        <w:t>The Consultant shall not use the Company’s or a Portfolio Company’s trade names, trademarks, service names or servicemarks without the prior approval of the Company or a Portfolio Company.</w:t>
      </w:r>
    </w:p>
    <w:p>
      <w:pPr>
        <w:spacing w:after="0" w:line="185" w:lineRule="exact"/>
        <w:rPr>
          <w:sz w:val="20"/>
          <w:szCs w:val="20"/>
          <w:color w:val="auto"/>
        </w:rPr>
      </w:pPr>
    </w:p>
    <w:p>
      <w:pPr>
        <w:jc w:val="both"/>
        <w:ind w:left="1980" w:right="20" w:hanging="768"/>
        <w:spacing w:after="0" w:line="244" w:lineRule="auto"/>
        <w:tabs>
          <w:tab w:leader="none" w:pos="196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The Consultant shall be solely responsible for all state and federal income taxes, unemployment insurance and social security taxes in connection with this Agreement and for maintaining adequate workers’ compensation insurance coverage.</w:t>
      </w:r>
    </w:p>
    <w:p>
      <w:pPr>
        <w:spacing w:after="0" w:line="173" w:lineRule="exact"/>
        <w:rPr>
          <w:sz w:val="20"/>
          <w:szCs w:val="20"/>
          <w:color w:val="auto"/>
        </w:rPr>
      </w:pPr>
    </w:p>
    <w:p>
      <w:pPr>
        <w:ind w:left="980" w:hanging="973"/>
        <w:spacing w:after="0" w:line="235" w:lineRule="auto"/>
        <w:tabs>
          <w:tab w:leader="none" w:pos="607"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Consultant acknowledges that any breach of the provisions of Section 4 of this Agreement is likely to result in serious and irreparable injury to the Company or a Portfolio Company for which the Company or a Portfolio Company cannot be adequately compensated by monetary damages alone. The Consultant agrees, therefore, that, in addition to any other remedy it may have, the Company or a Portfolio Company is entitled to seek to enforce the specific performance of this Agreement by the Consultant and to seek both temporary and permanent injunctive relief (to the extent permitted by law) without the necessity of proving actual damages or posting a bond.</w:t>
      </w:r>
    </w:p>
    <w:p>
      <w:pPr>
        <w:spacing w:after="0" w:line="183" w:lineRule="exact"/>
        <w:rPr>
          <w:rFonts w:ascii="Times New Roman" w:cs="Times New Roman" w:eastAsia="Times New Roman" w:hAnsi="Times New Roman"/>
          <w:sz w:val="22"/>
          <w:szCs w:val="22"/>
          <w:color w:val="auto"/>
        </w:rPr>
      </w:pPr>
    </w:p>
    <w:p>
      <w:pPr>
        <w:ind w:left="980" w:hanging="973"/>
        <w:spacing w:after="0" w:line="234" w:lineRule="auto"/>
        <w:tabs>
          <w:tab w:leader="none" w:pos="864"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Consultant shall be solely liable for, and shall indemnify, defend and hold harmless the Company or a Portfolio Company and its successors and assigns from and against any claim or liability of any kind (including penalties, fees or charges) resulting from the Consultant’s failure to pay the taxes, penalties, and payments referenced in Section 5 of this Agreement. The Consultant shall further indemnify, defend and hold harmless the Company or a Portfolio Company and its successors and assigns from and against any and all loss or damage resulting from any misrepresentation, or any non-fulfillment of any representation, responsibility, covenant or agreement on her part, as well as any and all acts, suits, proceedings, demands, assessments, penalties, judgments of or against the Company or a Portfolio Company arising out of the Consultant’s gross negligence in the provision of Services hereunder.</w:t>
      </w:r>
    </w:p>
    <w:p>
      <w:pPr>
        <w:spacing w:after="0" w:line="183" w:lineRule="exact"/>
        <w:rPr>
          <w:rFonts w:ascii="Times New Roman" w:cs="Times New Roman" w:eastAsia="Times New Roman" w:hAnsi="Times New Roman"/>
          <w:sz w:val="22"/>
          <w:szCs w:val="22"/>
          <w:color w:val="auto"/>
        </w:rPr>
      </w:pPr>
    </w:p>
    <w:p>
      <w:pPr>
        <w:ind w:left="980" w:right="20" w:hanging="973"/>
        <w:spacing w:after="0" w:line="258" w:lineRule="auto"/>
        <w:tabs>
          <w:tab w:leader="none" w:pos="810"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executed by both the Company and the Consultant.</w:t>
      </w:r>
    </w:p>
    <w:p>
      <w:pPr>
        <w:spacing w:after="0" w:line="158" w:lineRule="exact"/>
        <w:rPr>
          <w:rFonts w:ascii="Times New Roman" w:cs="Times New Roman" w:eastAsia="Times New Roman" w:hAnsi="Times New Roman"/>
          <w:sz w:val="22"/>
          <w:szCs w:val="22"/>
          <w:color w:val="auto"/>
        </w:rPr>
      </w:pPr>
    </w:p>
    <w:p>
      <w:pPr>
        <w:ind w:left="980" w:hanging="973"/>
        <w:spacing w:after="0" w:line="239" w:lineRule="auto"/>
        <w:tabs>
          <w:tab w:leader="none" w:pos="729"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of Contract</w:t>
      </w:r>
      <w:r>
        <w:rPr>
          <w:rFonts w:ascii="Times New Roman" w:cs="Times New Roman" w:eastAsia="Times New Roman" w:hAnsi="Times New Roman"/>
          <w:sz w:val="22"/>
          <w:szCs w:val="22"/>
          <w:color w:val="auto"/>
        </w:rPr>
        <w:t>. This Agreement is personal to the Consultant and the Consultant shall not have the right to assign any of her rights or delegate any of her duties without the express written consent of the Company. Any non-consented-to assignment or delegation, whether express or implied or by operation of law, shall be void and shall constitute a breach and a default by the Consultant.</w:t>
      </w:r>
    </w:p>
    <w:p>
      <w:pPr>
        <w:spacing w:after="0" w:line="180" w:lineRule="exact"/>
        <w:rPr>
          <w:rFonts w:ascii="Times New Roman" w:cs="Times New Roman" w:eastAsia="Times New Roman" w:hAnsi="Times New Roman"/>
          <w:sz w:val="22"/>
          <w:szCs w:val="22"/>
          <w:color w:val="auto"/>
        </w:rPr>
      </w:pPr>
    </w:p>
    <w:p>
      <w:pPr>
        <w:jc w:val="both"/>
        <w:ind w:left="980" w:right="20" w:hanging="973"/>
        <w:spacing w:after="0" w:line="244" w:lineRule="auto"/>
        <w:tabs>
          <w:tab w:leader="none" w:pos="1066"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giving effect to any choice or conflict of law provision or rule that would cause the application of laws of any other jurisdiction.</w:t>
      </w:r>
    </w:p>
    <w:p>
      <w:pPr>
        <w:spacing w:after="0" w:line="1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800"/>
          </w:cols>
          <w:pgMar w:left="660" w:top="261" w:right="439" w:bottom="1440" w:gutter="0" w:footer="0" w:header="0"/>
        </w:sectPr>
      </w:pPr>
    </w:p>
    <w:bookmarkStart w:id="707" w:name="page708"/>
    <w:bookmarkEnd w:id="707"/>
    <w:p>
      <w:pPr>
        <w:ind w:left="980" w:right="20" w:hanging="973"/>
        <w:spacing w:after="0" w:line="239" w:lineRule="auto"/>
        <w:tabs>
          <w:tab w:leader="none" w:pos="788"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are personal and shall not be assigned by him.</w:t>
      </w:r>
    </w:p>
    <w:p>
      <w:pPr>
        <w:spacing w:after="0" w:line="180" w:lineRule="exact"/>
        <w:rPr>
          <w:rFonts w:ascii="Times New Roman" w:cs="Times New Roman" w:eastAsia="Times New Roman" w:hAnsi="Times New Roman"/>
          <w:sz w:val="22"/>
          <w:szCs w:val="22"/>
          <w:color w:val="auto"/>
        </w:rPr>
      </w:pPr>
    </w:p>
    <w:p>
      <w:pPr>
        <w:ind w:left="980" w:hanging="973"/>
        <w:spacing w:after="0" w:line="239" w:lineRule="auto"/>
        <w:tabs>
          <w:tab w:leader="none" w:pos="796"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Consultant and the Company acknowledge and agree that any Portfolio Company is an intended third-party beneficiary of this Agreement to the extent such provisions cover or are applicable to any Portfolio Company. The Portfolio Company shall have the right to enforce such provisions of this Agreement against the Consultant, as though the Portfolio Company was a party thereto, with respect to such provisions.</w:t>
      </w:r>
    </w:p>
    <w:p>
      <w:pPr>
        <w:spacing w:after="0" w:line="180" w:lineRule="exact"/>
        <w:rPr>
          <w:rFonts w:ascii="Times New Roman" w:cs="Times New Roman" w:eastAsia="Times New Roman" w:hAnsi="Times New Roman"/>
          <w:sz w:val="22"/>
          <w:szCs w:val="22"/>
          <w:color w:val="auto"/>
        </w:rPr>
      </w:pPr>
    </w:p>
    <w:p>
      <w:pPr>
        <w:jc w:val="both"/>
        <w:ind w:left="980" w:right="20" w:hanging="973"/>
        <w:spacing w:after="0" w:line="239" w:lineRule="auto"/>
        <w:tabs>
          <w:tab w:leader="none" w:pos="972"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If any restriction set forth in Section 4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80" w:lineRule="exact"/>
        <w:rPr>
          <w:rFonts w:ascii="Times New Roman" w:cs="Times New Roman" w:eastAsia="Times New Roman" w:hAnsi="Times New Roman"/>
          <w:sz w:val="22"/>
          <w:szCs w:val="22"/>
          <w:color w:val="auto"/>
        </w:rPr>
      </w:pPr>
    </w:p>
    <w:p>
      <w:pPr>
        <w:ind w:left="700" w:hanging="693"/>
        <w:spacing w:after="0"/>
        <w:tabs>
          <w:tab w:leader="none" w:pos="700"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4 through 15 shall survive the expiration or termination of this Agreement.</w:t>
      </w:r>
    </w:p>
    <w:p>
      <w:pPr>
        <w:spacing w:after="0" w:line="206" w:lineRule="exact"/>
        <w:rPr>
          <w:rFonts w:ascii="Times New Roman" w:cs="Times New Roman" w:eastAsia="Times New Roman" w:hAnsi="Times New Roman"/>
          <w:sz w:val="22"/>
          <w:szCs w:val="22"/>
          <w:color w:val="auto"/>
        </w:rPr>
      </w:pPr>
    </w:p>
    <w:p>
      <w:pPr>
        <w:ind w:left="700" w:hanging="693"/>
        <w:spacing w:after="0"/>
        <w:tabs>
          <w:tab w:leader="none" w:pos="700"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33" w:lineRule="exact"/>
        <w:rPr>
          <w:sz w:val="20"/>
          <w:szCs w:val="20"/>
          <w:color w:val="auto"/>
        </w:rPr>
      </w:pPr>
    </w:p>
    <w:p>
      <w:pPr>
        <w:jc w:val="both"/>
        <w:ind w:left="1980" w:hanging="768"/>
        <w:spacing w:after="0" w:line="239" w:lineRule="auto"/>
        <w:tabs>
          <w:tab w:leader="none" w:pos="1960" w:val="left"/>
        </w:tabs>
        <w:rPr>
          <w:sz w:val="20"/>
          <w:szCs w:val="20"/>
          <w:color w:val="auto"/>
        </w:rPr>
      </w:pPr>
      <w:r>
        <w:rPr>
          <w:rFonts w:ascii="Times New Roman" w:cs="Times New Roman" w:eastAsia="Times New Roman" w:hAnsi="Times New Roman"/>
          <w:sz w:val="22"/>
          <w:szCs w:val="22"/>
          <w:color w:val="auto"/>
        </w:rPr>
        <w:t>15.1.</w:t>
        <w:tab/>
        <w:t>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207" w:lineRule="exact"/>
        <w:rPr>
          <w:sz w:val="20"/>
          <w:szCs w:val="20"/>
          <w:color w:val="auto"/>
        </w:rPr>
      </w:pPr>
    </w:p>
    <w:p>
      <w:pPr>
        <w:jc w:val="both"/>
        <w:ind w:left="1980" w:right="20" w:hanging="768"/>
        <w:spacing w:after="0" w:line="258" w:lineRule="auto"/>
        <w:tabs>
          <w:tab w:leader="none" w:pos="1960" w:val="left"/>
        </w:tabs>
        <w:rPr>
          <w:sz w:val="20"/>
          <w:szCs w:val="20"/>
          <w:color w:val="auto"/>
        </w:rPr>
      </w:pPr>
      <w:r>
        <w:rPr>
          <w:rFonts w:ascii="Times New Roman" w:cs="Times New Roman" w:eastAsia="Times New Roman" w:hAnsi="Times New Roman"/>
          <w:sz w:val="22"/>
          <w:szCs w:val="22"/>
          <w:color w:val="auto"/>
        </w:rPr>
        <w:t>15.2.</w:t>
        <w:tab/>
        <w:t>The captions of the sections of this Agreement are for convenience of reference only and in no way define, limit or affect the scope or substance of any section of this Agreement.</w:t>
      </w:r>
    </w:p>
    <w:p>
      <w:pPr>
        <w:spacing w:after="0" w:line="185" w:lineRule="exact"/>
        <w:rPr>
          <w:sz w:val="20"/>
          <w:szCs w:val="20"/>
          <w:color w:val="auto"/>
        </w:rPr>
      </w:pPr>
    </w:p>
    <w:p>
      <w:pPr>
        <w:jc w:val="both"/>
        <w:ind w:left="1980" w:right="20" w:hanging="768"/>
        <w:spacing w:after="0" w:line="244" w:lineRule="auto"/>
        <w:tabs>
          <w:tab w:leader="none" w:pos="1960" w:val="left"/>
        </w:tabs>
        <w:rPr>
          <w:sz w:val="20"/>
          <w:szCs w:val="20"/>
          <w:color w:val="auto"/>
        </w:rPr>
      </w:pPr>
      <w:r>
        <w:rPr>
          <w:rFonts w:ascii="Times New Roman" w:cs="Times New Roman" w:eastAsia="Times New Roman" w:hAnsi="Times New Roman"/>
          <w:sz w:val="22"/>
          <w:szCs w:val="22"/>
          <w:color w:val="auto"/>
        </w:rPr>
        <w:t>15.3.</w:t>
        <w:tab/>
        <w:t>In the event that any provision of this Agreement shall be invalid, illegal or otherwise unenforceable, the validity, legality and enforceability of the remaining provisions shall in no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800"/>
          </w:cols>
          <w:pgMar w:left="660" w:top="261" w:right="439" w:bottom="1440" w:gutter="0" w:footer="0" w:header="0"/>
        </w:sectPr>
      </w:pPr>
    </w:p>
    <w:bookmarkStart w:id="708" w:name="page709"/>
    <w:bookmarkEnd w:id="708"/>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executed this Agreement as of the day and year set forth above.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CULLINAN MANAGEMENT,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-13970</wp:posOffset>
            </wp:positionV>
            <wp:extent cx="149352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Owen Hughes</w:t>
      </w:r>
    </w:p>
    <w:p>
      <w:pPr>
        <w:spacing w:after="0"/>
        <w:rPr>
          <w:sz w:val="20"/>
          <w:szCs w:val="20"/>
          <w:color w:val="auto"/>
        </w:rPr>
      </w:pPr>
      <w:r>
        <w:rPr>
          <w:rFonts w:ascii="Times New Roman" w:cs="Times New Roman" w:eastAsia="Times New Roman" w:hAnsi="Times New Roman"/>
          <w:sz w:val="22"/>
          <w:szCs w:val="22"/>
          <w:color w:val="auto"/>
        </w:rPr>
        <w:t>Title: CEO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Morana Jovan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-13970</wp:posOffset>
            </wp:positionV>
            <wp:extent cx="149352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Morana Jovan</w:t>
      </w:r>
    </w:p>
    <w:p>
      <w:pPr>
        <w:spacing w:after="0" w:line="1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019"/>
          </w:cols>
          <w:pgMar w:left="440" w:top="261" w:right="1440" w:bottom="1440" w:gutter="0" w:footer="0" w:header="0"/>
        </w:sectPr>
      </w:pPr>
    </w:p>
    <w:bookmarkStart w:id="709" w:name="page710"/>
    <w:bookmarkEnd w:id="709"/>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SUBLEASE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One Main Street, Suite 510, Cambridge, Massachusetts 02142</w:t>
      </w:r>
    </w:p>
    <w:p>
      <w:pPr>
        <w:spacing w:after="0" w:line="2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TEVA PHARMACEUTICALS USA,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Sublandlord)</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CULLINAN MANAGEMENT,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Subtenant)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Dated: As of December 14, 2017</w:t>
      </w:r>
    </w:p>
    <w:p>
      <w:pPr>
        <w:sectPr>
          <w:pgSz w:w="11900" w:h="16838" w:orient="portrait"/>
          <w:cols w:equalWidth="0" w:num="1">
            <w:col w:w="10020"/>
          </w:cols>
          <w:pgMar w:left="1440" w:top="118" w:right="439" w:bottom="1440" w:gutter="0" w:footer="0" w:header="0"/>
        </w:sectPr>
      </w:pPr>
    </w:p>
    <w:bookmarkStart w:id="710" w:name="page711"/>
    <w:bookmarkEnd w:id="710"/>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SUBLEASE</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SUBLEASE </w:t>
      </w:r>
      <w:r>
        <w:rPr>
          <w:rFonts w:ascii="Times New Roman" w:cs="Times New Roman" w:eastAsia="Times New Roman" w:hAnsi="Times New Roman"/>
          <w:sz w:val="18"/>
          <w:szCs w:val="18"/>
          <w:color w:val="auto"/>
        </w:rPr>
        <w:t>(the “Sublease”) is made effective as of the 14 day of December, 2017, between</w:t>
      </w:r>
      <w:r>
        <w:rPr>
          <w:rFonts w:ascii="Times New Roman" w:cs="Times New Roman" w:eastAsia="Times New Roman" w:hAnsi="Times New Roman"/>
          <w:sz w:val="18"/>
          <w:szCs w:val="18"/>
          <w:b w:val="1"/>
          <w:bCs w:val="1"/>
          <w:color w:val="auto"/>
        </w:rPr>
        <w:t xml:space="preserve"> TEVA PHARMACEUTICALS USA,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Delaware corporation (herein referred to as “Sublandlord”) with an address at 1090 Horsham Road, P.O. Box 1090, North Wales, PA 19454-1090, and </w:t>
      </w:r>
      <w:r>
        <w:rPr>
          <w:rFonts w:ascii="Times New Roman" w:cs="Times New Roman" w:eastAsia="Times New Roman" w:hAnsi="Times New Roman"/>
          <w:sz w:val="18"/>
          <w:szCs w:val="18"/>
          <w:b w:val="1"/>
          <w:bCs w:val="1"/>
          <w:color w:val="auto"/>
        </w:rPr>
        <w:t>CULLINAN MANAGEMENT, INC</w:t>
      </w:r>
      <w:r>
        <w:rPr>
          <w:rFonts w:ascii="Times New Roman" w:cs="Times New Roman" w:eastAsia="Times New Roman" w:hAnsi="Times New Roman"/>
          <w:sz w:val="18"/>
          <w:szCs w:val="18"/>
          <w:color w:val="auto"/>
        </w:rPr>
        <w:t>., a Delaware corporation (herein referred to as “Subtenant”) with an address of 450 Kendall Street, Cambridge,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 02142.</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PREAMBLE</w:t>
      </w:r>
    </w:p>
    <w:p>
      <w:pPr>
        <w:spacing w:after="0" w:line="229"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18"/>
          <w:szCs w:val="18"/>
          <w:color w:val="auto"/>
        </w:rPr>
        <w:t>BASIC SUBLEASE PROVISIONS AND 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terms whenever used in this Sublease shall have the meanings set forth below:</w:t>
      </w:r>
    </w:p>
    <w:p>
      <w:pPr>
        <w:spacing w:after="0" w:line="113" w:lineRule="exact"/>
        <w:rPr>
          <w:sz w:val="20"/>
          <w:szCs w:val="20"/>
          <w:color w:val="auto"/>
        </w:rPr>
      </w:pPr>
    </w:p>
    <w:p>
      <w:pPr>
        <w:ind w:left="684" w:hanging="244"/>
        <w:spacing w:after="0"/>
        <w:tabs>
          <w:tab w:leader="none" w:pos="684"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CBRE, Inc. and Transwestern Consulting Group.</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building located at and known as One Main Street, Cambridge, Massachusetts.</w:t>
      </w:r>
    </w:p>
    <w:p>
      <w:pPr>
        <w:spacing w:after="0" w:line="225"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689" w:val="left"/>
        </w:tabs>
        <w:numPr>
          <w:ilvl w:val="1"/>
          <w:numId w:val="6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COMMENCEMENT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the date upon which all of the following have occurred: (i) Sublandlord has substantially completed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Sublandlord’s Work (as defined in Section 2 below), (ii) Prime Landlord has consented to this Sublease in writing, and (iii) Sublandlord has delivered exclusive possession of the Premises to the Subtenant vacant and in broom-clean condition and otherwise in compliance with the terms of this Sublease. The Commencement Date shall be the earlier to occur of (x) February 1, 2018 and (y) the date that Subtenant’s personnel shall first occupy the Premises for the conduct of Subtenant’s business; provided that in no event shall the Commencement Date occur prior to the date that is fifteen (15) days after the later to occur of (A) the execution of this Sublease by Sublandlord and Subtenant, (B) receipt of Prime Landlord’s consent to this Sublease, and</w:t>
      </w:r>
    </w:p>
    <w:p>
      <w:pPr>
        <w:spacing w:after="0" w:line="3"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Sublandlord’s delivery to Subtenant of exclusive possession the Premises with Sublandlord’s Work substantially complete (clauses (A), (B) and</w:t>
      </w:r>
    </w:p>
    <w:p>
      <w:pPr>
        <w:spacing w:after="0" w:line="9" w:lineRule="exact"/>
        <w:rPr>
          <w:sz w:val="20"/>
          <w:szCs w:val="20"/>
          <w:color w:val="auto"/>
        </w:rPr>
      </w:pPr>
    </w:p>
    <w:p>
      <w:pPr>
        <w:ind w:left="4" w:right="20" w:hanging="4"/>
        <w:spacing w:after="0" w:line="253" w:lineRule="auto"/>
        <w:tabs>
          <w:tab w:leader="none" w:pos="289"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hereinafter collectively referred to as the “Delivery Condition”). If Sublandlord has not caused the Delivery Condition to have been satisfied on or before January 15, 2018, then for each day thereafter until Sublandlord has caused the Delivery Condition to be satisfied, Subtenant shall receive a credit equal to the amount of one day’s Base Rent, which credit shall be applicable against Base Rent from and after the Rent Commencement Date, and if Sublandlord has not caused the Delivery Condition to have been satisfied on or before February 16, 2018, Subtenant may by written notice to Sublandlord terminate this Sublease.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711" w:name="page712"/>
    <w:bookmarkEnd w:id="711"/>
    <w:p>
      <w:pPr>
        <w:ind w:right="180" w:firstLine="436"/>
        <w:spacing w:after="0" w:line="286" w:lineRule="auto"/>
        <w:tabs>
          <w:tab w:leader="none" w:pos="695"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DEMISED PREMISES OR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approximately Seven Thousand Five Hundred Thirty-One (7,531) rentable square foot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area of the Building known as Suite 510, as more particularly described in the Prime Lease.</w:t>
      </w:r>
    </w:p>
    <w:p>
      <w:pPr>
        <w:spacing w:after="0" w:line="15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June 30, 2024.</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calculated and payable as follows: Initially, Five Hundred Seventy-Two Thousand Three Hundred Fifty-Six Dollars</w:t>
      </w:r>
    </w:p>
    <w:p>
      <w:pPr>
        <w:spacing w:after="0" w:line="3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($572,356.00) per year, or Forty-Seven Thousand Six Hundred Ninety-Six Dollars and Thirty-Three Cents ($47,696.33) per month. Base rent will increase by Nine Thousand Four Hundred Thirteen Dollars and Seventy-Five Cents ($9,413.75) on each anniversary of the Rent Commencement Date.</w:t>
      </w:r>
    </w:p>
    <w:p>
      <w:pPr>
        <w:spacing w:after="0" w:line="153" w:lineRule="exact"/>
        <w:rPr>
          <w:sz w:val="20"/>
          <w:szCs w:val="20"/>
          <w:color w:val="auto"/>
        </w:rPr>
      </w:pPr>
    </w:p>
    <w:p>
      <w:pPr>
        <w:ind w:left="700" w:hanging="264"/>
        <w:spacing w:after="0"/>
        <w:tabs>
          <w:tab w:leader="none" w:pos="70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PERMITTED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office uses as permitted under the Prime Lease.</w:t>
      </w:r>
    </w:p>
    <w:p>
      <w:pPr>
        <w:spacing w:after="0" w:line="225" w:lineRule="exact"/>
        <w:rPr>
          <w:rFonts w:ascii="Times New Roman" w:cs="Times New Roman" w:eastAsia="Times New Roman" w:hAnsi="Times New Roman"/>
          <w:sz w:val="18"/>
          <w:szCs w:val="18"/>
          <w:color w:val="auto"/>
        </w:rPr>
      </w:pPr>
    </w:p>
    <w:p>
      <w:pPr>
        <w:ind w:right="480" w:firstLine="436"/>
        <w:spacing w:after="0" w:line="286" w:lineRule="auto"/>
        <w:tabs>
          <w:tab w:leader="none" w:pos="695"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PRIME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RREEF America REIT II Corp. PPPT, a Maryland corporation, the owner of the Building and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under the Prime Lease.</w:t>
      </w:r>
    </w:p>
    <w:p>
      <w:pPr>
        <w:spacing w:after="0" w:line="154" w:lineRule="exact"/>
        <w:rPr>
          <w:rFonts w:ascii="Times New Roman" w:cs="Times New Roman" w:eastAsia="Times New Roman" w:hAnsi="Times New Roman"/>
          <w:sz w:val="18"/>
          <w:szCs w:val="18"/>
          <w:color w:val="auto"/>
        </w:rPr>
      </w:pPr>
    </w:p>
    <w:p>
      <w:pPr>
        <w:ind w:right="220" w:firstLine="436"/>
        <w:spacing w:after="0" w:line="268" w:lineRule="auto"/>
        <w:tabs>
          <w:tab w:leader="none" w:pos="655"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PRIME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certain Office Lease dated as of July 18, 2016 (the “Original Prime Lease”), as amended by that certain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Lease dated January 24, 2017 (the “First Amendment to Prime Lease”), between the Prime Landlord, as landlord, and Sublandlord, as tenant, with respect to the Premises.</w:t>
      </w:r>
    </w:p>
    <w:p>
      <w:pPr>
        <w:spacing w:after="0" w:line="170"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 COMMENCEMENT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date that is thirty (30) days after the Commencement Date of this Sublease.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One Hundred Eighty-Eight Thousand Dollars ($188,000.00), subject to reduction as provided in Section 14.</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period from the Commencement Date until the Expiration Date.</w:t>
      </w:r>
    </w:p>
    <w:p>
      <w:pPr>
        <w:spacing w:after="0" w:line="229"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covenants herein contained, and upon the terms and conditions herein set forth, Sublandlord and Subtenant, intending to be legally bound, agree as follows:</w:t>
      </w:r>
    </w:p>
    <w:p>
      <w:pPr>
        <w:spacing w:after="0" w:line="50" w:lineRule="exact"/>
        <w:rPr>
          <w:sz w:val="20"/>
          <w:szCs w:val="20"/>
          <w:color w:val="auto"/>
        </w:rPr>
      </w:pPr>
    </w:p>
    <w:p>
      <w:pPr>
        <w:ind w:firstLine="436"/>
        <w:spacing w:after="0" w:line="252" w:lineRule="auto"/>
        <w:tabs>
          <w:tab w:leader="none" w:pos="62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Premises. </w:t>
      </w:r>
      <w:r>
        <w:rPr>
          <w:rFonts w:ascii="Times New Roman" w:cs="Times New Roman" w:eastAsia="Times New Roman" w:hAnsi="Times New Roman"/>
          <w:sz w:val="18"/>
          <w:szCs w:val="18"/>
          <w:color w:val="auto"/>
        </w:rPr>
        <w:t>Sublandlord hereby demises and leases the Premises to Subtenant, and Subtenant hereby leases and takes the Premises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Sublandlord, for the Term and upon the terms, covenants, conditions, and provisions set forth in this Sublease, including the Preamble. Subtenant understands, agrees and acknowledges that the estate of the Sublandlord in the Premises is that of a tenant under the Prime Lease. Subtenant hereby also acknowledges receipt of a copy of the Prime Lease. It is a requirement of this Sublease that Prime Landlord consents to the terms and conditions hereof pursuant to Article 9 of the Prime Lease. Promptly upon the mutual execution and delivery of this Sublease, Sublandlord shall request such consent in accordance with the terms of the Prime Lease and thereafter diligently and in good faith pursue such consent. If the Prime Landlord has not consented to this Sublease within forty-five (45) days after said request by Sublandlord, either party may by written notice to the other party terminate this Sublease. This Sublease is subject and subordinate to the terms and conditions of the Prime Lease. Subtenant covenants and agrees to observe all of the terms and covenants under the Prime Lease which apply to the Building and to the Premises, and except as otherwise provided herein Subtenant shall perform and comply with, and Subtenant shall be subject to, all of the covenants, conditions and agreements undertaken by or required of the tenant under the Prime Lease with respect to the Premises and the Prime Lease. Subtenant acknowledges and agrees that Prime Landlord is responsible for providing all services to the Premises, including but not limited to electricity, heat, light, and plumbing services, and that, except to the extent caused by the gross negligence or willful misconduct of the Sublandlord, Sublandlord shall not be liable for the failure of those services, nor shall Subtenant be entitled to any abatement or reduction in rent by reason thereof nor shall the same give rise to a claim in Subtenant’s favor that such absence of building services constitutes actual or constructive, total or partial eviction or renders the Premises untenantable, unless and to the extent Sublandlord is entitled to an abatement or reduction in rent or to such a claim under the Prime Lease due to the failure of such services. Sublandlord agrees however that in the event the Prime Landlord shall fail to provide services or perform the obligations to be provided or performed by it pursuant to the terms of the Prime Lease, Sublandlord shall, upon written notice from Subtenant and at Subtenant’s cost, use commercially reasonable efforts to enforce the Prime Landlord’s obligations under the Prime Lease, exercise its remedies under the Prime Lease, and to otherwise reasonably cooperate with Subtenant to enforce Prime Landlord’s obligations under the Prime Lease.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712" w:name="page713"/>
    <w:bookmarkEnd w:id="712"/>
    <w:p>
      <w:pPr>
        <w:ind w:right="140" w:firstLine="436"/>
        <w:spacing w:after="0" w:line="256" w:lineRule="auto"/>
        <w:tabs>
          <w:tab w:leader="none" w:pos="62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Condition of Premises. </w:t>
      </w:r>
      <w:r>
        <w:rPr>
          <w:rFonts w:ascii="Times New Roman" w:cs="Times New Roman" w:eastAsia="Times New Roman" w:hAnsi="Times New Roman"/>
          <w:sz w:val="18"/>
          <w:szCs w:val="18"/>
          <w:color w:val="auto"/>
        </w:rPr>
        <w:t>Sublandlord shall deliver the Premises to Subtenant in its “AS IS” condition, except that (i) Sublandlord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or cause to be completed, the work set forth on Exhibit A attached hereto (the “Sublandlord’s Work”), and shall deliver the Premises vacant and in broom-clean condition, and (ii) Sublandlord represents and warrants that to Sublandlord’s knowledge the Premises are in compliance with all applicable ordinances, rules and regulations, including but not limited to the Americans with Disabilities Act and, all building systems serving the Premises are in good working condition. Notwithstanding anything to the contrary in this Sublease, upon the expiration of the Term of this Sublease or early termination of this Sublease, Subtenant shall not be obligated to remove any alterations, installations, additions or improvements in or about the Premises made prior to the Commencement Date (unless otherwise agreed in writing by and between the Sublandlord and Subtenant).</w:t>
      </w:r>
    </w:p>
    <w:p>
      <w:pPr>
        <w:spacing w:after="0" w:line="182" w:lineRule="exact"/>
        <w:rPr>
          <w:rFonts w:ascii="Times New Roman" w:cs="Times New Roman" w:eastAsia="Times New Roman" w:hAnsi="Times New Roman"/>
          <w:sz w:val="18"/>
          <w:szCs w:val="18"/>
          <w:color w:val="auto"/>
        </w:rPr>
      </w:pPr>
    </w:p>
    <w:p>
      <w:pPr>
        <w:ind w:firstLine="436"/>
        <w:spacing w:after="0" w:line="262" w:lineRule="auto"/>
        <w:tabs>
          <w:tab w:leader="none" w:pos="62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of this Sublease shall commence on the Commencement Date and, unless sooner terminated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Sublease, shall continue until the Expiration Date. Subtenant shall be allowed to occupy the Demised Premises from the date Prime Landlord consents to this Sublease through the Commencement Date for purposes of installing any furniture and equipment, subject to all terms and conditions of this Sublease excepting only the obligation to pay Base Rent during such early occupancy.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13" w:name="page714"/>
    <w:bookmarkEnd w:id="713"/>
    <w:p>
      <w:pPr>
        <w:ind w:left="-40" w:right="120" w:firstLine="436"/>
        <w:spacing w:after="0" w:line="262" w:lineRule="auto"/>
        <w:tabs>
          <w:tab w:leader="none" w:pos="5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Rent. </w:t>
      </w:r>
      <w:r>
        <w:rPr>
          <w:rFonts w:ascii="Times New Roman" w:cs="Times New Roman" w:eastAsia="Times New Roman" w:hAnsi="Times New Roman"/>
          <w:sz w:val="18"/>
          <w:szCs w:val="18"/>
          <w:color w:val="auto"/>
        </w:rPr>
        <w:t>Subtenant shall pay Sublandlord the Base Rent in equal monthly installments, on or before the first day of each month beginning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 Commencement Date. Base Rent shall be prorated based on the number of days in a partial month. The Base Rent payable under this Lease is a gross rent, and Subtenant shall not be responsible for the additional rent or rent adjustments with respect to Expenses, Taxes and Insurance Costs as set forth in Article 4 of the Prime Lease.</w:t>
      </w:r>
    </w:p>
    <w:p>
      <w:pPr>
        <w:spacing w:after="0" w:line="176"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Subordination to and Incorporation of Prime Lease.</w:t>
      </w:r>
    </w:p>
    <w:p>
      <w:pPr>
        <w:spacing w:after="0" w:line="229" w:lineRule="exact"/>
        <w:rPr>
          <w:sz w:val="20"/>
          <w:szCs w:val="20"/>
          <w:color w:val="auto"/>
        </w:rPr>
      </w:pPr>
    </w:p>
    <w:p>
      <w:pPr>
        <w:ind w:left="-40" w:firstLine="436"/>
        <w:spacing w:after="0" w:line="258" w:lineRule="auto"/>
        <w:tabs>
          <w:tab w:leader="none" w:pos="64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Sublease and all of Subtenant’s rights hereunder are and shall remain in all respects subject and subordinate to (i) all of the conditions and provisions of the Prime Lease, a true and complete copy of which (except for the rent and certain other provisions which have been redacted) has been delivered to and reviewed by Subtenant, and is attached hereto as Exhibit B; and (ii) any and all matters to which the tenancy of Sublandlord, as tenant under the Prime Lease, is or may be subordinate. The foregoing provisions shall be self-operative and no further instrument of subordination shall be necessary to effectuate such provisions.</w:t>
      </w:r>
    </w:p>
    <w:p>
      <w:pPr>
        <w:spacing w:after="0" w:line="183" w:lineRule="exact"/>
        <w:rPr>
          <w:rFonts w:ascii="Times New Roman" w:cs="Times New Roman" w:eastAsia="Times New Roman" w:hAnsi="Times New Roman"/>
          <w:sz w:val="18"/>
          <w:szCs w:val="18"/>
          <w:color w:val="auto"/>
        </w:rPr>
      </w:pPr>
    </w:p>
    <w:p>
      <w:pPr>
        <w:ind w:left="-40" w:right="320" w:firstLine="436"/>
        <w:spacing w:after="0" w:line="266" w:lineRule="auto"/>
        <w:tabs>
          <w:tab w:leader="none" w:pos="65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Sublease, Subtenant assumes and shall keep, observe and perform every term, provision, covenant and condition on Sublandlord’s part pertaining to the Premises which is required to be kept, observed and performed pursuant to the Prime Lease and which arises or accrues during the Term.</w:t>
      </w:r>
    </w:p>
    <w:p>
      <w:pPr>
        <w:spacing w:after="0" w:line="175" w:lineRule="exact"/>
        <w:rPr>
          <w:rFonts w:ascii="Times New Roman" w:cs="Times New Roman" w:eastAsia="Times New Roman" w:hAnsi="Times New Roman"/>
          <w:sz w:val="18"/>
          <w:szCs w:val="18"/>
          <w:color w:val="auto"/>
        </w:rPr>
      </w:pPr>
    </w:p>
    <w:p>
      <w:pPr>
        <w:ind w:left="-40" w:right="140" w:firstLine="436"/>
        <w:spacing w:after="0" w:line="256" w:lineRule="auto"/>
        <w:tabs>
          <w:tab w:leader="none" w:pos="64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Sublease or to the extent directly contradicted by the provisions of this Sublease, the terms, provisions, and conditions contained in the Prime Lease are incorporated in this Sublease by reference, and are made a part hereof as if herein set forth at length, Sublease being substituted for “Lease” under the Prime Lease, Sublandlord being substituted for “Landlord” under the Prime Lease, and Subtenant being substituted for “Tenant” under the Prime Lease. Where the terms and provisions of the Prime Lease are inconsistent with the terms of this Sublease, the terms of this Sublease shall control. In addition, the following terms shall be substituted for the definitions provided in the Prime Lease:</w:t>
      </w:r>
    </w:p>
    <w:p>
      <w:pPr>
        <w:spacing w:after="0" w:line="79"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shall have the meaning set forth in this Sublease.</w:t>
      </w:r>
    </w:p>
    <w:p>
      <w:pPr>
        <w:spacing w:after="0" w:line="225" w:lineRule="exact"/>
        <w:rPr>
          <w:rFonts w:ascii="Times New Roman" w:cs="Times New Roman" w:eastAsia="Times New Roman" w:hAnsi="Times New Roman"/>
          <w:sz w:val="18"/>
          <w:szCs w:val="18"/>
          <w:color w:val="auto"/>
        </w:rPr>
      </w:pPr>
    </w:p>
    <w:p>
      <w:pPr>
        <w:ind w:left="1220" w:hanging="273"/>
        <w:spacing w:after="0"/>
        <w:tabs>
          <w:tab w:leader="none" w:pos="122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shall have the meaning given to Broker in this Sublease</w:t>
      </w:r>
    </w:p>
    <w:p>
      <w:pPr>
        <w:spacing w:after="0" w:line="225" w:lineRule="exact"/>
        <w:rPr>
          <w:rFonts w:ascii="Times New Roman" w:cs="Times New Roman" w:eastAsia="Times New Roman" w:hAnsi="Times New Roman"/>
          <w:sz w:val="18"/>
          <w:szCs w:val="18"/>
          <w:color w:val="auto"/>
        </w:rPr>
      </w:pPr>
    </w:p>
    <w:p>
      <w:pPr>
        <w:ind w:left="1260" w:hanging="313"/>
        <w:spacing w:after="0"/>
        <w:tabs>
          <w:tab w:leader="none" w:pos="126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Date” shall have the meaning set forth in this Sublease.</w:t>
      </w:r>
    </w:p>
    <w:p>
      <w:pPr>
        <w:spacing w:after="0" w:line="225" w:lineRule="exact"/>
        <w:rPr>
          <w:rFonts w:ascii="Times New Roman" w:cs="Times New Roman" w:eastAsia="Times New Roman" w:hAnsi="Times New Roman"/>
          <w:sz w:val="18"/>
          <w:szCs w:val="18"/>
          <w:color w:val="auto"/>
        </w:rPr>
      </w:pPr>
    </w:p>
    <w:p>
      <w:pPr>
        <w:jc w:val="both"/>
        <w:ind w:left="-40" w:right="240" w:firstLine="987"/>
        <w:spacing w:after="0" w:line="312" w:lineRule="auto"/>
        <w:tabs>
          <w:tab w:leader="none" w:pos="1256" w:val="left"/>
        </w:tabs>
        <w:numPr>
          <w:ilvl w:val="1"/>
          <w:numId w:val="6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 of Default” shall mean a breach by Subtenant of any obligation of Subtenant under this Sublease, which breach is not cured within any applicable notice and cure period specified in Article 18 of the Original Prime Lease, as such Article 18 is incorporated into this Sublease.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66" w:right="479" w:bottom="1440" w:gutter="0" w:footer="0" w:header="0"/>
        </w:sectPr>
      </w:pPr>
    </w:p>
    <w:bookmarkStart w:id="714" w:name="page715"/>
    <w:bookmarkEnd w:id="714"/>
    <w:p>
      <w:pPr>
        <w:ind w:left="1240" w:hanging="253"/>
        <w:spacing w:after="0"/>
        <w:tabs>
          <w:tab w:leader="none" w:pos="124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“Expiration Date” shall have the meaning set forth in this Sublease</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shall have the meaning set forth in this Sublease.</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Deposit” shall have the meaning set forth in this Sublease.</w:t>
      </w:r>
    </w:p>
    <w:p>
      <w:pPr>
        <w:spacing w:after="0" w:line="225"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shall have the meaning set forth in this Sublease.</w:t>
      </w:r>
    </w:p>
    <w:p>
      <w:pPr>
        <w:spacing w:after="0" w:line="22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following provisions of the Prime Lease shall not be incorporated herein by reference and are expressly excluded from the terms of this Sublease: Article 4, the first sentence of Article 42, and Exhibit B of the Original Prime Lease and Section 2 of the First Amendment to Prime Lease, provided, however, that notwithstanding such non-incorporation, this Sublease remains subject and subordinate to all of the foregoing provisions as provided in Section 5(a) above.</w:t>
      </w:r>
    </w:p>
    <w:p>
      <w:pPr>
        <w:spacing w:after="0" w:line="180" w:lineRule="exact"/>
        <w:rPr>
          <w:sz w:val="20"/>
          <w:szCs w:val="20"/>
          <w:color w:val="auto"/>
        </w:rPr>
      </w:pPr>
    </w:p>
    <w:p>
      <w:pPr>
        <w:ind w:right="120" w:firstLine="436"/>
        <w:spacing w:after="0" w:line="256" w:lineRule="auto"/>
        <w:tabs>
          <w:tab w:leader="none" w:pos="69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it is otherwise provided in this Sublease and subject to all applicable grace periods, Sublandlord shall have (i) the same rights and remedies and obligations (including but not limited to Prime Landlord’s obligation to mitigate damages) with respect to a breach of this Sublease by Subtenant as the Prime Landlord has with respect to a breach of the Prime Lease, as if the same were more fully set forth at length herein, and (ii) with respect to Subtenant, this Sublease and the Premises, all of the rights, powers, privileges and immunities as are had by the Prime Landlord under the Prime Lease. Sublandlord shall not be responsible for any breach of the Prime Lease by the Prime Landlord or any non-performance or non-compliance with any provision thereof by the Prime Landlord.</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Prime Lease is terminated for any reason whatsoever, whether by operation of law or otherwise, except through the default of Sublandlord under the Prime Lease (in which case Sublandlord shall be liable to Subtenant for damage suffered as a result of such termination), Sublandlord shall not be liable in any manner whatsoever for such termination. Each party hereby waives all claims to punitive, indirect or consequential damages.</w:t>
      </w:r>
    </w:p>
    <w:p>
      <w:pPr>
        <w:spacing w:after="0" w:line="179" w:lineRule="exact"/>
        <w:rPr>
          <w:rFonts w:ascii="Times New Roman" w:cs="Times New Roman" w:eastAsia="Times New Roman" w:hAnsi="Times New Roman"/>
          <w:sz w:val="18"/>
          <w:szCs w:val="18"/>
          <w:color w:val="auto"/>
        </w:rPr>
      </w:pPr>
    </w:p>
    <w:p>
      <w:pPr>
        <w:ind w:right="100" w:firstLine="436"/>
        <w:spacing w:after="0" w:line="266" w:lineRule="auto"/>
        <w:tabs>
          <w:tab w:leader="none" w:pos="66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herein, Sublandlord shall not be required to take any actions, nor shall Sublandlord assume any obligation or liability (including, without limitation, the maintenance of any insurance), which the Prime Lease contemplates will be taken or assumed by Prime Landlord.</w:t>
      </w:r>
    </w:p>
    <w:p>
      <w:pPr>
        <w:spacing w:after="0" w:line="175"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 shall not be required to indemnify Subtenant pursuant to any provision of the Prime Lease; rather the indemnities set forth in this Sublease will control. In all provisions of the Prime Lease requiring Sublandlord (in its capacity as tenant under the Prime Lease) to indemnify Prime Landlord (in its capacity as landlord under the Prime Lease), Subtenant shall be required to indemnify both Prime Landlord and Sublandlord to the extent the indemnification obligation arises out of the use and occupancy of the Subleased Premises by Subtenant.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15" w:name="page716"/>
    <w:bookmarkEnd w:id="715"/>
    <w:p>
      <w:pPr>
        <w:jc w:val="both"/>
        <w:ind w:right="100" w:firstLine="436"/>
        <w:spacing w:after="0" w:line="261" w:lineRule="auto"/>
        <w:tabs>
          <w:tab w:leader="none" w:pos="695"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to the extent caused by the negligence or willful misconduct of the Sublandlord, Sublandlord shall have no obligation to Subtenant to restore or reconstruct any portion of the Premises after any destruction and/or taking by eminent domain, it being understood that such restoration and reconstruction obligations shall be held solely by the Prime Landlord as set forth in the Prime Lease. Notwithstanding the foregoing, any remedies with respect to any such destruction and/or or taking by eminent domain for Sublandlord’s benefit shall be applicable to Subtenant.</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 represents and warrants to Subtenant that (i) Sublandlord has not received any outstanding written notice of default from Prime Landlord with respect to any Sublandlord’s obligations under the Prime Lease and Sublandlord has no knowledge of any fact or circumstance which, with the giving of notice, passage of time or both would constitute an event of default under the Prime Lease, (ii) the Prime Lease is in full force and effect, (iii) attached hereto as Exhibit B is a true and complete copy of the Prime Lease (as redacted), (iv) Sublandlord is authorized to enter into this Sublease, (v) Sublandlord holds 100% of the tenant’s interest under the Prime Lease as of the date of this Sublease and as of the date of this Sublease Sublandlord’s interest in the Premises is free and clear of any liens, claims, mortgages, charges or encumbrances, subleases and occupancies, other than the Prime Lease and this Sublease, (vi) Sublandlord has no knowledge of any Prime Landlord default under the Prime Lease, and (vii) Sublandlord agrees that it shall not amend, modify, terminate or otherwise alter the Prime Lease in any manner that adversely affects Subtenant’s rights or increases Subtenant’s obligations under this Sublease without Subtenant’s prior written consent, which consent may be granted or withheld in Subtenant’s sole and absolute discretion.</w:t>
      </w:r>
    </w:p>
    <w:p>
      <w:pPr>
        <w:spacing w:after="0" w:line="194" w:lineRule="exact"/>
        <w:rPr>
          <w:rFonts w:ascii="Times New Roman" w:cs="Times New Roman" w:eastAsia="Times New Roman" w:hAnsi="Times New Roman"/>
          <w:sz w:val="18"/>
          <w:szCs w:val="18"/>
          <w:color w:val="auto"/>
        </w:rPr>
      </w:pPr>
    </w:p>
    <w:p>
      <w:pPr>
        <w:ind w:right="100" w:firstLine="436"/>
        <w:spacing w:after="0" w:line="289" w:lineRule="auto"/>
        <w:tabs>
          <w:tab w:leader="none" w:pos="655" w:val="left"/>
        </w:tabs>
        <w:numPr>
          <w:ilvl w:val="0"/>
          <w:numId w:val="6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Sublandlord covenants that as long as Subtenant shall pay the Base Rent due hereunder and perform all of the terms, covenants and conditions of this Sublease on its part to be performed and observed, Subtenant shall peaceably and quietly have, hold and enjoy the Premises during the Term of the Sublease without molestation or hindrance by Sublandlord, subject to the terms, provisions and conditions of the Prime Lease and this Sublease.</w:t>
      </w:r>
    </w:p>
    <w:p>
      <w:pPr>
        <w:spacing w:after="0" w:line="157" w:lineRule="exact"/>
        <w:rPr>
          <w:rFonts w:ascii="Times New Roman" w:cs="Times New Roman" w:eastAsia="Times New Roman" w:hAnsi="Times New Roman"/>
          <w:sz w:val="17"/>
          <w:szCs w:val="17"/>
          <w:color w:val="auto"/>
        </w:rPr>
      </w:pPr>
    </w:p>
    <w:p>
      <w:pPr>
        <w:ind w:right="340" w:firstLine="436"/>
        <w:spacing w:after="0" w:line="282" w:lineRule="auto"/>
        <w:tabs>
          <w:tab w:leader="none" w:pos="695"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 shall not assign or transfer Sublandlord’s interest under this Sublease at any time during the Term of this Sublease without the prior written consent of Subtenant, such consent not to be unreasonably withheld, conditioned or delayed.</w:t>
      </w:r>
    </w:p>
    <w:p>
      <w:pPr>
        <w:spacing w:after="0" w:line="158" w:lineRule="exact"/>
        <w:rPr>
          <w:sz w:val="20"/>
          <w:szCs w:val="20"/>
          <w:color w:val="auto"/>
        </w:rPr>
      </w:pPr>
    </w:p>
    <w:p>
      <w:pPr>
        <w:ind w:right="200" w:firstLine="436"/>
        <w:spacing w:after="0" w:line="259" w:lineRule="auto"/>
        <w:tabs>
          <w:tab w:leader="none" w:pos="62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Utilities, Communications and Security. </w:t>
      </w:r>
      <w:r>
        <w:rPr>
          <w:rFonts w:ascii="Times New Roman" w:cs="Times New Roman" w:eastAsia="Times New Roman" w:hAnsi="Times New Roman"/>
          <w:sz w:val="18"/>
          <w:szCs w:val="18"/>
          <w:color w:val="auto"/>
        </w:rPr>
        <w:t>The Premises are separately metered for electricity service. Subtenant shall pay for all electricity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Premises, including lights and plugs and also including electric costs associated with running the supplemental cooling unit in the telephone/data room, if Subtenant elects to run such unit. Subtenant shall also pay for all water charges incurred for water service to the shower room, based on the separate meter for such water service. Subtenant shall be responsible for its communications, information technology, security and alarm services.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716" w:name="page717"/>
    <w:bookmarkEnd w:id="716"/>
    <w:p>
      <w:pPr>
        <w:ind w:left="-80" w:firstLine="436"/>
        <w:spacing w:after="0" w:line="256" w:lineRule="auto"/>
        <w:tabs>
          <w:tab w:leader="none" w:pos="54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Alterations. </w:t>
      </w:r>
      <w:r>
        <w:rPr>
          <w:rFonts w:ascii="Times New Roman" w:cs="Times New Roman" w:eastAsia="Times New Roman" w:hAnsi="Times New Roman"/>
          <w:sz w:val="18"/>
          <w:szCs w:val="18"/>
          <w:color w:val="auto"/>
        </w:rPr>
        <w:t>Subtenant may make alterations to the Premises in accordance with the provisions of the Prime Lease and subject to obtaining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Prime Landlord and Sublandlord, which consent (as to Sublandlord) will not be unreasonably withheld, conditioned or delayed. Sublandlord shall not charge Subtenant any supervisory fee in connection with any improvements or alterations to be made by Subtenant. Upon the expiration or termination of this Sublease, Subtenant will not be responsible for removing any improvements currently installed in the Premises or Sublandlord’s Work, and Subtenant will only be responsible for removing or restoring any improvements or alterations to the Premises made by Subtenant as long as Sublandlord or Prime Landlord advised Subtenant of its obligation to remove or restore such improvements or alterations at the time Sublandlord or Prime Landlord granted its consent to the making of such improvements or alterations.</w:t>
      </w:r>
    </w:p>
    <w:p>
      <w:pPr>
        <w:spacing w:after="0" w:line="182" w:lineRule="exact"/>
        <w:rPr>
          <w:rFonts w:ascii="Times New Roman" w:cs="Times New Roman" w:eastAsia="Times New Roman" w:hAnsi="Times New Roman"/>
          <w:sz w:val="18"/>
          <w:szCs w:val="18"/>
          <w:color w:val="auto"/>
        </w:rPr>
      </w:pPr>
    </w:p>
    <w:p>
      <w:pPr>
        <w:jc w:val="both"/>
        <w:ind w:left="-80" w:right="60" w:firstLine="436"/>
        <w:spacing w:after="0" w:line="262" w:lineRule="auto"/>
        <w:tabs>
          <w:tab w:leader="none" w:pos="54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Signage. </w:t>
      </w:r>
      <w:r>
        <w:rPr>
          <w:rFonts w:ascii="Times New Roman" w:cs="Times New Roman" w:eastAsia="Times New Roman" w:hAnsi="Times New Roman"/>
          <w:sz w:val="18"/>
          <w:szCs w:val="18"/>
          <w:color w:val="auto"/>
        </w:rPr>
        <w:t>Subtenant shall have the right to signage allocated to Sublandlord under the Prime Lease. Without limiting the foregoing,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the Prime Lease and any required consent of the Prime Landlord, Subtenant shall have the right to install, at Subtenant’s cost, signage on tenant directories at the Building and at the entrance to the Premises, and Sublandlord shall use its reasonable efforts to assist with submitting any such Subtenant request to Prime Landlord and obtaining such consent.</w:t>
      </w:r>
    </w:p>
    <w:p>
      <w:pPr>
        <w:spacing w:after="0" w:line="176" w:lineRule="exact"/>
        <w:rPr>
          <w:rFonts w:ascii="Times New Roman" w:cs="Times New Roman" w:eastAsia="Times New Roman" w:hAnsi="Times New Roman"/>
          <w:sz w:val="18"/>
          <w:szCs w:val="18"/>
          <w:color w:val="auto"/>
        </w:rPr>
      </w:pPr>
    </w:p>
    <w:p>
      <w:pPr>
        <w:ind w:left="-80" w:firstLine="436"/>
        <w:spacing w:after="0" w:line="291" w:lineRule="auto"/>
        <w:tabs>
          <w:tab w:leader="none" w:pos="540" w:val="left"/>
        </w:tabs>
        <w:numPr>
          <w:ilvl w:val="0"/>
          <w:numId w:val="6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Parking. </w:t>
      </w:r>
      <w:r>
        <w:rPr>
          <w:rFonts w:ascii="Times New Roman" w:cs="Times New Roman" w:eastAsia="Times New Roman" w:hAnsi="Times New Roman"/>
          <w:sz w:val="17"/>
          <w:szCs w:val="17"/>
          <w:color w:val="auto"/>
        </w:rPr>
        <w:t>Subtenant shall have the right to all of the parking spaces allocated to Sublandlord under the Prime Lease. Without limiting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subject to the terms of the Prime Lease, Subtenant shall be obligated to lease its pro rata share of unreserved parking spaces for the Building, at a rate of .9 spaces per 1,000 rentable square feet (8 parking spaces based on 7,531 rentable square feet) during the Term at then-current rates.</w:t>
      </w:r>
    </w:p>
    <w:p>
      <w:pPr>
        <w:spacing w:after="0" w:line="152" w:lineRule="exact"/>
        <w:rPr>
          <w:rFonts w:ascii="Times New Roman" w:cs="Times New Roman" w:eastAsia="Times New Roman" w:hAnsi="Times New Roman"/>
          <w:sz w:val="17"/>
          <w:szCs w:val="17"/>
          <w:color w:val="auto"/>
        </w:rPr>
      </w:pPr>
    </w:p>
    <w:p>
      <w:pPr>
        <w:ind w:left="-80" w:firstLine="436"/>
        <w:spacing w:after="0" w:line="254" w:lineRule="auto"/>
        <w:tabs>
          <w:tab w:leader="none" w:pos="63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of Liability and Indemnity. </w:t>
      </w:r>
      <w:r>
        <w:rPr>
          <w:rFonts w:ascii="Times New Roman" w:cs="Times New Roman" w:eastAsia="Times New Roman" w:hAnsi="Times New Roman"/>
          <w:sz w:val="18"/>
          <w:szCs w:val="18"/>
          <w:color w:val="auto"/>
        </w:rPr>
        <w:t>Notwithstanding any provision of the Prime Lease to the contrary, but except to the extent caused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gross negligence or willful misconduct of the Sublandlord, Sublandlord shall not be liable to Subtenant, or any of Subtenant’s agents, employees, servants or invitees, for (i) any damage to persons or property due to the condition or design or any defect in the Building or the Premises during the Term of this Sublease, or (ii) due to any work (specifically excluding Sublandlord’s Work, however) done or being done in the Premises or in mechanical systems in the Premises or the Building which may exist or subsequently occur. Except to the extent caused by the negligence or willful misconduct of Sublandlord, Subtenant shall indemnify and hold harmless, Sublandlord and its agents, employees, attorneys and contractors from and against all suits, claims, actions, liability, loss, cost and expense (including reasonable attorneys’ fees and costs of litigation) of every kind by reason of any breach, violation or nonperformance of any term or condition on the part of Subtenant hereunder, or on account of injuries to persons or damage to property to the extent any such damage or injury may be caused in whole or part, by any act or omission, whether negligent, willful, or otherwise, of Subtenant or any of its agents, servants, employees, contractors, patrons, or invitees entering upon the Premises, or in any other way arising from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520" w:top="266" w:right="539" w:bottom="1440" w:gutter="0" w:footer="0" w:header="0"/>
        </w:sectPr>
      </w:pPr>
    </w:p>
    <w:bookmarkStart w:id="717" w:name="page718"/>
    <w:bookmarkEnd w:id="7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 of the occupancy or use of the Premises by Subtenant, its agents, employees and invitees, including (without limitation) any liability of Sublandlord to the Prime Landlord arising out of or caused by Subtenant’s breach of this Sublease. Except to the extent caused by the negligence or willful misconduct of Subtenant, Sublandlord shall indemnify and hold Subtenant harmless from and against any and all suits, claims, actions, liabilities, losses, damages, costs and expenses (including reasonable attorneys’ fees and costs of litigation) of every kind to the extent arising out of the gross negligence or willful misconduct of Sublandlord and Sublandlord’s agents, employees, attorneys and contractors.</w:t>
      </w:r>
    </w:p>
    <w:p>
      <w:pPr>
        <w:spacing w:after="0" w:line="179" w:lineRule="exact"/>
        <w:rPr>
          <w:sz w:val="20"/>
          <w:szCs w:val="20"/>
          <w:color w:val="auto"/>
        </w:rPr>
      </w:pPr>
    </w:p>
    <w:p>
      <w:pPr>
        <w:ind w:right="100" w:firstLine="436"/>
        <w:spacing w:after="0" w:line="257" w:lineRule="auto"/>
        <w:tabs>
          <w:tab w:leader="none" w:pos="703"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 of the Premises. </w:t>
      </w:r>
      <w:r>
        <w:rPr>
          <w:rFonts w:ascii="Times New Roman" w:cs="Times New Roman" w:eastAsia="Times New Roman" w:hAnsi="Times New Roman"/>
          <w:sz w:val="18"/>
          <w:szCs w:val="18"/>
          <w:color w:val="auto"/>
        </w:rPr>
        <w:t>SUBTENANT SPECIFICALLY ACKNOWLEDGES AND AGREES THAT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HEREIN, (i) SUBTENANT SHALL SUBLEASE THE PREMISES FROM SUBLANDLORD “AS IS, WHERE IS” AND WITH ALL FAULTS AND LATENT PATENT DEFECTS, IF ANY, AND (ii) SUBTENANT IS NOT RELYING ON ANY REPRESENTATIONS OR WARRANTIES OF ANY KIND WHATSOEVER, WHETHER ORAL OR WRITTEN, EXPRESS OR IMPLIED, STATUTORY OR OTHERWISE, FROM SUBLANDLORD OR ANY AGENT, REPRESENTATIVE OR EMPLOYEE OF SUBLANDLORD AS TO ANY MATTER CONCERNING THE PREMISES.</w:t>
      </w:r>
    </w:p>
    <w:p>
      <w:pPr>
        <w:spacing w:after="0" w:line="182" w:lineRule="exact"/>
        <w:rPr>
          <w:rFonts w:ascii="Times New Roman" w:cs="Times New Roman" w:eastAsia="Times New Roman" w:hAnsi="Times New Roman"/>
          <w:sz w:val="18"/>
          <w:szCs w:val="18"/>
          <w:color w:val="auto"/>
        </w:rPr>
      </w:pPr>
    </w:p>
    <w:p>
      <w:pPr>
        <w:ind w:right="20" w:firstLine="436"/>
        <w:spacing w:after="0" w:line="259" w:lineRule="auto"/>
        <w:tabs>
          <w:tab w:leader="none" w:pos="71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Brokers’ Commission. </w:t>
      </w:r>
      <w:r>
        <w:rPr>
          <w:rFonts w:ascii="Times New Roman" w:cs="Times New Roman" w:eastAsia="Times New Roman" w:hAnsi="Times New Roman"/>
          <w:sz w:val="18"/>
          <w:szCs w:val="18"/>
          <w:color w:val="auto"/>
        </w:rPr>
        <w:t>Sublandlord and Subtenant represent and warrant that other than the brokerage commission payable by Sublandlord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Brokers in accordance with a separate agreement, no brokerage commission or similar compensation is due to any party by reason of this Sublease. Each party hereby agrees to indemnify and hold the other party harmless from and against any and all claims, costs, damages, expenses, judgments or liability resulting from any claim for brokerage commissions or similar compensation made by any party in connection with this Sublease and arising from an act or omission of the indemnifying party.</w:t>
      </w:r>
    </w:p>
    <w:p>
      <w:pPr>
        <w:spacing w:after="0" w:line="179" w:lineRule="exact"/>
        <w:rPr>
          <w:rFonts w:ascii="Times New Roman" w:cs="Times New Roman" w:eastAsia="Times New Roman" w:hAnsi="Times New Roman"/>
          <w:sz w:val="18"/>
          <w:szCs w:val="18"/>
          <w:color w:val="auto"/>
        </w:rPr>
      </w:pPr>
    </w:p>
    <w:p>
      <w:pPr>
        <w:ind w:right="60" w:firstLine="436"/>
        <w:spacing w:after="0" w:line="268" w:lineRule="auto"/>
        <w:tabs>
          <w:tab w:leader="none" w:pos="71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demands, requests, consents, certificates, and waivers required or permitted hereunder from either party to the other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writing and sent by United States certified mail, return receipt requested, postage prepaid, or by recognized overnight courier, addressed as follows:</w:t>
      </w:r>
    </w:p>
    <w:p>
      <w:pPr>
        <w:sectPr>
          <w:pgSz w:w="11900" w:h="16838" w:orient="portrait"/>
          <w:cols w:equalWidth="0" w:num="1">
            <w:col w:w="11000"/>
          </w:cols>
          <w:pgMar w:left="440" w:top="270" w:right="459" w:bottom="1440" w:gutter="0" w:footer="0" w:header="0"/>
        </w:sectPr>
      </w:pPr>
    </w:p>
    <w:p>
      <w:pPr>
        <w:spacing w:after="0" w:line="8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If to Subtenant: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Kendall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Kristen Laguerre, CFO</w:t>
      </w:r>
    </w:p>
    <w:p>
      <w:pPr>
        <w:spacing w:after="0" w:line="110"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Langer &amp; McLaughlin,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 Boylston Street,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Cullinan leasing</w:t>
      </w:r>
    </w:p>
    <w:p>
      <w:pPr>
        <w:spacing w:after="0" w:line="139"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00"/>
          </w:cols>
          <w:pgMar w:left="440" w:top="270" w:right="459" w:bottom="1440" w:gutter="0" w:footer="0" w:header="0"/>
          <w:type w:val="continuous"/>
        </w:sectPr>
      </w:pPr>
    </w:p>
    <w:bookmarkStart w:id="718" w:name="page719"/>
    <w:bookmarkEnd w:id="718"/>
    <w:p>
      <w:pPr>
        <w:jc w:val="center"/>
        <w:ind w:left="824"/>
        <w:spacing w:after="0"/>
        <w:rPr>
          <w:sz w:val="20"/>
          <w:szCs w:val="20"/>
          <w:color w:val="auto"/>
        </w:rPr>
      </w:pPr>
      <w:r>
        <w:rPr>
          <w:rFonts w:ascii="Times New Roman" w:cs="Times New Roman" w:eastAsia="Times New Roman" w:hAnsi="Times New Roman"/>
          <w:sz w:val="17"/>
          <w:szCs w:val="17"/>
          <w:color w:val="auto"/>
        </w:rPr>
        <w:t>If to Sublandlord: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Teva Pharmaceuticals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-206375</wp:posOffset>
            </wp:positionV>
            <wp:extent cx="7149465" cy="260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Teva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1090 Horsham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Wales, PA 19454-1090</w:t>
      </w:r>
    </w:p>
    <w:p>
      <w:pPr>
        <w:spacing w:after="0" w:line="99" w:lineRule="exact"/>
        <w:rPr>
          <w:sz w:val="20"/>
          <w:szCs w:val="20"/>
          <w:color w:val="auto"/>
        </w:rPr>
      </w:pPr>
    </w:p>
    <w:p>
      <w:pPr>
        <w:sectPr>
          <w:pgSz w:w="11900" w:h="16838" w:orient="portrait"/>
          <w:cols w:equalWidth="0" w:num="2">
            <w:col w:w="3144" w:space="720"/>
            <w:col w:w="7120"/>
          </w:cols>
          <w:pgMar w:left="436" w:top="270" w:right="479" w:bottom="1440" w:gutter="0" w:footer="0" w:header="0"/>
        </w:sectPr>
      </w:pPr>
    </w:p>
    <w:p>
      <w:pPr>
        <w:ind w:left="386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Mr. Boaz Cohen, Director,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North American Facilities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99" w:lineRule="exact"/>
        <w:rPr>
          <w:sz w:val="20"/>
          <w:szCs w:val="20"/>
          <w:color w:val="auto"/>
        </w:rPr>
      </w:pPr>
    </w:p>
    <w:p>
      <w:pPr>
        <w:sectPr>
          <w:pgSz w:w="11900" w:h="16838" w:orient="portrait"/>
          <w:cols w:equalWidth="0" w:num="2">
            <w:col w:w="4584" w:space="120"/>
            <w:col w:w="6280"/>
          </w:cols>
          <w:pgMar w:left="436" w:top="270" w:right="479" w:bottom="1440" w:gutter="0" w:footer="0" w:header="0"/>
          <w:type w:val="continuous"/>
        </w:sectPr>
      </w:pPr>
    </w:p>
    <w:p>
      <w:pPr>
        <w:jc w:val="center"/>
        <w:ind w:left="644"/>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Teva North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 Privet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Horsham, PA 19044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200" w:lineRule="exact"/>
        <w:rPr>
          <w:sz w:val="20"/>
          <w:szCs w:val="20"/>
          <w:color w:val="auto"/>
        </w:rPr>
      </w:pPr>
    </w:p>
    <w:p>
      <w:pPr>
        <w:sectPr>
          <w:pgSz w:w="11900" w:h="16838" w:orient="portrait"/>
          <w:cols w:equalWidth="0" w:num="2">
            <w:col w:w="3144" w:space="720"/>
            <w:col w:w="7120"/>
          </w:cols>
          <w:pgMar w:left="436" w:top="270" w:right="479" w:bottom="1440" w:gutter="0" w:footer="0" w:header="0"/>
          <w:type w:val="continuous"/>
        </w:sectPr>
      </w:pPr>
    </w:p>
    <w:p>
      <w:pPr>
        <w:spacing w:after="0" w:line="18"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Either party may at any time, in the manner set forth for giving notices to the other, specify a different address to which notices to it shall thereafter be sent. Each party shall promptly deliver to the other party copies of all notices, requests or demands which relate to the Premises or the use and occupancy thereof after receipt of the same from the Prime Landlord.</w:t>
      </w:r>
    </w:p>
    <w:p>
      <w:pPr>
        <w:spacing w:after="0" w:line="172" w:lineRule="exact"/>
        <w:rPr>
          <w:sz w:val="20"/>
          <w:szCs w:val="20"/>
          <w:color w:val="auto"/>
        </w:rPr>
      </w:pPr>
    </w:p>
    <w:p>
      <w:pPr>
        <w:ind w:left="4" w:firstLine="436"/>
        <w:spacing w:after="0" w:line="252" w:lineRule="auto"/>
        <w:tabs>
          <w:tab w:leader="none" w:pos="714"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Deposit. </w:t>
      </w:r>
      <w:r>
        <w:rPr>
          <w:rFonts w:ascii="Times New Roman" w:cs="Times New Roman" w:eastAsia="Times New Roman" w:hAnsi="Times New Roman"/>
          <w:sz w:val="18"/>
          <w:szCs w:val="18"/>
          <w:color w:val="auto"/>
        </w:rPr>
        <w:t>Upon signing this Sublease, Subtenant shall deposit with Sublandlord as security for the performance of all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conditions of this Sublease, the Security Deposit as set forth in the Preamble. The Security Deposit shall be returned to Subtenant at the expiration of this Sublease, without interest, provided that: (i) the Premises have been vacated; (ii) Sublandlord shall have inspected the Premises after such vacation; and (iii) Subtenant shall have complied with all terms, covenants and conditions of this Sublease. Otherwise, the Security Deposit so paid hereunder may be applied by Sublandlord against any actual loss, damage or injury chargeable to Subtenant, hereunder. Sublandlord’s determination of the amount, if any, to be returned to Subtenant shall be final, provided that any such determination shall be commercially reasonable. Upon any default by Subtenant hereunder, all or part of such Security Deposit may, at Sublandlord’s sole option, be applied on account of such default, and thereafter Subtenant shall restore the resulting deficiency in such Security Deposit, upon demand. Subtenant hereby waives the benefit of any provision of law requiring such Security Deposit to be held in escrow or in trust, and such Security Deposit may be commingled with Sublandlord’s other funds. The Security Deposit is not to be considered as the last (or any) monthly Rent due under this Sublease. As long as no Event of Default then exists under this Sublease, the Security Deposit shall be reduced by Forty-Seven Thousand Dollars ($47,000.00) on each of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and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anniversaries of the Rent Commencement Date and Sublandlord shall return to Subtenant the amount of the Security Deposit reduction within five</w:t>
      </w:r>
    </w:p>
    <w:p>
      <w:pPr>
        <w:spacing w:after="0" w:line="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receipt of Subtenant’s written request made after such anniversary.</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type w:val="continuous"/>
        </w:sectPr>
      </w:pPr>
    </w:p>
    <w:bookmarkStart w:id="719" w:name="page720"/>
    <w:bookmarkEnd w:id="719"/>
    <w:p>
      <w:pPr>
        <w:jc w:val="both"/>
        <w:ind w:left="4" w:right="40" w:firstLine="436"/>
        <w:spacing w:after="0" w:line="262" w:lineRule="auto"/>
        <w:tabs>
          <w:tab w:leader="none" w:pos="71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Early Termination Option. </w:t>
      </w:r>
      <w:r>
        <w:rPr>
          <w:rFonts w:ascii="Times New Roman" w:cs="Times New Roman" w:eastAsia="Times New Roman" w:hAnsi="Times New Roman"/>
          <w:sz w:val="18"/>
          <w:szCs w:val="18"/>
          <w:color w:val="auto"/>
        </w:rPr>
        <w:t>Subtenant shall have the one time right to terminate this Sublease effective as of March 31, 2021, by providing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nine (9) months’ advance written notice to Sublandlord (the “Termination Option”). If Subtenant exercises the Termination Option, Subtenant shall pay to Landlord, at the same time Subtenant provides its advance written notice of termination to Sublandlord, a termination fee in the amount of One Hundred Ten Thousand Dollars ($110,000.00).</w:t>
      </w:r>
    </w:p>
    <w:p>
      <w:pPr>
        <w:spacing w:after="0" w:line="176" w:lineRule="exact"/>
        <w:rPr>
          <w:rFonts w:ascii="Times New Roman" w:cs="Times New Roman" w:eastAsia="Times New Roman" w:hAnsi="Times New Roman"/>
          <w:sz w:val="18"/>
          <w:szCs w:val="18"/>
          <w:color w:val="auto"/>
        </w:rPr>
      </w:pPr>
    </w:p>
    <w:p>
      <w:pPr>
        <w:ind w:left="4" w:right="120" w:firstLine="436"/>
        <w:spacing w:after="0" w:line="286" w:lineRule="auto"/>
        <w:tabs>
          <w:tab w:leader="none" w:pos="71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Option. </w:t>
      </w:r>
      <w:r>
        <w:rPr>
          <w:rFonts w:ascii="Times New Roman" w:cs="Times New Roman" w:eastAsia="Times New Roman" w:hAnsi="Times New Roman"/>
          <w:sz w:val="18"/>
          <w:szCs w:val="18"/>
          <w:color w:val="auto"/>
        </w:rPr>
        <w:t>Subtenant shall not have the right to extend the Term of this Sublease, and Subtenant acknowledges that Sublandlord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exercise, and Subtenant will not have the right to exercise, the extension option set forth in Article 40 of the Prime Lease.</w:t>
      </w:r>
    </w:p>
    <w:p>
      <w:pPr>
        <w:spacing w:after="0" w:line="15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4" w:right="140" w:firstLine="436"/>
        <w:spacing w:after="0" w:line="291" w:lineRule="auto"/>
        <w:tabs>
          <w:tab w:leader="none" w:pos="689" w:val="left"/>
        </w:tabs>
        <w:numPr>
          <w:ilvl w:val="1"/>
          <w:numId w:val="6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This Sublease represents the entire agreement between the parties hereto and there are no collateral or oral agreements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understandings between Sublandlord and Subtenant with respect to the Premises or the Property. No rights, easements or licenses are acquired in the Property or any land adjacent to the Property by Subtenant by implication or otherwise except as expressly set forth in the provisions of this Sublease.</w:t>
      </w:r>
    </w:p>
    <w:p>
      <w:pPr>
        <w:spacing w:after="0" w:line="152"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Modification. </w:t>
      </w:r>
      <w:r>
        <w:rPr>
          <w:rFonts w:ascii="Times New Roman" w:cs="Times New Roman" w:eastAsia="Times New Roman" w:hAnsi="Times New Roman"/>
          <w:sz w:val="18"/>
          <w:szCs w:val="18"/>
          <w:color w:val="auto"/>
        </w:rPr>
        <w:t>This Sublease shall not be modified in any manner except by an instrument in writing executed by the parties.</w:t>
      </w:r>
    </w:p>
    <w:p>
      <w:pPr>
        <w:spacing w:after="0" w:line="225" w:lineRule="exact"/>
        <w:rPr>
          <w:rFonts w:ascii="Times New Roman" w:cs="Times New Roman" w:eastAsia="Times New Roman" w:hAnsi="Times New Roman"/>
          <w:sz w:val="18"/>
          <w:szCs w:val="18"/>
          <w:color w:val="auto"/>
        </w:rPr>
      </w:pPr>
    </w:p>
    <w:p>
      <w:pPr>
        <w:ind w:left="4" w:firstLine="436"/>
        <w:spacing w:after="0" w:line="286" w:lineRule="auto"/>
        <w:tabs>
          <w:tab w:leader="none" w:pos="689"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Interpretation. </w:t>
      </w:r>
      <w:r>
        <w:rPr>
          <w:rFonts w:ascii="Times New Roman" w:cs="Times New Roman" w:eastAsia="Times New Roman" w:hAnsi="Times New Roman"/>
          <w:sz w:val="18"/>
          <w:szCs w:val="18"/>
          <w:color w:val="auto"/>
        </w:rPr>
        <w:t>The masculine (or neuter) pronoun, singular number, shall include the masculine, feminine and neuter genders and the singular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plural number.</w:t>
      </w:r>
    </w:p>
    <w:p>
      <w:pPr>
        <w:spacing w:after="0" w:line="154" w:lineRule="exact"/>
        <w:rPr>
          <w:rFonts w:ascii="Times New Roman" w:cs="Times New Roman" w:eastAsia="Times New Roman" w:hAnsi="Times New Roman"/>
          <w:sz w:val="18"/>
          <w:szCs w:val="18"/>
          <w:color w:val="auto"/>
        </w:rPr>
      </w:pPr>
    </w:p>
    <w:p>
      <w:pPr>
        <w:ind w:left="4" w:right="120" w:firstLine="436"/>
        <w:spacing w:after="0" w:line="286" w:lineRule="auto"/>
        <w:tabs>
          <w:tab w:leader="none" w:pos="699"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Each writing or plan referred to herein as being attached as an Exhibit or otherwise designated herein as an Exhibit hereto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 part hereof.</w:t>
      </w:r>
    </w:p>
    <w:p>
      <w:pPr>
        <w:spacing w:after="0" w:line="154" w:lineRule="exact"/>
        <w:rPr>
          <w:rFonts w:ascii="Times New Roman" w:cs="Times New Roman" w:eastAsia="Times New Roman" w:hAnsi="Times New Roman"/>
          <w:sz w:val="18"/>
          <w:szCs w:val="18"/>
          <w:color w:val="auto"/>
        </w:rPr>
      </w:pPr>
    </w:p>
    <w:p>
      <w:pPr>
        <w:jc w:val="both"/>
        <w:ind w:left="4" w:right="100" w:firstLine="436"/>
        <w:spacing w:after="0" w:line="268" w:lineRule="auto"/>
        <w:tabs>
          <w:tab w:leader="none" w:pos="689"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Captions and Headings. </w:t>
      </w:r>
      <w:r>
        <w:rPr>
          <w:rFonts w:ascii="Times New Roman" w:cs="Times New Roman" w:eastAsia="Times New Roman" w:hAnsi="Times New Roman"/>
          <w:sz w:val="18"/>
          <w:szCs w:val="18"/>
          <w:color w:val="auto"/>
        </w:rPr>
        <w:t>The captions and headings of sections, subsections and the table of contents herein are for convenience only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intended to indicate all of the subject matter in the text and they shall not be deemed to limit, construe, affect or alter the meaning of any provisions of this Sublease and are not to be used in interpreting this Sublease or for any other purpose in the event of any controversy.</w:t>
      </w:r>
    </w:p>
    <w:p>
      <w:pPr>
        <w:spacing w:after="0" w:line="170"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Wherever interest is required to be paid hereunder, such interest shall be deemed to be limited to the lesser of (i) the interest stated or</w:t>
      </w:r>
    </w:p>
    <w:p>
      <w:pPr>
        <w:spacing w:after="0" w:line="3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interest permitted by law.</w:t>
      </w:r>
    </w:p>
    <w:p>
      <w:pPr>
        <w:spacing w:after="0" w:line="202" w:lineRule="exact"/>
        <w:rPr>
          <w:rFonts w:ascii="Times New Roman" w:cs="Times New Roman" w:eastAsia="Times New Roman" w:hAnsi="Times New Roman"/>
          <w:sz w:val="18"/>
          <w:szCs w:val="18"/>
          <w:color w:val="auto"/>
        </w:rPr>
      </w:pPr>
    </w:p>
    <w:p>
      <w:pPr>
        <w:jc w:val="both"/>
        <w:ind w:left="4" w:right="60" w:firstLine="436"/>
        <w:spacing w:after="0" w:line="262" w:lineRule="auto"/>
        <w:tabs>
          <w:tab w:leader="none" w:pos="699"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term or provision of this Sublease, or the application thereof to any person or circumstance shall, to any extent, be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the remainder of this Sublease, or the application of such term or provision to persons or circumstances other than those as to which it is held invalid or unenforceable, shall not be affected thereby, and each term and provision of this Sublease shall be valid and be enforced to the fullest extent permitted by law.</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720" w:name="page721"/>
    <w:bookmarkEnd w:id="720"/>
    <w:p>
      <w:pPr>
        <w:ind w:left="700" w:hanging="264"/>
        <w:spacing w:after="0"/>
        <w:tabs>
          <w:tab w:leader="none" w:pos="70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Relationship of Parties. </w:t>
      </w:r>
      <w:r>
        <w:rPr>
          <w:rFonts w:ascii="Times New Roman" w:cs="Times New Roman" w:eastAsia="Times New Roman" w:hAnsi="Times New Roman"/>
          <w:sz w:val="18"/>
          <w:szCs w:val="18"/>
          <w:color w:val="auto"/>
        </w:rPr>
        <w:t>This Sublease shall not create any relationship between the parties other than that of Sublandlord and Subtenant.</w:t>
      </w:r>
    </w:p>
    <w:p>
      <w:pPr>
        <w:spacing w:after="0" w:line="225" w:lineRule="exact"/>
        <w:rPr>
          <w:rFonts w:ascii="Times New Roman" w:cs="Times New Roman" w:eastAsia="Times New Roman" w:hAnsi="Times New Roman"/>
          <w:sz w:val="18"/>
          <w:szCs w:val="18"/>
          <w:color w:val="auto"/>
        </w:rPr>
      </w:pPr>
    </w:p>
    <w:p>
      <w:pPr>
        <w:ind w:right="20" w:firstLine="436"/>
        <w:spacing w:after="0" w:line="286" w:lineRule="auto"/>
        <w:tabs>
          <w:tab w:leader="none" w:pos="655"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The terms of this Sublease shall be construed under the laws of the Commonwealth of Massachusetts, without regard to its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conflict of laws.</w:t>
      </w:r>
    </w:p>
    <w:p>
      <w:pPr>
        <w:spacing w:after="0" w:line="155" w:lineRule="exact"/>
        <w:rPr>
          <w:sz w:val="20"/>
          <w:szCs w:val="20"/>
          <w:color w:val="auto"/>
        </w:rPr>
      </w:pPr>
    </w:p>
    <w:p>
      <w:pPr>
        <w:ind w:left="700" w:hanging="264"/>
        <w:spacing w:after="0"/>
        <w:tabs>
          <w:tab w:leader="none" w:pos="70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Subletting.</w:t>
      </w:r>
    </w:p>
    <w:p>
      <w:pPr>
        <w:spacing w:after="0" w:line="229" w:lineRule="exact"/>
        <w:rPr>
          <w:sz w:val="20"/>
          <w:szCs w:val="20"/>
          <w:color w:val="auto"/>
        </w:rPr>
      </w:pPr>
    </w:p>
    <w:p>
      <w:pPr>
        <w:ind w:firstLine="436"/>
        <w:spacing w:after="0" w:line="266" w:lineRule="auto"/>
        <w:tabs>
          <w:tab w:leader="none" w:pos="685"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shall have the right to assign this Sublease or further sublease the Premises in accordance with the provisions of the Prime Lease and subject to obtaining the prior written consent of Prime Landlord and Sublandlord, which consent (as to Sublandlord) will not be unreasonably withheld, conditioned or delayed.</w:t>
      </w:r>
    </w:p>
    <w:p>
      <w:pPr>
        <w:spacing w:after="0" w:line="175"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in this Sublease or the Prime Lease to the contrary (but subject to Prime Landlord’s consent if required), Subtenant may provide an occupancy license for up to but not more than twenty-five percent (25%) of the Premises in the aggregate to individuals or entities with whom Tenant’s investor, MPM Capital LLC (a Delaware limited liability company) has an ongoing business relationship (a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subject to the following terms and conditions:</w:t>
      </w:r>
    </w:p>
    <w:p>
      <w:pPr>
        <w:spacing w:after="0" w:line="71"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shall remain fully liable for all payments of Rent and the performance and observance of all other obligations of Subtenant under this Sublease;</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256"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Licensee shall enter into a written agreement with Subtenant pursuant to which such Licensee shall agree (A) to use the Premises only for the Permitted Use and (B) such license shall in all events be subject and subordinate to the provisions this Sublease; and</w:t>
      </w:r>
    </w:p>
    <w:p>
      <w:pPr>
        <w:spacing w:after="0" w:line="161" w:lineRule="exact"/>
        <w:rPr>
          <w:rFonts w:ascii="Times New Roman" w:cs="Times New Roman" w:eastAsia="Times New Roman" w:hAnsi="Times New Roman"/>
          <w:sz w:val="18"/>
          <w:szCs w:val="18"/>
          <w:color w:val="auto"/>
        </w:rPr>
      </w:pPr>
    </w:p>
    <w:p>
      <w:pPr>
        <w:ind w:right="880" w:firstLine="987"/>
        <w:spacing w:after="0" w:line="282" w:lineRule="auto"/>
        <w:tabs>
          <w:tab w:leader="none" w:pos="1306"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shall promptly notify Sublandlord in writing of any occupancy license pursuant to this Section 18 and deliver to Sublandlord a copy of the occupancy license with the Licensee within five (5) business days of the effective date of such license.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721" w:name="page722"/>
    <w:bookmarkEnd w:id="721"/>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and in consideration of the mutual entry into this Sublease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and intending to be legally bound, each party hereto has caused this Sublease to be duly executed under seal.</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Sublandlord:</w:t>
            </w:r>
          </w:p>
        </w:tc>
        <w:tc>
          <w:tcPr>
            <w:tcW w:w="2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20" w:type="dxa"/>
            <w:vAlign w:val="bottom"/>
            <w:gridSpan w:val="3"/>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TEVA PHARMACEUTICALS USA, INC.</w:t>
            </w:r>
          </w:p>
        </w:tc>
        <w:tc>
          <w:tcPr>
            <w:tcW w:w="0" w:type="dxa"/>
            <w:vAlign w:val="bottom"/>
          </w:tcPr>
          <w:p>
            <w:pPr>
              <w:spacing w:after="0" w:line="20" w:lineRule="exact"/>
              <w:rPr>
                <w:sz w:val="1"/>
                <w:szCs w:val="1"/>
                <w:color w:val="auto"/>
              </w:rPr>
            </w:pPr>
          </w:p>
        </w:tc>
      </w:tr>
      <w:tr>
        <w:trPr>
          <w:trHeight w:val="479"/>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Signed: December 14, 2017</w:t>
            </w:r>
          </w:p>
        </w:tc>
        <w:tc>
          <w:tcPr>
            <w:tcW w:w="64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8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Deborah A Griffin</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40" w:type="dxa"/>
            <w:vAlign w:val="bottom"/>
            <w:tcBorders>
              <w:top w:val="single" w:sz="8" w:color="auto"/>
            </w:tcBorders>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w w:val="99"/>
              </w:rPr>
              <w:t>Deborah A Griffin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SVP &amp; Chief Accounting Officer</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8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/s/ Boaz Cohen</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40" w:type="dxa"/>
            <w:vAlign w:val="bottom"/>
            <w:tcBorders>
              <w:top w:val="single" w:sz="8" w:color="auto"/>
            </w:tcBorders>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9"/>
              </w:rPr>
              <w:t>Boaz Cohen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 Americas Real Estate</w:t>
            </w:r>
          </w:p>
        </w:tc>
        <w:tc>
          <w:tcPr>
            <w:tcW w:w="0" w:type="dxa"/>
            <w:vAlign w:val="bottom"/>
          </w:tcPr>
          <w:p>
            <w:pPr>
              <w:spacing w:after="0"/>
              <w:rPr>
                <w:sz w:val="1"/>
                <w:szCs w:val="1"/>
                <w:color w:val="auto"/>
              </w:rPr>
            </w:pPr>
          </w:p>
        </w:tc>
      </w:tr>
      <w:tr>
        <w:trPr>
          <w:trHeight w:val="499"/>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Subtenant:</w:t>
            </w:r>
          </w:p>
        </w:tc>
        <w:tc>
          <w:tcPr>
            <w:tcW w:w="2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6420" w:type="dxa"/>
            <w:vAlign w:val="bottom"/>
            <w:gridSpan w:val="3"/>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CULLINAN MANAGEMENT, INC.</w:t>
            </w:r>
          </w:p>
        </w:tc>
        <w:tc>
          <w:tcPr>
            <w:tcW w:w="0" w:type="dxa"/>
            <w:vAlign w:val="bottom"/>
          </w:tcPr>
          <w:p>
            <w:pPr>
              <w:spacing w:after="0" w:line="20" w:lineRule="exact"/>
              <w:rPr>
                <w:sz w:val="1"/>
                <w:szCs w:val="1"/>
                <w:color w:val="auto"/>
              </w:rPr>
            </w:pPr>
          </w:p>
        </w:tc>
      </w:tr>
      <w:tr>
        <w:trPr>
          <w:trHeight w:val="453"/>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Signed: December   , 2017</w:t>
            </w:r>
          </w:p>
        </w:tc>
        <w:tc>
          <w:tcPr>
            <w:tcW w:w="64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8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0</wp:posOffset>
            </wp:positionV>
            <wp:extent cx="24599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722" w:name="page723"/>
    <w:bookmarkEnd w:id="722"/>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and in consideration of the mutual entry into this Sublease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and intending to be legally bound, each party hereto has caused this Sublease to be duly executed under seal.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Sublandlord</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tabs>
          <w:tab w:leader="none" w:pos="1920" w:val="left"/>
          <w:tab w:leader="none" w:pos="7600" w:val="left"/>
        </w:tabs>
        <w:rPr>
          <w:sz w:val="20"/>
          <w:szCs w:val="20"/>
          <w:color w:val="auto"/>
        </w:rPr>
      </w:pPr>
      <w:r>
        <w:rPr>
          <w:rFonts w:ascii="Times New Roman" w:cs="Times New Roman" w:eastAsia="Times New Roman" w:hAnsi="Times New Roman"/>
          <w:sz w:val="18"/>
          <w:szCs w:val="18"/>
          <w:color w:val="auto"/>
        </w:rPr>
        <w:t>Date Signed: December</w:t>
        <w:tab/>
        <w:t>, 2017</w:t>
      </w:r>
      <w:r>
        <w:rPr>
          <w:sz w:val="20"/>
          <w:szCs w:val="20"/>
          <w:color w:val="auto"/>
        </w:rPr>
        <w:tab/>
      </w:r>
      <w:r>
        <w:rPr>
          <w:rFonts w:ascii="Times New Roman" w:cs="Times New Roman" w:eastAsia="Times New Roman" w:hAnsi="Times New Roman"/>
          <w:sz w:val="17"/>
          <w:szCs w:val="17"/>
          <w:b w:val="1"/>
          <w:bCs w:val="1"/>
          <w:color w:val="auto"/>
        </w:rPr>
        <w:t>TEVA PHARMACEUTICALS USA, INC.</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0</wp:posOffset>
            </wp:positionV>
            <wp:extent cx="188595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Name:</w:t>
      </w:r>
    </w:p>
    <w:p>
      <w:pPr>
        <w:spacing w:after="0" w:line="23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0</wp:posOffset>
            </wp:positionV>
            <wp:extent cx="188595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Title: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Subtenant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Date Signed: December 12, 2017</w:t>
      </w:r>
      <w:r>
        <w:rPr>
          <w:sz w:val="20"/>
          <w:szCs w:val="20"/>
          <w:color w:val="auto"/>
        </w:rPr>
        <w:tab/>
      </w:r>
      <w:r>
        <w:rPr>
          <w:rFonts w:ascii="Times New Roman" w:cs="Times New Roman" w:eastAsia="Times New Roman" w:hAnsi="Times New Roman"/>
          <w:sz w:val="17"/>
          <w:szCs w:val="17"/>
          <w:b w:val="1"/>
          <w:bCs w:val="1"/>
          <w:color w:val="auto"/>
        </w:rPr>
        <w:t>CULLINAN MANAGEMENT, INC.</w:t>
      </w:r>
    </w:p>
    <w:p>
      <w:pPr>
        <w:spacing w:after="0" w:line="229" w:lineRule="exact"/>
        <w:rPr>
          <w:sz w:val="20"/>
          <w:szCs w:val="20"/>
          <w:color w:val="auto"/>
        </w:rPr>
      </w:pPr>
    </w:p>
    <w:p>
      <w:pPr>
        <w:ind w:left="762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17145</wp:posOffset>
            </wp:positionV>
            <wp:extent cx="188595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Name: Kristen Laguerre</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Title: CFO</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66" w:right="519" w:bottom="1440" w:gutter="0" w:footer="0" w:header="0"/>
        </w:sectPr>
      </w:pPr>
    </w:p>
    <w:bookmarkStart w:id="723" w:name="page724"/>
    <w:bookmarkEnd w:id="723"/>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Sublandlord’s Work</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Sublandlord will complete the build-out of the Premises by assembling/installing (i) a reception desk in the lobby area, (ii) conference room credenzas and custom glass/magnetic boards, and (iii) a feature wall in the reception area, all using materials and finishes in a manner consistent with other areas of the Premises and all to the reasonable satisfaction of Subtenant. Sublandlord shall deliver to Subtenant all operator manuals (to the extent in Sublandlord’s possession) for all equipment in the Premises.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20"/>
          </w:cols>
          <w:pgMar w:left="440" w:top="270" w:right="639" w:bottom="1440" w:gutter="0" w:footer="0" w:header="0"/>
        </w:sectPr>
      </w:pPr>
    </w:p>
    <w:bookmarkStart w:id="724" w:name="page725"/>
    <w:bookmarkEnd w:id="7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Prime Lease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[attached]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270" w:right="1440" w:bottom="1440" w:gutter="0" w:footer="0" w:header="0"/>
        </w:sectPr>
      </w:pPr>
    </w:p>
    <w:bookmarkStart w:id="725" w:name="page726"/>
    <w:bookmarkEnd w:id="725"/>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ectPr>
          <w:pgSz w:w="11900" w:h="16838" w:orient="portrait"/>
          <w:cols w:equalWidth="0" w:num="1">
            <w:col w:w="10020"/>
          </w:cols>
          <w:pgMar w:left="1440" w:top="118" w:right="439" w:bottom="1440" w:gutter="0" w:footer="0" w:header="0"/>
        </w:sectPr>
      </w:pPr>
    </w:p>
    <w:bookmarkStart w:id="726" w:name="page727"/>
    <w:bookmarkEnd w:id="726"/>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40" w:type="dxa"/>
            <w:vAlign w:val="bottom"/>
            <w:gridSpan w:val="3"/>
          </w:tcPr>
          <w:p>
            <w:pPr>
              <w:ind w:left="3920"/>
              <w:spacing w:after="0"/>
              <w:rPr>
                <w:sz w:val="20"/>
                <w:szCs w:val="20"/>
                <w:color w:val="auto"/>
              </w:rPr>
            </w:pPr>
            <w:r>
              <w:rPr>
                <w:rFonts w:ascii="Times New Roman" w:cs="Times New Roman" w:eastAsia="Times New Roman" w:hAnsi="Times New Roman"/>
                <w:sz w:val="18"/>
                <w:szCs w:val="18"/>
                <w:color w:val="auto"/>
              </w:rPr>
              <w:t>TABLE OF CONTENTS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39"/>
        </w:trPr>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45"/>
        </w:trPr>
        <w:tc>
          <w:tcPr>
            <w:tcW w:w="8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Voting Provisions Regarding Board of Directors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Size of the Board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Board Composition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Failure to Designate a Board Member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Removal of Board Members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Liability for Election of Recommended Directors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“Bad Actor” Designees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8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Vote to Increase Authorized Common Stock</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Drag-Along Right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Actions to be Taken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Exceptions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Restrictions on Sales of Control of the Company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Covenants of the Company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Irrevocable Proxy and Power of Attorney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Specific Enforcement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Remedies Cumulative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“Bad Actor” Matters.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Representation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Covenant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Term</w:t>
            </w:r>
          </w:p>
        </w:tc>
        <w:tc>
          <w:tcPr>
            <w:tcW w:w="3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2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Parties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Transfers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7.5</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7.6</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Titles and Subtitles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7.7</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7.8</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Consent Required to Amend, Modify, Terminate or Waive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7.9</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Delays or Omissions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 Certificate Legend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 Splits, Stock Dividends, etc.</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7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Manner of Voting</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727" w:name="page728"/>
    <w:bookmarkEnd w:id="727"/>
    <w:tbl>
      <w:tblPr>
        <w:tblLayout w:type="fixed"/>
        <w:tblInd w:w="0" w:type="dxa"/>
        <w:tblCellMar>
          <w:top w:w="0" w:type="dxa"/>
          <w:left w:w="0" w:type="dxa"/>
          <w:bottom w:w="0" w:type="dxa"/>
          <w:right w:w="0" w:type="dxa"/>
        </w:tblCellMar>
      </w:tblPr>
      <w:tr>
        <w:trPr>
          <w:trHeight w:val="216"/>
        </w:trPr>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7.15</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7.16</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Dispute Resolution</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7.17</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Costs of Enforcement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7.18</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Aggregation of Stock</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7.19</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Spousal Consent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7.20</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 Business Activities of Investors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8"/>
        </w:trPr>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5"/>
              </w:rPr>
              <w:t>Schedule A</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Investors</w:t>
            </w:r>
          </w:p>
        </w:tc>
        <w:tc>
          <w:tcPr>
            <w:tcW w:w="3880" w:type="dxa"/>
            <w:vAlign w:val="bottom"/>
          </w:tcPr>
          <w:p>
            <w:pPr>
              <w:spacing w:after="0"/>
              <w:rPr>
                <w:sz w:val="24"/>
                <w:szCs w:val="24"/>
                <w:color w:val="auto"/>
              </w:rPr>
            </w:pPr>
          </w:p>
        </w:tc>
      </w:tr>
      <w:tr>
        <w:trPr>
          <w:trHeight w:val="196"/>
        </w:trPr>
        <w:tc>
          <w:tcPr>
            <w:tcW w:w="8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6"/>
              </w:rPr>
              <w:t>Schedule B</w:t>
            </w:r>
          </w:p>
        </w:tc>
        <w:tc>
          <w:tcPr>
            <w:tcW w:w="4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Key Holders</w:t>
            </w:r>
          </w:p>
        </w:tc>
        <w:tc>
          <w:tcPr>
            <w:tcW w:w="3880" w:type="dxa"/>
            <w:vAlign w:val="bottom"/>
          </w:tcPr>
          <w:p>
            <w:pPr>
              <w:spacing w:after="0"/>
              <w:rPr>
                <w:sz w:val="17"/>
                <w:szCs w:val="17"/>
                <w:color w:val="auto"/>
              </w:rPr>
            </w:pPr>
          </w:p>
        </w:tc>
      </w:tr>
      <w:tr>
        <w:trPr>
          <w:trHeight w:val="196"/>
        </w:trPr>
        <w:tc>
          <w:tcPr>
            <w:tcW w:w="820" w:type="dxa"/>
            <w:vAlign w:val="bottom"/>
            <w:gridSpan w:val="3"/>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Exhibit A</w:t>
            </w:r>
          </w:p>
        </w:tc>
        <w:tc>
          <w:tcPr>
            <w:tcW w:w="4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Adoption Agreement</w:t>
            </w:r>
          </w:p>
        </w:tc>
        <w:tc>
          <w:tcPr>
            <w:tcW w:w="3880" w:type="dxa"/>
            <w:vAlign w:val="bottom"/>
          </w:tcPr>
          <w:p>
            <w:pPr>
              <w:spacing w:after="0"/>
              <w:rPr>
                <w:sz w:val="17"/>
                <w:szCs w:val="17"/>
                <w:color w:val="auto"/>
              </w:rPr>
            </w:pPr>
          </w:p>
        </w:tc>
      </w:tr>
      <w:tr>
        <w:trPr>
          <w:trHeight w:val="196"/>
        </w:trPr>
        <w:tc>
          <w:tcPr>
            <w:tcW w:w="70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Exhibit B</w:t>
            </w:r>
          </w:p>
        </w:tc>
        <w:tc>
          <w:tcPr>
            <w:tcW w:w="120" w:type="dxa"/>
            <w:vAlign w:val="bottom"/>
          </w:tcPr>
          <w:p>
            <w:pPr>
              <w:spacing w:after="0"/>
              <w:rPr>
                <w:sz w:val="17"/>
                <w:szCs w:val="17"/>
                <w:color w:val="auto"/>
              </w:rPr>
            </w:pPr>
          </w:p>
        </w:tc>
        <w:tc>
          <w:tcPr>
            <w:tcW w:w="4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Consent of Spouse</w:t>
            </w:r>
          </w:p>
        </w:tc>
        <w:tc>
          <w:tcPr>
            <w:tcW w:w="3880" w:type="dxa"/>
            <w:vAlign w:val="bottom"/>
          </w:tcPr>
          <w:p>
            <w:pPr>
              <w:spacing w:after="0"/>
              <w:rPr>
                <w:sz w:val="17"/>
                <w:szCs w:val="17"/>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28" w:name="page729"/>
    <w:bookmarkEnd w:id="7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AGREEMENT</w:t>
      </w:r>
    </w:p>
    <w:p>
      <w:pPr>
        <w:spacing w:after="0" w:line="225"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THIS VOTING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as of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among [</w:t>
      </w:r>
      <w:r>
        <w:rPr>
          <w:rFonts w:ascii="Times New Roman" w:cs="Times New Roman" w:eastAsia="Times New Roman" w:hAnsi="Times New Roman"/>
          <w:sz w:val="17"/>
          <w:szCs w:val="17"/>
          <w:i w:val="1"/>
          <w:iCs w:val="1"/>
          <w:color w:val="auto"/>
        </w:rPr>
        <w:t>Cullinan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each holder of the Company’s Series A Preferred Stock, $0.0001 par value per share (the “</w:t>
      </w:r>
      <w:r>
        <w:rPr>
          <w:rFonts w:ascii="Times New Roman" w:cs="Times New Roman" w:eastAsia="Times New Roman" w:hAnsi="Times New Roman"/>
          <w:sz w:val="17"/>
          <w:szCs w:val="17"/>
          <w:b w:val="1"/>
          <w:bCs w:val="1"/>
          <w:color w:val="auto"/>
        </w:rPr>
        <w:t>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 Preferred Stock,</w:t>
      </w:r>
      <w:r>
        <w:rPr>
          <w:rFonts w:ascii="Times New Roman" w:cs="Times New Roman" w:eastAsia="Times New Roman" w:hAnsi="Times New Roman"/>
          <w:sz w:val="17"/>
          <w:szCs w:val="17"/>
          <w:color w:val="auto"/>
        </w:rPr>
        <w:t>” together with any future series of preferred stock of the Company,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listed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subsequent investors, or transferees, who become parties hereto as “Investors” pursuant to </w:t>
      </w:r>
      <w:r>
        <w:rPr>
          <w:rFonts w:ascii="Times New Roman" w:cs="Times New Roman" w:eastAsia="Times New Roman" w:hAnsi="Times New Roman"/>
          <w:sz w:val="17"/>
          <w:szCs w:val="17"/>
          <w:u w:val="single" w:color="auto"/>
          <w:color w:val="auto"/>
        </w:rPr>
        <w:t>Subsections 7.1(a)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7.2</w:t>
      </w:r>
      <w:r>
        <w:rPr>
          <w:rFonts w:ascii="Times New Roman" w:cs="Times New Roman" w:eastAsia="Times New Roman" w:hAnsi="Times New Roman"/>
          <w:sz w:val="17"/>
          <w:szCs w:val="17"/>
          <w:color w:val="auto"/>
        </w:rPr>
        <w:t xml:space="preserve"> below,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xml:space="preserve">”), and those certain stockholders of the Company listed on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(together with any subsequent stockholders, or any transferees, who become parties hereto as “Key Holders” pursuant to </w:t>
      </w:r>
      <w:r>
        <w:rPr>
          <w:rFonts w:ascii="Times New Roman" w:cs="Times New Roman" w:eastAsia="Times New Roman" w:hAnsi="Times New Roman"/>
          <w:sz w:val="17"/>
          <w:szCs w:val="17"/>
          <w:u w:val="single" w:color="auto"/>
          <w:color w:val="auto"/>
        </w:rPr>
        <w:t>Subsections 7.1(b)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7.2</w:t>
      </w:r>
      <w:r>
        <w:rPr>
          <w:rFonts w:ascii="Times New Roman" w:cs="Times New Roman" w:eastAsia="Times New Roman" w:hAnsi="Times New Roman"/>
          <w:sz w:val="17"/>
          <w:szCs w:val="17"/>
          <w:color w:val="auto"/>
        </w:rPr>
        <w:t xml:space="preserve"> below, the “</w:t>
      </w:r>
      <w:r>
        <w:rPr>
          <w:rFonts w:ascii="Times New Roman" w:cs="Times New Roman" w:eastAsia="Times New Roman" w:hAnsi="Times New Roman"/>
          <w:sz w:val="17"/>
          <w:szCs w:val="17"/>
          <w:b w:val="1"/>
          <w:bCs w:val="1"/>
          <w:color w:val="auto"/>
        </w:rPr>
        <w:t>Key Holders</w:t>
      </w:r>
      <w:r>
        <w:rPr>
          <w:rFonts w:ascii="Times New Roman" w:cs="Times New Roman" w:eastAsia="Times New Roman" w:hAnsi="Times New Roman"/>
          <w:sz w:val="17"/>
          <w:szCs w:val="17"/>
          <w:color w:val="auto"/>
        </w:rPr>
        <w:t>,” and together collectively with the Investors, the “</w:t>
      </w:r>
      <w:r>
        <w:rPr>
          <w:rFonts w:ascii="Times New Roman" w:cs="Times New Roman" w:eastAsia="Times New Roman" w:hAnsi="Times New Roman"/>
          <w:sz w:val="17"/>
          <w:szCs w:val="17"/>
          <w:b w:val="1"/>
          <w:bCs w:val="1"/>
          <w:color w:val="auto"/>
        </w:rPr>
        <w:t>Stockholders</w:t>
      </w:r>
      <w:r>
        <w:rPr>
          <w:rFonts w:ascii="Times New Roman" w:cs="Times New Roman" w:eastAsia="Times New Roman" w:hAnsi="Times New Roman"/>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jc w:val="both"/>
        <w:ind w:right="180" w:firstLine="440"/>
        <w:spacing w:after="0" w:line="262" w:lineRule="auto"/>
        <w:rPr>
          <w:sz w:val="20"/>
          <w:szCs w:val="20"/>
          <w:color w:val="auto"/>
        </w:rPr>
      </w:pPr>
      <w:r>
        <w:rPr>
          <w:rFonts w:ascii="Times New Roman" w:cs="Times New Roman" w:eastAsia="Times New Roman" w:hAnsi="Times New Roman"/>
          <w:sz w:val="18"/>
          <w:szCs w:val="18"/>
          <w:color w:val="auto"/>
        </w:rPr>
        <w:t>A. The Company and the Investors intend to enter into a Series A Preferred Stock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providing for the sale of shares of the Company’s Series A Preferred Stock and in connection with that agreement the parties desire to provide the Investors with the right, among other rights, to designate the election of certain members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accordance with the terms of this Agreement.</w:t>
      </w:r>
    </w:p>
    <w:p>
      <w:pPr>
        <w:spacing w:after="0" w:line="176"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B. The Certificate of Incorporation of the Company (as it may be amended and/or restated from time to time, the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currently provides that the holders of record of the shares of Common Stock and of any other class or series of voting stock (including the Series A Preferred Stock), exclusively and voting together as a single class, shall be entitled to elect the total number of directors of the Company.</w:t>
      </w:r>
    </w:p>
    <w:p>
      <w:pPr>
        <w:spacing w:after="0" w:line="17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C. The parties also desire to enter into this Agreement to set forth their agreements and understandings with respect to how shares of the Company’s capital stock held by them will be voted on, or tendered in connection with, an acquisition of the Company and/or an increase in the number of shares of Common Stock required to provide for the conversion of the Company’s Preferred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5" w:lineRule="exact"/>
        <w:rPr>
          <w:sz w:val="20"/>
          <w:szCs w:val="20"/>
          <w:color w:val="auto"/>
        </w:rPr>
      </w:pPr>
    </w:p>
    <w:p>
      <w:pPr>
        <w:ind w:left="620" w:hanging="184"/>
        <w:spacing w:after="0"/>
        <w:tabs>
          <w:tab w:leader="none" w:pos="620"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Provisions Regarding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Size of the Board</w:t>
      </w:r>
      <w:r>
        <w:rPr>
          <w:rFonts w:ascii="Times New Roman" w:cs="Times New Roman" w:eastAsia="Times New Roman" w:hAnsi="Times New Roman"/>
          <w:sz w:val="18"/>
          <w:szCs w:val="18"/>
          <w:color w:val="auto"/>
        </w:rPr>
        <w:t>. Each Stockholder agrees to vote, or cause to be voted, all Shares (as defined below) owned by such Stockholder, or over which such Stockholder has voting control, from time to time and at all times, in whatever manner as shall be necessary to ensure that the size of the Board shall be set and remain at such number of directors (initially [three (3)] voting members) as may be determined by, and in such manner as may be proscribed by, the Investors. Initially, any increase or decrease in the size of the Board shall require the affirmative vote or written consent of the Investors holding Preferred Stock representing at least a majority of the shares of Common Stock issuable upon conversion of the then outstanding shares of Preferred Stock (voting as a single separate class and on an as-converted to Common Stock basis). For purposes of this Agreement, the term “Shares” shall mean and include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729" w:name="page730"/>
    <w:bookmarkEnd w:id="72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of the Company the holders of which are entitled to vote for members of the Board, including without limitation, all shares of Common Stock and Preferred Stock, by whatever name called, now owned or subsequently acquired by a Stockholder, however acquired, whether through stock splits, stock dividends, reclassifications, recapitalizations, similar events or otherwise.</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Board Composition</w:t>
      </w:r>
      <w:r>
        <w:rPr>
          <w:rFonts w:ascii="Times New Roman" w:cs="Times New Roman" w:eastAsia="Times New Roman" w:hAnsi="Times New Roman"/>
          <w:sz w:val="18"/>
          <w:szCs w:val="18"/>
          <w:color w:val="auto"/>
        </w:rPr>
        <w:t xml:space="preserve">.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following persons shall be elected to the Board:</w:t>
      </w:r>
    </w:p>
    <w:p>
      <w:pPr>
        <w:spacing w:after="0" w:line="180" w:lineRule="exact"/>
        <w:rPr>
          <w:sz w:val="20"/>
          <w:szCs w:val="20"/>
          <w:color w:val="auto"/>
        </w:rPr>
      </w:pPr>
    </w:p>
    <w:p>
      <w:pPr>
        <w:ind w:right="380" w:firstLine="1428"/>
        <w:spacing w:after="0" w:line="282" w:lineRule="auto"/>
        <w:tabs>
          <w:tab w:leader="none" w:pos="1677"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persons designated by the holders of a majority of the shares of Preferred Stock, voting as a single class, who shall initially be [Ansbert Gadicke] and [Morana Jovan].</w:t>
      </w:r>
    </w:p>
    <w:p>
      <w:pPr>
        <w:spacing w:after="0" w:line="157" w:lineRule="exact"/>
        <w:rPr>
          <w:rFonts w:ascii="Times New Roman" w:cs="Times New Roman" w:eastAsia="Times New Roman" w:hAnsi="Times New Roman"/>
          <w:sz w:val="18"/>
          <w:szCs w:val="18"/>
          <w:color w:val="auto"/>
        </w:rPr>
      </w:pPr>
    </w:p>
    <w:p>
      <w:pPr>
        <w:ind w:firstLine="1428"/>
        <w:spacing w:after="0" w:line="262" w:lineRule="auto"/>
        <w:tabs>
          <w:tab w:leader="none" w:pos="1687"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Executive Officer (the “</w:t>
      </w:r>
      <w:r>
        <w:rPr>
          <w:rFonts w:ascii="Times New Roman" w:cs="Times New Roman" w:eastAsia="Times New Roman" w:hAnsi="Times New Roman"/>
          <w:sz w:val="18"/>
          <w:szCs w:val="18"/>
          <w:b w:val="1"/>
          <w:bCs w:val="1"/>
          <w:color w:val="auto"/>
        </w:rPr>
        <w:t>CEO Director</w:t>
      </w:r>
      <w:r>
        <w:rPr>
          <w:rFonts w:ascii="Times New Roman" w:cs="Times New Roman" w:eastAsia="Times New Roman" w:hAnsi="Times New Roman"/>
          <w:sz w:val="18"/>
          <w:szCs w:val="18"/>
          <w:color w:val="auto"/>
        </w:rPr>
        <w:t>”), who shall initially be Owen Hughes; provided that if for any reason the CEO Director shall cease to serve as the Chief Executive Officer of the Company, each of the Stockholders shall promptly vote their respective Shares (i) to remove the former Chief Executive Officer from the Board if such person has not resigned as a member of the Board; and (ii) to elect such person’s replacement as Chief Executive Officer of the Company as the new CEO Director.</w:t>
      </w:r>
    </w:p>
    <w:p>
      <w:pPr>
        <w:spacing w:after="0" w:line="180" w:lineRule="exact"/>
        <w:rPr>
          <w:sz w:val="20"/>
          <w:szCs w:val="20"/>
          <w:color w:val="auto"/>
        </w:rPr>
      </w:pPr>
    </w:p>
    <w:p>
      <w:pPr>
        <w:ind w:right="560" w:firstLine="1432"/>
        <w:spacing w:after="0" w:line="266" w:lineRule="auto"/>
        <w:rPr>
          <w:sz w:val="20"/>
          <w:szCs w:val="20"/>
          <w:color w:val="auto"/>
        </w:rPr>
      </w:pPr>
      <w:r>
        <w:rPr>
          <w:rFonts w:ascii="Times New Roman" w:cs="Times New Roman" w:eastAsia="Times New Roman" w:hAnsi="Times New Roman"/>
          <w:sz w:val="18"/>
          <w:szCs w:val="18"/>
          <w:color w:val="auto"/>
        </w:rPr>
        <w:t>To the extent that clauses (a) or (b)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spacing w:after="0" w:line="176" w:lineRule="exact"/>
        <w:rPr>
          <w:sz w:val="20"/>
          <w:szCs w:val="20"/>
          <w:color w:val="auto"/>
        </w:rPr>
      </w:pPr>
    </w:p>
    <w:p>
      <w:pPr>
        <w:ind w:right="40" w:firstLine="1432"/>
        <w:spacing w:after="0" w:line="258" w:lineRule="auto"/>
        <w:rPr>
          <w:sz w:val="20"/>
          <w:szCs w:val="20"/>
          <w:color w:val="auto"/>
        </w:rPr>
      </w:pPr>
      <w:r>
        <w:rPr>
          <w:rFonts w:ascii="Times New Roman" w:cs="Times New Roman" w:eastAsia="Times New Roman" w:hAnsi="Times New Roman"/>
          <w:sz w:val="18"/>
          <w:szCs w:val="18"/>
          <w:color w:val="auto"/>
        </w:rPr>
        <w:t>For purposes of this Agreement, an individual, firm, corporation, partnership, association, limited liability company, trust or any other entity (collectively,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be deemed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advisors of, or shares the same management company or investment advisor with, such Person.</w:t>
      </w:r>
    </w:p>
    <w:p>
      <w:pPr>
        <w:spacing w:after="0" w:line="183" w:lineRule="exact"/>
        <w:rPr>
          <w:sz w:val="20"/>
          <w:szCs w:val="20"/>
          <w:color w:val="auto"/>
        </w:rPr>
      </w:pPr>
    </w:p>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Failure to Designate a Board Member</w:t>
      </w:r>
      <w:r>
        <w:rPr>
          <w:rFonts w:ascii="Times New Roman" w:cs="Times New Roman" w:eastAsia="Times New Roman" w:hAnsi="Times New Roman"/>
          <w:sz w:val="17"/>
          <w:szCs w:val="17"/>
          <w:color w:val="auto"/>
        </w:rPr>
        <w:t>. In the absence of any designation from the Persons or groups with the right to designate a director as specified above, the director previously designated by them and then serving shall be reelected if still eligible to serve as provided herein.</w:t>
      </w:r>
    </w:p>
    <w:p>
      <w:pPr>
        <w:spacing w:after="0" w:line="14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Removal of Board Members</w:t>
      </w:r>
      <w:r>
        <w:rPr>
          <w:rFonts w:ascii="Times New Roman" w:cs="Times New Roman" w:eastAsia="Times New Roman" w:hAnsi="Times New Roman"/>
          <w:sz w:val="18"/>
          <w:szCs w:val="18"/>
          <w:color w:val="auto"/>
        </w:rPr>
        <w:t>. Each Stockholder also agrees to vote, or cause to be voted, all Shares owned by such Stockholder, or over which such Stockholder has voting control, from time to time and at all times, in whatever manner as shall be necessary to ensure that: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730" w:name="page731"/>
    <w:bookmarkEnd w:id="730"/>
    <w:p>
      <w:pPr>
        <w:ind w:left="1684" w:hanging="252"/>
        <w:spacing w:after="0"/>
        <w:tabs>
          <w:tab w:leader="none" w:pos="1684"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director elected pursuant to </w:t>
      </w:r>
      <w:r>
        <w:rPr>
          <w:rFonts w:ascii="Times New Roman" w:cs="Times New Roman" w:eastAsia="Times New Roman" w:hAnsi="Times New Roman"/>
          <w:sz w:val="18"/>
          <w:szCs w:val="18"/>
          <w:u w:val="single" w:color="auto"/>
          <w:color w:val="auto"/>
        </w:rPr>
        <w:t>Subsections 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of this Agreement may be removed from office other than for cause unless</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removal is directed or approved by the affirmative vote of the Person, or of the holders of at least that percentage of shares of stock entitled</w:t>
      </w:r>
    </w:p>
    <w:p>
      <w:pPr>
        <w:spacing w:after="0" w:line="9" w:lineRule="exact"/>
        <w:rPr>
          <w:rFonts w:ascii="Times New Roman" w:cs="Times New Roman" w:eastAsia="Times New Roman" w:hAnsi="Times New Roman"/>
          <w:sz w:val="18"/>
          <w:szCs w:val="18"/>
          <w:color w:val="auto"/>
        </w:rPr>
      </w:pPr>
    </w:p>
    <w:p>
      <w:pPr>
        <w:ind w:left="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Subsection 1.2</w:t>
      </w:r>
      <w:r>
        <w:rPr>
          <w:rFonts w:ascii="Times New Roman" w:cs="Times New Roman" w:eastAsia="Times New Roman" w:hAnsi="Times New Roman"/>
          <w:sz w:val="18"/>
          <w:szCs w:val="18"/>
          <w:color w:val="auto"/>
        </w:rPr>
        <w:t xml:space="preserve"> to designate that director; or (ii) the Person(s) originally entitled to designate or approve such director or occupy such Board seat pursuant to </w:t>
      </w:r>
      <w:r>
        <w:rPr>
          <w:rFonts w:ascii="Times New Roman" w:cs="Times New Roman" w:eastAsia="Times New Roman" w:hAnsi="Times New Roman"/>
          <w:sz w:val="18"/>
          <w:szCs w:val="18"/>
          <w:u w:val="single" w:color="auto"/>
          <w:color w:val="auto"/>
        </w:rPr>
        <w:t>Subsection 1.2</w:t>
      </w:r>
      <w:r>
        <w:rPr>
          <w:rFonts w:ascii="Times New Roman" w:cs="Times New Roman" w:eastAsia="Times New Roman" w:hAnsi="Times New Roman"/>
          <w:sz w:val="18"/>
          <w:szCs w:val="18"/>
          <w:color w:val="auto"/>
        </w:rPr>
        <w:t xml:space="preserve"> is no longer so entitled to designate or approve such director or occupy such Board seat;</w:t>
      </w:r>
    </w:p>
    <w:p>
      <w:pPr>
        <w:spacing w:after="0" w:line="181" w:lineRule="exact"/>
        <w:rPr>
          <w:rFonts w:ascii="Times New Roman" w:cs="Times New Roman" w:eastAsia="Times New Roman" w:hAnsi="Times New Roman"/>
          <w:sz w:val="18"/>
          <w:szCs w:val="18"/>
          <w:color w:val="auto"/>
        </w:rPr>
      </w:pPr>
    </w:p>
    <w:p>
      <w:pPr>
        <w:ind w:left="4" w:right="120" w:firstLine="1428"/>
        <w:spacing w:after="0" w:line="282" w:lineRule="auto"/>
        <w:tabs>
          <w:tab w:leader="none" w:pos="1691"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vacancies created by the resignation, removal or death of a director elected pursuant to </w:t>
      </w:r>
      <w:r>
        <w:rPr>
          <w:rFonts w:ascii="Times New Roman" w:cs="Times New Roman" w:eastAsia="Times New Roman" w:hAnsi="Times New Roman"/>
          <w:sz w:val="18"/>
          <w:szCs w:val="18"/>
          <w:u w:val="single" w:color="auto"/>
          <w:color w:val="auto"/>
        </w:rPr>
        <w:t>Subsections 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shall be filled pursuant to the provisions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4" w:firstLine="1428"/>
        <w:spacing w:after="0" w:line="282" w:lineRule="auto"/>
        <w:tabs>
          <w:tab w:leader="none" w:pos="1681"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any party or parties, as applicable, entitled to designate a director as provided in </w:t>
      </w:r>
      <w:r>
        <w:rPr>
          <w:rFonts w:ascii="Times New Roman" w:cs="Times New Roman" w:eastAsia="Times New Roman" w:hAnsi="Times New Roman"/>
          <w:sz w:val="18"/>
          <w:szCs w:val="18"/>
          <w:u w:val="single" w:color="auto"/>
          <w:color w:val="auto"/>
        </w:rPr>
        <w:t>Subsections 1.2(a)</w:t>
      </w:r>
      <w:r>
        <w:rPr>
          <w:rFonts w:ascii="Times New Roman" w:cs="Times New Roman" w:eastAsia="Times New Roman" w:hAnsi="Times New Roman"/>
          <w:sz w:val="18"/>
          <w:szCs w:val="18"/>
          <w:color w:val="auto"/>
        </w:rPr>
        <w:t xml:space="preserve"> to remove such director, such director shall be removed.</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All Stockholders agree to execute any written consents required to perform the obligations of this Agreement, and the Company agrees at the request of any party entitled to designate directors to call a special meeting of stockholders for the purpose of electing directors.</w:t>
      </w:r>
    </w:p>
    <w:p>
      <w:pPr>
        <w:spacing w:after="0" w:line="162"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Liability for Election of Recommended Directors</w:t>
      </w:r>
      <w:r>
        <w:rPr>
          <w:rFonts w:ascii="Times New Roman" w:cs="Times New Roman" w:eastAsia="Times New Roman" w:hAnsi="Times New Roman"/>
          <w:sz w:val="18"/>
          <w:szCs w:val="18"/>
          <w:color w:val="auto"/>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spacing w:after="0" w:line="176" w:lineRule="exact"/>
        <w:rPr>
          <w:sz w:val="20"/>
          <w:szCs w:val="20"/>
          <w:color w:val="auto"/>
        </w:rPr>
      </w:pPr>
    </w:p>
    <w:p>
      <w:pPr>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No “Bad Actor” Designees</w:t>
      </w:r>
      <w:r>
        <w:rPr>
          <w:rFonts w:ascii="Times New Roman" w:cs="Times New Roman" w:eastAsia="Times New Roman" w:hAnsi="Times New Roman"/>
          <w:sz w:val="17"/>
          <w:szCs w:val="17"/>
          <w:color w:val="auto"/>
        </w:rPr>
        <w:t>. Each Person with the right to designate or participate in the designation of a director as specified above hereby represents and warrants to the Company that, to such Person’s knowledge, none of the “bad actor” disqualifying events described in Rule 506(d)</w:t>
      </w:r>
    </w:p>
    <w:p>
      <w:pPr>
        <w:spacing w:after="0" w:line="1"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(1)(i)-(viii) promulgated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b w:val="1"/>
          <w:bCs w:val="1"/>
          <w:color w:val="auto"/>
        </w:rPr>
        <w:t>Disqualification Event</w:t>
      </w:r>
      <w:r>
        <w:rPr>
          <w:rFonts w:ascii="Times New Roman" w:cs="Times New Roman" w:eastAsia="Times New Roman" w:hAnsi="Times New Roman"/>
          <w:sz w:val="17"/>
          <w:szCs w:val="17"/>
          <w:color w:val="auto"/>
        </w:rPr>
        <w:t>”), is applicable to such Person’s initial designee named above except, if applicable, for a Disqualification Event as to which Rule 506(d)(2)(ii) or (iii) or (d)(3) is applicable. Any director designee to whom any Disqualification Event is applicable, except for a Disqualification Event as to which Rule 506(d)(2)(ii) or (iii) or (d)</w:t>
      </w:r>
    </w:p>
    <w:p>
      <w:pPr>
        <w:ind w:left="4" w:right="180" w:hanging="4"/>
        <w:spacing w:after="0" w:line="253" w:lineRule="auto"/>
        <w:tabs>
          <w:tab w:leader="none" w:pos="259"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applicable, is hereinafter referred to as a “</w:t>
      </w:r>
      <w:r>
        <w:rPr>
          <w:rFonts w:ascii="Times New Roman" w:cs="Times New Roman" w:eastAsia="Times New Roman" w:hAnsi="Times New Roman"/>
          <w:sz w:val="18"/>
          <w:szCs w:val="18"/>
          <w:b w:val="1"/>
          <w:bCs w:val="1"/>
          <w:color w:val="auto"/>
        </w:rPr>
        <w:t>Disqualified Designee</w:t>
      </w:r>
      <w:r>
        <w:rPr>
          <w:rFonts w:ascii="Times New Roman" w:cs="Times New Roman" w:eastAsia="Times New Roman" w:hAnsi="Times New Roman"/>
          <w:sz w:val="18"/>
          <w:szCs w:val="18"/>
          <w:color w:val="auto"/>
        </w:rPr>
        <w:t>”. Each Person with the right to designate or participate in the designation of a director as specified above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spacing w:after="0" w:line="186"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2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 to Increase Authorized Common Stock</w:t>
      </w:r>
      <w:r>
        <w:rPr>
          <w:rFonts w:ascii="Times New Roman" w:cs="Times New Roman" w:eastAsia="Times New Roman" w:hAnsi="Times New Roman"/>
          <w:sz w:val="18"/>
          <w:szCs w:val="18"/>
          <w:color w:val="auto"/>
        </w:rPr>
        <w:t>. Each Stockholder agrees to vote or cause to be voted all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731" w:name="page732"/>
    <w:bookmarkEnd w:id="731"/>
    <w:p>
      <w:pPr>
        <w:ind w:left="620" w:hanging="184"/>
        <w:spacing w:after="0"/>
        <w:tabs>
          <w:tab w:leader="none" w:pos="62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Drag-Along Right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shall mean either: (a)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cs="Times New Roman" w:eastAsia="Times New Roman" w:hAnsi="Times New Roman"/>
          <w:sz w:val="18"/>
          <w:szCs w:val="18"/>
          <w:b w:val="1"/>
          <w:bCs w:val="1"/>
          <w:color w:val="auto"/>
        </w:rPr>
        <w:t>Stock Sale</w:t>
      </w:r>
      <w:r>
        <w:rPr>
          <w:rFonts w:ascii="Times New Roman" w:cs="Times New Roman" w:eastAsia="Times New Roman" w:hAnsi="Times New Roman"/>
          <w:sz w:val="18"/>
          <w:szCs w:val="18"/>
          <w:color w:val="auto"/>
        </w:rPr>
        <w:t>”); or (b) a transaction that qualifies as a Deemed Liquidation Event (as defined in the Restated Certificate).</w:t>
      </w:r>
    </w:p>
    <w:p>
      <w:pPr>
        <w:spacing w:after="0" w:line="17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Actions to be Taken</w:t>
      </w:r>
      <w:r>
        <w:rPr>
          <w:rFonts w:ascii="Times New Roman" w:cs="Times New Roman" w:eastAsia="Times New Roman" w:hAnsi="Times New Roman"/>
          <w:sz w:val="18"/>
          <w:szCs w:val="18"/>
          <w:color w:val="auto"/>
        </w:rPr>
        <w:t>. In the event that the holders of a majority of the then outstanding shares of Preferred Stock, voting together as a single class and on an as-converted basis (collectively, the “</w:t>
      </w:r>
      <w:r>
        <w:rPr>
          <w:rFonts w:ascii="Times New Roman" w:cs="Times New Roman" w:eastAsia="Times New Roman" w:hAnsi="Times New Roman"/>
          <w:sz w:val="18"/>
          <w:szCs w:val="18"/>
          <w:b w:val="1"/>
          <w:bCs w:val="1"/>
          <w:color w:val="auto"/>
        </w:rPr>
        <w:t>Electing Holders</w:t>
      </w:r>
      <w:r>
        <w:rPr>
          <w:rFonts w:ascii="Times New Roman" w:cs="Times New Roman" w:eastAsia="Times New Roman" w:hAnsi="Times New Roman"/>
          <w:sz w:val="18"/>
          <w:szCs w:val="18"/>
          <w:color w:val="auto"/>
        </w:rPr>
        <w:t xml:space="preserve">”), approve a Sale of the Company in writing, specifying that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apply to such transaction, then each Stockholder and the Company hereby agree:</w:t>
      </w:r>
    </w:p>
    <w:p>
      <w:pPr>
        <w:spacing w:after="0" w:line="176" w:lineRule="exact"/>
        <w:rPr>
          <w:sz w:val="20"/>
          <w:szCs w:val="20"/>
          <w:color w:val="auto"/>
        </w:rPr>
      </w:pPr>
    </w:p>
    <w:p>
      <w:pPr>
        <w:ind w:right="20" w:firstLine="1428"/>
        <w:spacing w:after="0" w:line="258" w:lineRule="auto"/>
        <w:tabs>
          <w:tab w:leader="none" w:pos="1677"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of the Company (together with any related amendment or restatement to the Restated Certificate required to implement such Sale of the Company) and to vote in opposition to any and all other proposals that could delay or impair the ability of the Company to consummate such Sale of the Company;</w:t>
      </w:r>
    </w:p>
    <w:p>
      <w:pPr>
        <w:spacing w:after="0" w:line="183"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87"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transaction is a Stock Sale, to sell the same proportion of shares of capital stock of the Company beneficially held by such Stockholder as is being sold by the Electing Holders to the Person to whom the Electing Holders propose to sell their Shares, and, except as permitted in </w:t>
      </w:r>
      <w:r>
        <w:rPr>
          <w:rFonts w:ascii="Times New Roman" w:cs="Times New Roman" w:eastAsia="Times New Roman" w:hAnsi="Times New Roman"/>
          <w:sz w:val="18"/>
          <w:szCs w:val="18"/>
          <w:u w:val="single" w:color="auto"/>
          <w:color w:val="auto"/>
        </w:rPr>
        <w:t>Subsection 3.3</w:t>
      </w:r>
      <w:r>
        <w:rPr>
          <w:rFonts w:ascii="Times New Roman" w:cs="Times New Roman" w:eastAsia="Times New Roman" w:hAnsi="Times New Roman"/>
          <w:sz w:val="18"/>
          <w:szCs w:val="18"/>
          <w:color w:val="auto"/>
        </w:rPr>
        <w:t xml:space="preserve"> below, on the same terms and conditions as the Electing Holders;</w:t>
      </w:r>
    </w:p>
    <w:p>
      <w:pPr>
        <w:spacing w:after="0" w:line="175" w:lineRule="exact"/>
        <w:rPr>
          <w:rFonts w:ascii="Times New Roman" w:cs="Times New Roman" w:eastAsia="Times New Roman" w:hAnsi="Times New Roman"/>
          <w:sz w:val="18"/>
          <w:szCs w:val="18"/>
          <w:color w:val="auto"/>
        </w:rPr>
      </w:pPr>
    </w:p>
    <w:p>
      <w:pPr>
        <w:ind w:right="140" w:firstLine="1428"/>
        <w:spacing w:after="0" w:line="258" w:lineRule="auto"/>
        <w:tabs>
          <w:tab w:leader="none" w:pos="1677"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and deliver all related documentation and take such other action in support of the Sale of the Company as shall reasonably be requested by the Company or the Electing Holders in order to carry out the terms and provision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including, without limitation, executing and delivering instruments of conveyance and transfer, and any purchase agreement, merger agreement, any associated indemnity agreement, or escrow agreement, any associated voting, support, or joinder agreement, consent, waiver, governmental filing, share certificates duly endorsed for transfer (free and clear of impermissible liens, claims and encumbrances), and any similar or related documents;</w:t>
      </w:r>
    </w:p>
    <w:p>
      <w:pPr>
        <w:spacing w:after="0" w:line="183" w:lineRule="exact"/>
        <w:rPr>
          <w:rFonts w:ascii="Times New Roman" w:cs="Times New Roman" w:eastAsia="Times New Roman" w:hAnsi="Times New Roman"/>
          <w:sz w:val="18"/>
          <w:szCs w:val="18"/>
          <w:color w:val="auto"/>
        </w:rPr>
      </w:pPr>
    </w:p>
    <w:p>
      <w:pPr>
        <w:ind w:right="400" w:firstLine="1428"/>
        <w:spacing w:after="0" w:line="266" w:lineRule="auto"/>
        <w:tabs>
          <w:tab w:leader="none" w:pos="1687"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deposit, and to cause their Affiliates not to deposit, except as provided in this Agreement, any Shares of the Company owned by such party or Affiliate in a voting trust or subject any Shares to any arrangement or agreement with respect to the voting of such Shares, unless specifically requested to do so by the acquiror in connection with the Sale of the Company;</w:t>
      </w:r>
    </w:p>
    <w:p>
      <w:pPr>
        <w:spacing w:after="0" w:line="175" w:lineRule="exact"/>
        <w:rPr>
          <w:rFonts w:ascii="Times New Roman" w:cs="Times New Roman" w:eastAsia="Times New Roman" w:hAnsi="Times New Roman"/>
          <w:sz w:val="18"/>
          <w:szCs w:val="18"/>
          <w:color w:val="auto"/>
        </w:rPr>
      </w:pPr>
    </w:p>
    <w:p>
      <w:pPr>
        <w:ind w:right="280" w:firstLine="1428"/>
        <w:spacing w:after="0" w:line="282" w:lineRule="auto"/>
        <w:tabs>
          <w:tab w:leader="none" w:pos="1677"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(i) exercising any dissenters’ rights or rights of appraisal under applicable law at any time with respect to such Sale of the Company, or (ii)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32" w:name="page733"/>
    <w:bookmarkEnd w:id="73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asserting any claim or commencing any suit (x) challenging the Sale of the Company or this Agreement, or (y) alleging a breach of any fiduciary duty of the Selling Investors or any affiliate or associate thereof (including, without limitation, aiding and abetting breach of fiduciary duty) in connection with the evaluation, negotiation or entry into the Sale of the Company, or the consummation of the transactions contemplated thereby;</w:t>
      </w:r>
    </w:p>
    <w:p>
      <w:pPr>
        <w:spacing w:after="0" w:line="176" w:lineRule="exact"/>
        <w:rPr>
          <w:sz w:val="20"/>
          <w:szCs w:val="20"/>
          <w:color w:val="auto"/>
        </w:rPr>
      </w:pPr>
    </w:p>
    <w:p>
      <w:pPr>
        <w:ind w:firstLine="1428"/>
        <w:spacing w:after="0" w:line="255" w:lineRule="auto"/>
        <w:tabs>
          <w:tab w:leader="none" w:pos="1657"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consideration to be paid in exchange for the Shares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which would have otherwise been sold by such Stockholder, an amount in cash equal to the fair value (as determined in good faith by the Company) of the securities which such Stockholder would otherwise receive as of the date of the issuance of such securities in exchange for the Shares; and</w:t>
      </w:r>
    </w:p>
    <w:p>
      <w:pPr>
        <w:spacing w:after="0" w:line="18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Electing Holders, in connection with such Sale of the Company, appoint a stockholder representative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Representative</w:t>
      </w:r>
      <w:r>
        <w:rPr>
          <w:rFonts w:ascii="Times New Roman" w:cs="Times New Roman" w:eastAsia="Times New Roman" w:hAnsi="Times New Roman"/>
          <w:sz w:val="18"/>
          <w:szCs w:val="18"/>
          <w:color w:val="auto"/>
        </w:rPr>
        <w:t>”) with respect to matters affecting the Stockholders under the applicable definitive transaction agreements following consummation of such Sale of the Company,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in connection with its service as the Stockholder Representative, absent fraud or willful misconduct.</w:t>
      </w:r>
    </w:p>
    <w:p>
      <w:pPr>
        <w:spacing w:after="0" w:line="194"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Notwithstanding the foregoing, a Stockholder will not be required to comply with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above in connection with any proposed Sale of the Company (the “</w:t>
      </w:r>
      <w:r>
        <w:rPr>
          <w:rFonts w:ascii="Times New Roman" w:cs="Times New Roman" w:eastAsia="Times New Roman" w:hAnsi="Times New Roman"/>
          <w:sz w:val="18"/>
          <w:szCs w:val="18"/>
          <w:b w:val="1"/>
          <w:bCs w:val="1"/>
          <w:color w:val="auto"/>
        </w:rPr>
        <w:t>Proposed Sale</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right="20" w:firstLine="1428"/>
        <w:spacing w:after="0" w:line="254" w:lineRule="auto"/>
        <w:tabs>
          <w:tab w:leader="none" w:pos="1677"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against the Stockholder in accordance with their respective terms; and (iv) neither the execution and delivery of documents to be entered into by the Stockholder in connection with the transaction, nor the performance of the Stockholder’s obligations thereunder, will cause a breach or violation of the terms of any agreement to which the Stockholder is a party, or any law or judgment, order or decree of any court or governmental agency that applies to the Stockholder;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33" w:name="page734"/>
    <w:bookmarkEnd w:id="733"/>
    <w:p>
      <w:pPr>
        <w:ind w:left="-20" w:right="140" w:firstLine="1428"/>
        <w:spacing w:after="0" w:line="261" w:lineRule="auto"/>
        <w:tabs>
          <w:tab w:leader="none" w:pos="1667"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 as well as breach by any stockholder of any of identical representations, warranties and covenants provided by all stockholders);</w:t>
      </w:r>
    </w:p>
    <w:p>
      <w:pPr>
        <w:spacing w:after="0" w:line="179" w:lineRule="exact"/>
        <w:rPr>
          <w:rFonts w:ascii="Times New Roman" w:cs="Times New Roman" w:eastAsia="Times New Roman" w:hAnsi="Times New Roman"/>
          <w:sz w:val="18"/>
          <w:szCs w:val="18"/>
          <w:color w:val="auto"/>
        </w:rPr>
      </w:pPr>
    </w:p>
    <w:p>
      <w:pPr>
        <w:ind w:left="-20" w:firstLine="1428"/>
        <w:spacing w:after="0" w:line="256" w:lineRule="auto"/>
        <w:tabs>
          <w:tab w:leader="none" w:pos="1657"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for indemnification, if any, of such Stockholder in the Proposed Sale and for the inaccuracy of any representations and warranties made by the Company or its Stockholders in connection with such Proposed Sale, is several and not joint with any other Person (except to the extent that funds may be paid out of an escrow established to cover breach of representations, warranties and covenants of the Company as well as breach by any stockholder of any of identical representations, warranties and covenants provided by all stockholders), and subject to the provisions of the Restated Certificate related to the allocation of the escrow, is pro rata in proportion to, and does not exceed, the amount of consideration paid to such Stockholder in connection with such Proposed Sale;</w:t>
      </w:r>
    </w:p>
    <w:p>
      <w:pPr>
        <w:spacing w:after="0" w:line="187" w:lineRule="exact"/>
        <w:rPr>
          <w:rFonts w:ascii="Times New Roman" w:cs="Times New Roman" w:eastAsia="Times New Roman" w:hAnsi="Times New Roman"/>
          <w:sz w:val="18"/>
          <w:szCs w:val="18"/>
          <w:color w:val="auto"/>
        </w:rPr>
      </w:pPr>
    </w:p>
    <w:p>
      <w:pPr>
        <w:ind w:left="-20" w:right="160" w:firstLine="1428"/>
        <w:spacing w:after="0" w:line="258" w:lineRule="auto"/>
        <w:tabs>
          <w:tab w:leader="none" w:pos="1667"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shall be limited to such Stockholder’s applicable share (determined based on the respective proceeds payable to each Stockholder in connection with such Proposed Sale in accordance with the provisions of the Restated Certificate)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spacing w:after="0" w:line="183" w:lineRule="exact"/>
        <w:rPr>
          <w:rFonts w:ascii="Times New Roman" w:cs="Times New Roman" w:eastAsia="Times New Roman" w:hAnsi="Times New Roman"/>
          <w:sz w:val="18"/>
          <w:szCs w:val="18"/>
          <w:color w:val="auto"/>
        </w:rPr>
      </w:pPr>
    </w:p>
    <w:p>
      <w:pPr>
        <w:ind w:left="-20" w:firstLine="1428"/>
        <w:spacing w:after="0" w:line="253" w:lineRule="auto"/>
        <w:tabs>
          <w:tab w:leader="none" w:pos="1657"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consummation of the Proposed Sale (i) each holder of each class or series of the Company’s capital stock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the holders of a majority of the Preferred Stock (voting together as a single class and on an as-converted basis) elect to receive a lesser amount by written notice given to the Company at least ten (10) days prior to the effective date of any such Proposed Sale,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Company’s Certificate of Incorporation in effect immediately prior to the Proposed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notwithstanding the foregoing, if the consideration to be paid in exchange for the Key Holder Shares or Investor Shares, as applicable, pursuant to this </w:t>
      </w:r>
      <w:r>
        <w:rPr>
          <w:rFonts w:ascii="Times New Roman" w:cs="Times New Roman" w:eastAsia="Times New Roman" w:hAnsi="Times New Roman"/>
          <w:sz w:val="18"/>
          <w:szCs w:val="18"/>
          <w:u w:val="single" w:color="auto"/>
          <w:color w:val="auto"/>
        </w:rPr>
        <w:t>Subsection 3.3(e)</w:t>
      </w:r>
      <w:r>
        <w:rPr>
          <w:rFonts w:ascii="Times New Roman" w:cs="Times New Roman" w:eastAsia="Times New Roman" w:hAnsi="Times New Roman"/>
          <w:sz w:val="18"/>
          <w:szCs w:val="18"/>
          <w:color w:val="auto"/>
        </w:rPr>
        <w:t xml:space="preserve"> includes any securities and due receipt thereof by any Key Holder or Investor would require under applicable law (x) the registration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70" w:right="459" w:bottom="1440" w:gutter="0" w:footer="0" w:header="0"/>
        </w:sectPr>
      </w:pPr>
    </w:p>
    <w:bookmarkStart w:id="734" w:name="page735"/>
    <w:bookmarkEnd w:id="73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qualification of such securities or of any person as a broker or dealer or agent with respect to such securities; or (y) the provision to any Key Holder or Investor of any information other than such information as a prudent issuer would generally furnish in an offering made solely to “accredited investors” as defined in Regulation D promulgated under the Securities Act, the Company may cause to be paid to any such Key Holder or Investor in lieu thereof, against surrender of the Key Holder Shares or Investor Shares, as applicable, which would have otherwise been sold by such Key Holder or Investor, an amount in cash equal to the fair value (as determined in good faith by the Company) of the securities which such Key Holder or Investor would otherwise receive as of the date of the issuance of such securities in exchange for the Key Holder Shares or Investor Shares, as applicable; and</w:t>
      </w:r>
    </w:p>
    <w:p>
      <w:pPr>
        <w:spacing w:after="0" w:line="187" w:lineRule="exact"/>
        <w:rPr>
          <w:sz w:val="20"/>
          <w:szCs w:val="20"/>
          <w:color w:val="auto"/>
        </w:rPr>
      </w:pPr>
    </w:p>
    <w:p>
      <w:pPr>
        <w:ind w:right="40" w:firstLine="1428"/>
        <w:spacing w:after="0" w:line="258" w:lineRule="auto"/>
        <w:tabs>
          <w:tab w:leader="none" w:pos="1657"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(e) above, requiring the same form of consideration to be available to the holders of any single class or series of capital stock, if any holders of any capital stock of the Company are given an option as to the form and amount of consideration to be received as a result of the Proposed Sale, all holders of such capital stock will be given the same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Subsection 3.3(f)</w:t>
      </w:r>
      <w:r>
        <w:rPr>
          <w:rFonts w:ascii="Times New Roman" w:cs="Times New Roman" w:eastAsia="Times New Roman" w:hAnsi="Times New Roman"/>
          <w:sz w:val="18"/>
          <w:szCs w:val="18"/>
          <w:color w:val="auto"/>
        </w:rPr>
        <w:t xml:space="preserve"> shall entitle any holder to receive any form of consideration that such holder would be ineligible to receive as a result of such holder’s failure to satisfy any condition, requirement or limitation that is generally applicable to the Company’s stockholders.</w:t>
      </w:r>
    </w:p>
    <w:p>
      <w:pPr>
        <w:spacing w:after="0" w:line="183"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Restrictions on Sales of Control of the Company</w:t>
      </w:r>
      <w:r>
        <w:rPr>
          <w:rFonts w:ascii="Times New Roman" w:cs="Times New Roman" w:eastAsia="Times New Roman" w:hAnsi="Times New Roman"/>
          <w:sz w:val="18"/>
          <w:szCs w:val="18"/>
          <w:color w:val="auto"/>
        </w:rPr>
        <w:t>. No Stockholder shall be a party to any Stock Sale unless all holders of Preferred Stock are allowed to participate in such transaction and the consideration received pursuant to such transaction is allocated among the parties thereto in the manner specified in the Company’s Certificate of Incorporation in effect immediately prior to the Stock Sale (as if such transaction were a Deemed Liquidation Event), unless the holders of a majority of the Preferred Stock (voting together as a single class and on an as-converted basis) elect otherwise by written notice given to the Company at least ten (10) days prior to the effective date of any such transaction or series of related transactions.</w:t>
      </w:r>
    </w:p>
    <w:p>
      <w:pPr>
        <w:spacing w:after="0" w:line="187" w:lineRule="exact"/>
        <w:rPr>
          <w:sz w:val="20"/>
          <w:szCs w:val="20"/>
          <w:color w:val="auto"/>
        </w:rPr>
      </w:pPr>
    </w:p>
    <w:p>
      <w:pPr>
        <w:ind w:left="620" w:hanging="184"/>
        <w:spacing w:after="0"/>
        <w:tabs>
          <w:tab w:leader="none" w:pos="620"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agrees to use its best efforts, within the requirements of applicable law, to ensure that the rights granted under this Agreement are effective and that the parties enjoy the benefits of this Agreement. Such actions include, without limitation, the use of the Company’s best efforts to cause the nomination and election of the directors as provided in this Agreement.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Irrevocable Proxy and Power of Attorney</w:t>
      </w:r>
      <w:r>
        <w:rPr>
          <w:rFonts w:ascii="Times New Roman" w:cs="Times New Roman" w:eastAsia="Times New Roman" w:hAnsi="Times New Roman"/>
          <w:sz w:val="18"/>
          <w:szCs w:val="18"/>
          <w:color w:val="auto"/>
        </w:rPr>
        <w:t xml:space="preserve">. Each party to this Agreement hereby constitutes and appoints as the proxies of the party and hereby grants a power of attorney to the President of the Company, and a designee of the Electing Holders, and each of them, with full power of substitution, with respect to the matters set forth herein, including, without limitation, election of persons as members of the Board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hereto, votes to increase authorized shares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votes regarding any Sale of the Company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hereby authorizes each of them to represent and vote, if and only if the party (i) fails to vote, or (ii) attempts to vote (whether by proxy, in person or by written consent), in a manner which is inconsistent with the terms of this Agreement, all of such party’s Shares in favor of the election of persons as members of the Board determined pursuant to and in accordance with the terms and provisions of this Agreement or the increase 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735" w:name="page736"/>
    <w:bookmarkEnd w:id="7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authorized shares or approval of any Sale of the Company pursuant to and in accordance with the terms and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respectively, of this Agreement or to take any action necessary to effect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respectively, of this Agreement. The power of attorney granted hereunder shall authorize the President of the Company to execute and deliver the documentation referred to in Section 3.2(c) on behalf of any party failing to do so within five (5) business days of a request by the Company. Each of the proxy and power of attorney granted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is given in consideration of the agreements and covenants of the Company and the parties in connection with the transactions contemplated by this Agreement and, as such, each is coupled with an interest and shall be irrevocable unless and until this Agreement terminates or expires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Each party hereto hereby revokes any and all previous proxies or powers of attorney with respect to the Shares and shall not hereafter, unless and until this Agreement terminates or expires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in each case, with respect to any of the matters set forth herein.</w:t>
      </w:r>
    </w:p>
    <w:p>
      <w:pPr>
        <w:spacing w:after="0" w:line="19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Each party acknowledges and agrees that each party hereto will be irreparably damaged in the event any of the provisions of this Agreement are not performed by the parties in accordance with their specific terms or are otherwise breached. Accordingly, it is agreed that each of the Company and the Stockholders shall be entitled to an injunction to prevent breaches of this Agreement, and to specific enforcement of this Agreement and its terms and provisions in any action instituted in any court of the United States or any state having subject matter jurisdiction.</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All remedies, either under this Agreement or by law or otherwise afforded to any party, shall be cumulative and not alternative.</w:t>
      </w:r>
    </w:p>
    <w:p>
      <w:pPr>
        <w:spacing w:after="0" w:line="162" w:lineRule="exact"/>
        <w:rPr>
          <w:sz w:val="20"/>
          <w:szCs w:val="20"/>
          <w:color w:val="auto"/>
        </w:rPr>
      </w:pPr>
    </w:p>
    <w:p>
      <w:pPr>
        <w:ind w:left="620" w:hanging="184"/>
        <w:spacing w:after="0"/>
        <w:tabs>
          <w:tab w:leader="none" w:pos="62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Bad Actor”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sz w:val="20"/>
          <w:szCs w:val="20"/>
          <w:color w:val="auto"/>
        </w:rPr>
      </w:pPr>
    </w:p>
    <w:p>
      <w:pPr>
        <w:ind w:right="200" w:firstLine="1428"/>
        <w:spacing w:after="0" w:line="286" w:lineRule="auto"/>
        <w:tabs>
          <w:tab w:leader="none" w:pos="1677"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54" w:lineRule="exact"/>
        <w:rPr>
          <w:rFonts w:ascii="Times New Roman" w:cs="Times New Roman" w:eastAsia="Times New Roman" w:hAnsi="Times New Roman"/>
          <w:sz w:val="18"/>
          <w:szCs w:val="18"/>
          <w:color w:val="auto"/>
        </w:rPr>
      </w:pPr>
    </w:p>
    <w:p>
      <w:pPr>
        <w:ind w:right="860" w:firstLine="1428"/>
        <w:spacing w:after="0" w:line="286" w:lineRule="auto"/>
        <w:tabs>
          <w:tab w:leader="none" w:pos="1687"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Designee</w:t>
      </w:r>
      <w:r>
        <w:rPr>
          <w:rFonts w:ascii="Times New Roman" w:cs="Times New Roman" w:eastAsia="Times New Roman" w:hAnsi="Times New Roman"/>
          <w:sz w:val="18"/>
          <w:szCs w:val="18"/>
          <w:color w:val="auto"/>
        </w:rPr>
        <w:t>” means any director designee to whom any Disqualification Event is applicable, except for a Disqualification Event as to which Rule 506(d)(2)(ii) or (iii) or (d)(3) is applicable.</w:t>
      </w:r>
    </w:p>
    <w:p>
      <w:pPr>
        <w:spacing w:after="0" w:line="154"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means a “bad actor” disqualifying event described in Rule 506(d)(1)(i)-(viii) promulgated under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2" w:lineRule="exact"/>
        <w:rPr>
          <w:rFonts w:ascii="Times New Roman" w:cs="Times New Roman" w:eastAsia="Times New Roman" w:hAnsi="Times New Roman"/>
          <w:sz w:val="18"/>
          <w:szCs w:val="18"/>
          <w:color w:val="auto"/>
        </w:rPr>
      </w:pPr>
    </w:p>
    <w:p>
      <w:pPr>
        <w:ind w:right="580" w:firstLine="1428"/>
        <w:spacing w:after="0" w:line="286" w:lineRule="auto"/>
        <w:tabs>
          <w:tab w:leader="none" w:pos="1687"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506(d) Related Party</w:t>
      </w:r>
      <w:r>
        <w:rPr>
          <w:rFonts w:ascii="Times New Roman" w:cs="Times New Roman" w:eastAsia="Times New Roman" w:hAnsi="Times New Roman"/>
          <w:sz w:val="18"/>
          <w:szCs w:val="18"/>
          <w:color w:val="auto"/>
        </w:rPr>
        <w:t>” means, with respect to any Person, any other Person that is a beneficial owner of such first Person’s securities for purposes of Rule 506(d) under the Securities Act.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736" w:name="page737"/>
    <w:bookmarkEnd w:id="73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3" w:lineRule="auto"/>
        <w:tabs>
          <w:tab w:leader="none" w:pos="1681"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with the right to designate or participate in the designation of a director pursuant to this Agreement hereby represents that (i) such Person has exercised reasonable care to determine whether any Disqualification Event is applicable to such Person, any director designee designated by such Person pursuant to this Agreement or any of such Person’s Rule 506(d) Related Parties, except, if applicable, for a Disqualification Event as to which Rule 506(d)(2)(ii) or (iii) or (d)(3) is applicable and (ii) no Disqualification Event is applicable to such Person, any Board member designated by such Person pursuant to this Agreement or any of such Person’s Rule 506(d) Related Parties, except, if applicable, for a Disqualification Event as to which Rule 506(d)(2)(ii) or (iii) or (d)(3) is applicable. Notwithstanding anything to the contrary in this Agreement, each Investor makes no representation regarding any Person that may be deemed to be a beneficial owner of the Company’s voting equity securities held by such Investor solely by virtue of that Person being or becoming a party to (x) this Agreement, as may be subsequently amended, or (y) any other contract or written agreement to which the Company and such Investor are parties regarding (1) the voting power, which includes the power to vote or to direct the voting of, such security; and/or (2) the investment power, which includes the power to dispose, or to direct the disposition of, such security.</w:t>
      </w:r>
    </w:p>
    <w:p>
      <w:pPr>
        <w:spacing w:after="0" w:line="194" w:lineRule="exact"/>
        <w:rPr>
          <w:rFonts w:ascii="Times New Roman" w:cs="Times New Roman" w:eastAsia="Times New Roman" w:hAnsi="Times New Roman"/>
          <w:sz w:val="18"/>
          <w:szCs w:val="18"/>
          <w:color w:val="auto"/>
        </w:rPr>
      </w:pPr>
    </w:p>
    <w:p>
      <w:pPr>
        <w:jc w:val="both"/>
        <w:ind w:left="4" w:right="100" w:firstLine="1428"/>
        <w:spacing w:after="0" w:line="312" w:lineRule="auto"/>
        <w:tabs>
          <w:tab w:leader="none" w:pos="1691" w:val="left"/>
        </w:tabs>
        <w:numPr>
          <w:ilvl w:val="0"/>
          <w:numId w:val="7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represents and warrants to the Investors that no Disqualification Event is applicable to the Company or, to the Company’s knowledge, any Company Covered Person, except for a Disqualification Event as to which Rule 506(d)(2)(ii–iv) or (d)(3) is applicable.</w:t>
      </w:r>
    </w:p>
    <w:p>
      <w:pPr>
        <w:spacing w:after="0" w:line="140" w:lineRule="exact"/>
        <w:rPr>
          <w:sz w:val="20"/>
          <w:szCs w:val="20"/>
          <w:color w:val="auto"/>
        </w:rPr>
      </w:pPr>
    </w:p>
    <w:p>
      <w:pPr>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Each Person with the right to designate or participate in the designation of a director pursuant to this Agreement covenants and agrees (i) not to designate or participate in the designation of any director designee who, to such Person’s knowledge, is a Disqualified Designee,</w:t>
      </w:r>
    </w:p>
    <w:p>
      <w:pPr>
        <w:spacing w:after="0" w:line="1" w:lineRule="exact"/>
        <w:rPr>
          <w:sz w:val="20"/>
          <w:szCs w:val="20"/>
          <w:color w:val="auto"/>
        </w:rPr>
      </w:pPr>
    </w:p>
    <w:p>
      <w:pPr>
        <w:ind w:left="4" w:right="20" w:hanging="4"/>
        <w:spacing w:after="0" w:line="252" w:lineRule="auto"/>
        <w:tabs>
          <w:tab w:leader="none" w:pos="269"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reasonable care to determine whether any director designee designated by such person is a Disqualified Designee, (iii)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 and (iv) to notify the Company promptly in writing in the event a Disqualification Event becomes applicable to such Person or any of its Rule 506(d) Related Parties, or, to such Person’s knowledge, to such Person’s initial designee named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except, if applicable, for a Disqualification Event as to which Rule 506(d)(2)(ii) or (iii) or (d)(3) is applicable.</w:t>
      </w:r>
    </w:p>
    <w:p>
      <w:pPr>
        <w:spacing w:after="0" w:line="18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be effective as of the date hereof and shall continue in effect until and shall terminate upon the earliest to occur of</w:t>
      </w:r>
    </w:p>
    <w:p>
      <w:pPr>
        <w:spacing w:after="0" w:line="27" w:lineRule="exact"/>
        <w:rPr>
          <w:rFonts w:ascii="Times New Roman" w:cs="Times New Roman" w:eastAsia="Times New Roman" w:hAnsi="Times New Roman"/>
          <w:sz w:val="18"/>
          <w:szCs w:val="18"/>
          <w:color w:val="auto"/>
        </w:rPr>
      </w:pPr>
    </w:p>
    <w:p>
      <w:pPr>
        <w:ind w:left="4" w:right="20" w:hanging="4"/>
        <w:spacing w:after="0" w:line="271" w:lineRule="auto"/>
        <w:tabs>
          <w:tab w:leader="none" w:pos="249" w:val="left"/>
        </w:tabs>
        <w:numPr>
          <w:ilvl w:val="0"/>
          <w:numId w:val="7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the Company’s first underwritten public offering of its Common Stock (other than a registration statement relating either to the sale of securities to employees of the Company pursuant to its stock option, stock purchase or similar plan or an SEC Rule 145 transaction); (b) the consummation of a Sale of the Company and distribution of proceeds to or escrow for the benefit of the Stockholders in accordance with the Restated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provisions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hereof will continue after the closing of any Sale of the Company to the extent necessary to enforce the provisions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with respect to such Sale of the Company; and (c) termination of this Agreement in accordance with </w:t>
      </w:r>
      <w:r>
        <w:rPr>
          <w:rFonts w:ascii="Times New Roman" w:cs="Times New Roman" w:eastAsia="Times New Roman" w:hAnsi="Times New Roman"/>
          <w:sz w:val="17"/>
          <w:szCs w:val="17"/>
          <w:u w:val="single" w:color="auto"/>
          <w:color w:val="auto"/>
        </w:rPr>
        <w:t>Subsection 7.8</w:t>
      </w:r>
      <w:r>
        <w:rPr>
          <w:rFonts w:ascii="Times New Roman" w:cs="Times New Roman" w:eastAsia="Times New Roman" w:hAnsi="Times New Roman"/>
          <w:sz w:val="17"/>
          <w:szCs w:val="17"/>
          <w:color w:val="auto"/>
        </w:rPr>
        <w:t xml:space="preserve"> below.</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737" w:name="page738"/>
    <w:bookmarkEnd w:id="737"/>
    <w:p>
      <w:pPr>
        <w:ind w:left="620" w:hanging="184"/>
        <w:spacing w:after="0"/>
        <w:tabs>
          <w:tab w:leader="none" w:pos="620"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Additional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6" w:lineRule="auto"/>
        <w:tabs>
          <w:tab w:leader="none" w:pos="1677"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if the Company issues shares of Preferred Stock after the date hereof, as a condition to the issuance of such shares the Company shall require that any purchaser of shares of Preferred Stock become a party to this Agreement by executing and delivering (i) the Adoption Agreement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(ii) a counterpart signature page hereto agreeing to be bound by and subject to the terms of this Agreement as an Investor and Stockholder hereunder. In either event, each such person thereafter shall be deemed an Investor and Stockholder for all purposes under this Agreement. No consent of any other party hereto shall be required for such purchaser to become a party hereto as an Investor hereunder.</w:t>
      </w:r>
    </w:p>
    <w:p>
      <w:pPr>
        <w:spacing w:after="0" w:line="187" w:lineRule="exact"/>
        <w:rPr>
          <w:rFonts w:ascii="Times New Roman" w:cs="Times New Roman" w:eastAsia="Times New Roman" w:hAnsi="Times New Roman"/>
          <w:sz w:val="18"/>
          <w:szCs w:val="18"/>
          <w:color w:val="auto"/>
        </w:rPr>
      </w:pPr>
    </w:p>
    <w:p>
      <w:pPr>
        <w:ind w:right="60" w:firstLine="1428"/>
        <w:spacing w:after="0" w:line="254" w:lineRule="auto"/>
        <w:tabs>
          <w:tab w:leader="none" w:pos="1687"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after the date of this Agreement, the Company enters into an agreement with any Person to issue shares of capital stock to such Person (other than to a purchaser of Preferred Stock described in </w:t>
      </w:r>
      <w:r>
        <w:rPr>
          <w:rFonts w:ascii="Times New Roman" w:cs="Times New Roman" w:eastAsia="Times New Roman" w:hAnsi="Times New Roman"/>
          <w:sz w:val="18"/>
          <w:szCs w:val="18"/>
          <w:u w:val="single" w:color="auto"/>
          <w:color w:val="auto"/>
        </w:rPr>
        <w:t>Subsection 7.1(a)</w:t>
      </w:r>
      <w:r>
        <w:rPr>
          <w:rFonts w:ascii="Times New Roman" w:cs="Times New Roman" w:eastAsia="Times New Roman" w:hAnsi="Times New Roman"/>
          <w:sz w:val="18"/>
          <w:szCs w:val="18"/>
          <w:color w:val="auto"/>
        </w:rPr>
        <w:t xml:space="preserve"> above), following which such Person shall hold Shares constituting one percent (1%) or more of the Company’s then outstanding capital stock (treating for this purpose all shares of Common Stock issuable upon exercise of or conversion of outstanding options, warrants or convertible securities, as if exercised and/or converted or exchanged), then the Company shall cause such Person, as a condition precedent to entering into such agreement, to become a party to this Agreement by executing an Adoption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agreeing to be bound by and subject to the terms of this Agreement as a Stockholder and thereafter such person shall be deemed a Stockholder for all purposes under this Agreement. No consent of any other party hereto shall be required for such Person to become a party hereto as a Key Holder hereunder.</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xml:space="preserve">. Each transferee or assignee of any Shares subject to this Agreement shall continue to be subject to the terms hereof, and, as a condition precedent to the Company’s recognizing such transfer, each transferee or assignee shall agree in writing to be subject to each of the terms of this Agreement by executing and delivering an Adoption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the execution and delivery of an Adoption Agreement by any transferee, such transferee shall be deemed to be a party hereto as if such transferee were the transferor and such transferee’s signature appeared on the signature pages of this Agreement and shall be deemed to be an Investor and Stockholder, or Key Holder and Stockholder, as applicable. The Company shall not permit the transfer of the Shares subject to this Agreement on its books or issue a new certificate representing any such Shares unless and until such transferee shall have complied with the terms of this </w:t>
      </w:r>
      <w:r>
        <w:rPr>
          <w:rFonts w:ascii="Times New Roman" w:cs="Times New Roman" w:eastAsia="Times New Roman" w:hAnsi="Times New Roman"/>
          <w:sz w:val="18"/>
          <w:szCs w:val="18"/>
          <w:u w:val="single" w:color="auto"/>
          <w:color w:val="auto"/>
        </w:rPr>
        <w:t>Subsection 7.2</w:t>
      </w:r>
      <w:r>
        <w:rPr>
          <w:rFonts w:ascii="Times New Roman" w:cs="Times New Roman" w:eastAsia="Times New Roman" w:hAnsi="Times New Roman"/>
          <w:sz w:val="18"/>
          <w:szCs w:val="18"/>
          <w:color w:val="auto"/>
        </w:rPr>
        <w:t xml:space="preserve">. Each certificate instrument, or book entry representing the Shares subject to this Agreement if issued on or after the date of this Agreement shall be notated by the Company with the legend set forth in </w:t>
      </w:r>
      <w:r>
        <w:rPr>
          <w:rFonts w:ascii="Times New Roman" w:cs="Times New Roman" w:eastAsia="Times New Roman" w:hAnsi="Times New Roman"/>
          <w:sz w:val="18"/>
          <w:szCs w:val="18"/>
          <w:u w:val="single" w:color="auto"/>
          <w:color w:val="auto"/>
        </w:rPr>
        <w:t>Subsection 7.12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38" w:name="page739"/>
    <w:bookmarkEnd w:id="738"/>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hereto or their respective successors and assigns any rights, remedies, obligations, or liabilities under or by reason of this Agreement, except as expressly provided in this Agreement.</w:t>
      </w:r>
    </w:p>
    <w:p>
      <w:pPr>
        <w:spacing w:after="0" w:line="162"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60" w:firstLine="1428"/>
        <w:spacing w:after="0" w:line="272" w:lineRule="auto"/>
        <w:tabs>
          <w:tab w:leader="none" w:pos="1681" w:val="left"/>
        </w:tabs>
        <w:numPr>
          <w:ilvl w:val="1"/>
          <w:numId w:val="7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w:t>
      </w:r>
    </w:p>
    <w:p>
      <w:pPr>
        <w:spacing w:after="0" w:line="1" w:lineRule="exact"/>
        <w:rPr>
          <w:rFonts w:ascii="Times New Roman" w:cs="Times New Roman" w:eastAsia="Times New Roman" w:hAnsi="Times New Roman"/>
          <w:sz w:val="17"/>
          <w:szCs w:val="17"/>
          <w:color w:val="auto"/>
        </w:rPr>
      </w:pPr>
    </w:p>
    <w:p>
      <w:pPr>
        <w:ind w:left="4" w:right="40" w:hanging="4"/>
        <w:spacing w:after="0" w:line="270" w:lineRule="auto"/>
        <w:tabs>
          <w:tab w:leader="none" w:pos="259" w:val="left"/>
        </w:tabs>
        <w:numPr>
          <w:ilvl w:val="0"/>
          <w:numId w:val="7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hereto, or to such email address, facsimile number or address as subsequently modified by written notice given in accordance with this </w:t>
      </w:r>
      <w:r>
        <w:rPr>
          <w:rFonts w:ascii="Times New Roman" w:cs="Times New Roman" w:eastAsia="Times New Roman" w:hAnsi="Times New Roman"/>
          <w:sz w:val="17"/>
          <w:szCs w:val="17"/>
          <w:u w:val="single" w:color="auto"/>
          <w:color w:val="auto"/>
        </w:rPr>
        <w:t>Subsection 7.7</w:t>
      </w:r>
      <w:r>
        <w:rPr>
          <w:rFonts w:ascii="Times New Roman" w:cs="Times New Roman" w:eastAsia="Times New Roman" w:hAnsi="Times New Roman"/>
          <w:sz w:val="17"/>
          <w:szCs w:val="17"/>
          <w:color w:val="auto"/>
        </w:rPr>
        <w:t>. If notice is given to the Company, a copy shall also be sent to Goodwin Procter LLP, 100 Northern Avenue, Boston, MA 02210, Attention: Richard A. Hoffman and if notice is given to Stockholders, a copy shall also be given to [Cullinan Oncology, LLC, 1 Main Street, Suite 520, Cambridge, MA 02142], Attention: [Owen Hughes].</w:t>
      </w:r>
    </w:p>
    <w:p>
      <w:pPr>
        <w:spacing w:after="0" w:line="174" w:lineRule="exact"/>
        <w:rPr>
          <w:rFonts w:ascii="Times New Roman" w:cs="Times New Roman" w:eastAsia="Times New Roman" w:hAnsi="Times New Roman"/>
          <w:sz w:val="17"/>
          <w:szCs w:val="17"/>
          <w:color w:val="auto"/>
        </w:rPr>
      </w:pPr>
    </w:p>
    <w:p>
      <w:pPr>
        <w:ind w:left="4" w:right="20" w:firstLine="1428"/>
        <w:spacing w:after="0" w:line="254" w:lineRule="auto"/>
        <w:tabs>
          <w:tab w:leader="none" w:pos="1691" w:val="left"/>
        </w:tabs>
        <w:numPr>
          <w:ilvl w:val="1"/>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Each Investor and Key Holder consents to the delivery of any stockholder notice pursuant to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as amended or superseded from time to time, by electronic transmission pursuant to Section 232 of the DGCL (or any successor thereto) at the electronic mail address or the facsimile number set forth below such Investor’s or Key Holder’s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its electronic mail address, and that failure to do so shall not affect the foregoing.</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739" w:name="page740"/>
    <w:bookmarkEnd w:id="739"/>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7.8 </w:t>
      </w:r>
      <w:r>
        <w:rPr>
          <w:rFonts w:ascii="Times New Roman" w:cs="Times New Roman" w:eastAsia="Times New Roman" w:hAnsi="Times New Roman"/>
          <w:sz w:val="18"/>
          <w:szCs w:val="18"/>
          <w:u w:val="single" w:color="auto"/>
          <w:color w:val="auto"/>
        </w:rPr>
        <w:t>Consent Required to Amend, Modify, Terminate or Waive</w:t>
      </w:r>
      <w:r>
        <w:rPr>
          <w:rFonts w:ascii="Times New Roman" w:cs="Times New Roman" w:eastAsia="Times New Roman" w:hAnsi="Times New Roman"/>
          <w:sz w:val="18"/>
          <w:szCs w:val="18"/>
          <w:color w:val="auto"/>
        </w:rPr>
        <w:t>. This Agreement may be amended, modified or terminated and the observance of any term hereof may be waived (either generally or in a particular instance and either retroactively or prospectively)only by a written instrument executed by (i) the Company, (ii) the holders of a majority of the shares of Common Stock issued or issuable upon conversion of the shares of Preferred Stock held by the Investors (voting together as a single class and on an as-converted basis) and (iii) to the extent expressly required below, the Key Holders holding a majority of the shares of Common Stock then held by the Key Holders (in the case of individuals, limited to those Key Holders then providing services to the Company as officers, employees or consultants), which such express requirements as contemplated under the foregoing clause (iii) are as follows:</w:t>
      </w:r>
    </w:p>
    <w:p>
      <w:pPr>
        <w:spacing w:after="0" w:line="189" w:lineRule="exact"/>
        <w:rPr>
          <w:sz w:val="20"/>
          <w:szCs w:val="20"/>
          <w:color w:val="auto"/>
        </w:rPr>
      </w:pPr>
    </w:p>
    <w:p>
      <w:pPr>
        <w:ind w:right="20" w:firstLine="1428"/>
        <w:spacing w:after="0" w:line="266" w:lineRule="auto"/>
        <w:tabs>
          <w:tab w:leader="none" w:pos="1677"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Key Holders shall be required for any amendment or waiver if such amendment or waiver either (A) is directly applicable to the rights of the Key Holders hereunder; or (B) adversely affects the rights of the Key Holders in a manner that is different than the effect on the rights of the other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75" w:lineRule="exact"/>
        <w:rPr>
          <w:rFonts w:ascii="Times New Roman" w:cs="Times New Roman" w:eastAsia="Times New Roman" w:hAnsi="Times New Roman"/>
          <w:sz w:val="18"/>
          <w:szCs w:val="18"/>
          <w:color w:val="auto"/>
        </w:rPr>
      </w:pPr>
    </w:p>
    <w:p>
      <w:pPr>
        <w:ind w:right="40" w:firstLine="1979"/>
        <w:spacing w:after="0" w:line="266" w:lineRule="auto"/>
        <w:tabs>
          <w:tab w:leader="none" w:pos="2238"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modified or terminated and the observance of any term of this Agreement may not be waived with respect to any Investor or Key Holder without the written consent of such Investor or Key Holder unless such amendment, modification, termination or waiver applies to all Investors or Key Holders, as the case may be, in the same fashion; and</w:t>
      </w:r>
    </w:p>
    <w:p>
      <w:pPr>
        <w:spacing w:after="0" w:line="17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hereof may be waived by the waiving party on such party’s own behalf, without the consent of any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and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Except as provided in clause (a)(1) above, no consent of any Key Holder shall be required for any amendment, modification, waiver or termination of this Agreement. Schedule A hereto may be amended by the Company from time to time in accordance with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7.1(b)</w:t>
      </w:r>
      <w:r>
        <w:rPr>
          <w:rFonts w:ascii="Times New Roman" w:cs="Times New Roman" w:eastAsia="Times New Roman" w:hAnsi="Times New Roman"/>
          <w:sz w:val="18"/>
          <w:szCs w:val="18"/>
          <w:color w:val="auto"/>
        </w:rPr>
        <w:t xml:space="preserve"> of this Agreement to add information regarding additional Investors or Key Holders, as applicable, without the consent of the other parties hereto.</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give prompt written notice of any amendment, modification, termination, or waiver hereunder to any party that did not consent in writing thereto. Any amendment, modification, termination, or waiver effected in accordance with this </w:t>
      </w:r>
      <w:r>
        <w:rPr>
          <w:rFonts w:ascii="Times New Roman" w:cs="Times New Roman" w:eastAsia="Times New Roman" w:hAnsi="Times New Roman"/>
          <w:sz w:val="18"/>
          <w:szCs w:val="18"/>
          <w:u w:val="single" w:color="auto"/>
          <w:color w:val="auto"/>
        </w:rPr>
        <w:t>Subsection 7.8</w:t>
      </w:r>
      <w:r>
        <w:rPr>
          <w:rFonts w:ascii="Times New Roman" w:cs="Times New Roman" w:eastAsia="Times New Roman" w:hAnsi="Times New Roman"/>
          <w:sz w:val="18"/>
          <w:szCs w:val="18"/>
          <w:color w:val="auto"/>
        </w:rPr>
        <w:t xml:space="preserve"> shall be binding on each party and all of such party’s successors and permitted assigns, whether or not any such party, successor or assignee entered into or approved such amendment, modification, termination or waiver. For purposes of this </w:t>
      </w:r>
      <w:r>
        <w:rPr>
          <w:rFonts w:ascii="Times New Roman" w:cs="Times New Roman" w:eastAsia="Times New Roman" w:hAnsi="Times New Roman"/>
          <w:sz w:val="18"/>
          <w:szCs w:val="18"/>
          <w:u w:val="single" w:color="auto"/>
          <w:color w:val="auto"/>
        </w:rPr>
        <w:t>Subsection 7.8</w:t>
      </w:r>
      <w:r>
        <w:rPr>
          <w:rFonts w:ascii="Times New Roman" w:cs="Times New Roman" w:eastAsia="Times New Roman" w:hAnsi="Times New Roman"/>
          <w:sz w:val="18"/>
          <w:szCs w:val="18"/>
          <w:color w:val="auto"/>
        </w:rPr>
        <w:t>, the requirement of a written instrument may be satisfied in the form of an action by written consent of the Stockholders circulated by the Company and executed by the Stockholder parties specified, whether or not such action by written consent makes explicit reference to the terms of this Agreement.</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40" w:name="page741"/>
    <w:bookmarkEnd w:id="74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80"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hereto), the Restated Certificate and the other Transaction Agreements (as defined in the Purchase Agreement) constitute the full and entire understanding and agreement between the parties with respect to the subject matter hereof, and any other written or oral agreement relating to the subject matter hereof existing between the parties is expressly canceled.</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Share Certificate Legend</w:t>
      </w:r>
      <w:r>
        <w:rPr>
          <w:rFonts w:ascii="Times New Roman" w:cs="Times New Roman" w:eastAsia="Times New Roman" w:hAnsi="Times New Roman"/>
          <w:sz w:val="18"/>
          <w:szCs w:val="18"/>
          <w:color w:val="auto"/>
        </w:rPr>
        <w:t>. Each certificate, instrument, or book entry representing any Shares issued after the date hereof shall be notated by the Company with a legend reading substantially as follows:</w:t>
      </w:r>
    </w:p>
    <w:p>
      <w:pPr>
        <w:spacing w:after="0" w:line="54"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18"/>
          <w:szCs w:val="18"/>
          <w:color w:val="auto"/>
        </w:rPr>
        <w:t>“THE SHARES REPRESENTED HEREBY ARE SUBJECT TO A VOTING AGREEMENT, AS MAY BE AMENDED FROM TIME TO TIME, (A COPY OF WHICH MAY BE OBTAINED UPON WRITTEN REQUEST FROM THE COMPANY), AND BY ACCEPTING ANY INTEREST IN SUCH SHARES THE PERSON ACCEPTING SUCH INTEREST SHALL BE DEEMED TO AGREE TO AND SHALL BECOME BOUND BY ALL THE PROVISIONS OF THAT VOTING AGREEMENT, INCLUDING CERTAIN RESTRICTIONS ON TRANSFER AND OWNERSHIP SET FORTH THEREIN.”</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by its execution of this Agreement, agrees that it will cause the certificates instruments, or book entry evidencing the Shares issued after the date hereof to be notated with the legend required by this </w:t>
      </w:r>
      <w:r>
        <w:rPr>
          <w:rFonts w:ascii="Times New Roman" w:cs="Times New Roman" w:eastAsia="Times New Roman" w:hAnsi="Times New Roman"/>
          <w:sz w:val="18"/>
          <w:szCs w:val="18"/>
          <w:u w:val="single" w:color="auto"/>
          <w:color w:val="auto"/>
        </w:rPr>
        <w:t>Subsection 7.12</w:t>
      </w:r>
      <w:r>
        <w:rPr>
          <w:rFonts w:ascii="Times New Roman" w:cs="Times New Roman" w:eastAsia="Times New Roman" w:hAnsi="Times New Roman"/>
          <w:sz w:val="18"/>
          <w:szCs w:val="18"/>
          <w:color w:val="auto"/>
        </w:rPr>
        <w:t xml:space="preserve"> of this Agreement, and it shall supply, free of charge, a copy of this Agreement to any holder of such Shares upon written request from such holder to the Company at its principal office. The parties to this Agreement do hereby agree that the failure to cause the certificates, instruments, or book entry evidencing the Shares to be notated with the legend required by this </w:t>
      </w:r>
      <w:r>
        <w:rPr>
          <w:rFonts w:ascii="Times New Roman" w:cs="Times New Roman" w:eastAsia="Times New Roman" w:hAnsi="Times New Roman"/>
          <w:sz w:val="18"/>
          <w:szCs w:val="18"/>
          <w:u w:val="single" w:color="auto"/>
          <w:color w:val="auto"/>
        </w:rPr>
        <w:t>Subsection 7.12</w:t>
      </w:r>
      <w:r>
        <w:rPr>
          <w:rFonts w:ascii="Times New Roman" w:cs="Times New Roman" w:eastAsia="Times New Roman" w:hAnsi="Times New Roman"/>
          <w:sz w:val="18"/>
          <w:szCs w:val="18"/>
          <w:color w:val="auto"/>
        </w:rPr>
        <w:t xml:space="preserve"> herein and/or the failure of the Company to supply, free of charge, a copy of this Agreement as provided hereunder shall not affect the validity or enforcement of this Agreement.</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Stock Splits, Stock Dividends, etc.</w:t>
      </w:r>
      <w:r>
        <w:rPr>
          <w:rFonts w:ascii="Times New Roman" w:cs="Times New Roman" w:eastAsia="Times New Roman" w:hAnsi="Times New Roman"/>
          <w:sz w:val="18"/>
          <w:szCs w:val="18"/>
          <w:color w:val="auto"/>
        </w:rPr>
        <w:t xml:space="preserve"> In the event of any issuance of Shares of the Company’s voting securities hereafter to any of the Stockholders (including, without limitation, in connection with any stock split, stock dividend, recapitalization, reorganization, or the like), such Shares shall become subject to this Agreement and shall be notated with the legend set forth in </w:t>
      </w:r>
      <w:r>
        <w:rPr>
          <w:rFonts w:ascii="Times New Roman" w:cs="Times New Roman" w:eastAsia="Times New Roman" w:hAnsi="Times New Roman"/>
          <w:sz w:val="18"/>
          <w:szCs w:val="18"/>
          <w:u w:val="single" w:color="auto"/>
          <w:color w:val="auto"/>
        </w:rPr>
        <w:t>Subsection 7.12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Manner of Voting</w:t>
      </w:r>
      <w:r>
        <w:rPr>
          <w:rFonts w:ascii="Times New Roman" w:cs="Times New Roman" w:eastAsia="Times New Roman" w:hAnsi="Times New Roman"/>
          <w:sz w:val="18"/>
          <w:szCs w:val="18"/>
          <w:color w:val="auto"/>
        </w:rPr>
        <w:t>. The voting of Shares pursuant to this Agreement may be effected in person, by proxy, by written consent or in any other manner permitted by applicable law. For the avoidance of doubt, voting of the Shares pursuant to the Agreement need not make explicit reference to the terms of this Agreement.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741" w:name="page742"/>
    <w:bookmarkEnd w:id="741"/>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8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party will bear its own costs in respect of any disputes arising under this Agreement. 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Delaware or any court of the State of Delaware having subject matter jurisdiction.</w:t>
      </w:r>
    </w:p>
    <w:p>
      <w:pPr>
        <w:spacing w:after="0" w:line="180" w:lineRule="exact"/>
        <w:rPr>
          <w:sz w:val="20"/>
          <w:szCs w:val="20"/>
          <w:color w:val="auto"/>
        </w:rPr>
      </w:pPr>
    </w:p>
    <w:p>
      <w:pPr>
        <w:jc w:val="both"/>
        <w:ind w:right="5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7.17 </w:t>
      </w:r>
      <w:r>
        <w:rPr>
          <w:rFonts w:ascii="Times New Roman" w:cs="Times New Roman" w:eastAsia="Times New Roman" w:hAnsi="Times New Roman"/>
          <w:sz w:val="17"/>
          <w:szCs w:val="17"/>
          <w:u w:val="single" w:color="auto"/>
          <w:color w:val="auto"/>
        </w:rPr>
        <w:t>Costs of Enforcement</w:t>
      </w:r>
      <w:r>
        <w:rPr>
          <w:rFonts w:ascii="Times New Roman" w:cs="Times New Roman" w:eastAsia="Times New Roman" w:hAnsi="Times New Roman"/>
          <w:sz w:val="17"/>
          <w:szCs w:val="17"/>
          <w:color w:val="auto"/>
        </w:rPr>
        <w:t>. If any party to this Agreement seeks to enforce its rights under this Agreement by legal proceedings, the non-prevailing party shall pay all costs and expenses incurred by the prevailing party, including, without limitation, all reasonable attorneys’ fees.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42" w:name="page743"/>
    <w:bookmarkEnd w:id="742"/>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7.18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held or acquired by a Stockholder and/or its Affiliates shall be aggregated together for the purpose of determining the availability of any rights under this Agreement, and such Affiliated persons may apportion such rights as among themselves in any manner they deem appropriate.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If any individual Stockholder is married on the date of this Agreement, such Stockholder’s spouse shall execute and deliver to the Company a consent of spouse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Consent of Spouse</w:t>
      </w:r>
      <w:r>
        <w:rPr>
          <w:rFonts w:ascii="Times New Roman" w:cs="Times New Roman" w:eastAsia="Times New Roman" w:hAnsi="Times New Roman"/>
          <w:sz w:val="18"/>
          <w:szCs w:val="18"/>
          <w:color w:val="auto"/>
        </w:rPr>
        <w:t>”), effective on the date hereof. Notwithstanding the execution and delivery thereof, such consent shall not be deemed to confer or convey to the spouse any rights in such Stockholder’s Shares that do not otherwise exist by operation of law or the agreement of the parties. If any individual Stockholder should marry or remarry subsequent to the date of this Agreement, such Stockholder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Other Business Activities of Investors</w:t>
      </w:r>
      <w:r>
        <w:rPr>
          <w:rFonts w:ascii="Times New Roman" w:cs="Times New Roman" w:eastAsia="Times New Roman" w:hAnsi="Times New Roman"/>
          <w:sz w:val="18"/>
          <w:szCs w:val="18"/>
          <w:color w:val="auto"/>
        </w:rPr>
        <w:t>. The Company acknowledges that certain of the Investors are in the business of venture capital investing and therefore review the business plans and related proprietary information of many enterprises, including enterprises that may have products or services that compete directly or indirectly with those of the Company. Nothing in this Agreement or any other Transaction Agreement (as defined in the Purchase Agreement) shall preclude or in any way restrict the Investors from investing or participating in any particular enterprise, whether or not such enterprise has products or services that compete with those of the Company. Further, the Company, each Investor, and each Key Holder acknowledges and agrees that (i) certain of the Investors (or the Affiliates of such Investors) (each, a “</w:t>
      </w:r>
      <w:r>
        <w:rPr>
          <w:rFonts w:ascii="Times New Roman" w:cs="Times New Roman" w:eastAsia="Times New Roman" w:hAnsi="Times New Roman"/>
          <w:sz w:val="18"/>
          <w:szCs w:val="18"/>
          <w:b w:val="1"/>
          <w:bCs w:val="1"/>
          <w:color w:val="auto"/>
        </w:rPr>
        <w:t>Strategic Investor</w:t>
      </w:r>
      <w:r>
        <w:rPr>
          <w:rFonts w:ascii="Times New Roman" w:cs="Times New Roman" w:eastAsia="Times New Roman" w:hAnsi="Times New Roman"/>
          <w:sz w:val="18"/>
          <w:szCs w:val="18"/>
          <w:color w:val="auto"/>
        </w:rPr>
        <w:t>”) may presently have, or may engage in the future in, internal development programs, or may receive information from third parties that relates to, and may develop and commercialize products independently or in cooperation with such third parties, that are similar to or that are directly or indirectly competitive with, the Company’s development programs, products or services, and (ii) any employee of such Strategic Investor serving on the Board of Directors is serving in such capacity at the request, and for the benefit, of the Company. Accordingly, such Strategic Investor’s designation of any individual to the Board of Directors (the “</w:t>
      </w:r>
      <w:r>
        <w:rPr>
          <w:rFonts w:ascii="Times New Roman" w:cs="Times New Roman" w:eastAsia="Times New Roman" w:hAnsi="Times New Roman"/>
          <w:sz w:val="18"/>
          <w:szCs w:val="18"/>
          <w:b w:val="1"/>
          <w:bCs w:val="1"/>
          <w:color w:val="auto"/>
        </w:rPr>
        <w:t>Board Designee</w:t>
      </w:r>
      <w:r>
        <w:rPr>
          <w:rFonts w:ascii="Times New Roman" w:cs="Times New Roman" w:eastAsia="Times New Roman" w:hAnsi="Times New Roman"/>
          <w:sz w:val="18"/>
          <w:szCs w:val="18"/>
          <w:color w:val="auto"/>
        </w:rPr>
        <w:t>”), the service of such Board Designee on the Board of Directors, or the exercise by such Strategic Investor of any rights under this Agreement or any of the Transaction Agreements, shall not in any way preclude or restrict such Strategic Investor from conducting any development program, commercializing any product or service or otherwise engaging in any enterprise, whether or not such development program, product, service or enterprise, competes with those of the Company, so long as such activities do not result in a violation of the confidentiality provisions of this Agreement or any other Transaction Agreement.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743" w:name="page744"/>
    <w:bookmarkEnd w:id="7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Voting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COMPANY:</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i w:val="1"/>
          <w:iCs w:val="1"/>
          <w:color w:val="auto"/>
        </w:rPr>
        <w:t>[CULLINAN ASSET SUBSIDIARY]</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744" w:name="page745"/>
    <w:bookmarkEnd w:id="7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Voting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[CULLINAN ONCOLOGY,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[Owen Hughes]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 and President]</w:t>
      </w:r>
    </w:p>
    <w:p>
      <w:pPr>
        <w:sectPr>
          <w:pgSz w:w="11900" w:h="16838" w:orient="portrait"/>
          <w:cols w:equalWidth="0" w:num="1">
            <w:col w:w="9620"/>
          </w:cols>
          <w:pgMar w:left="880" w:top="270" w:right="1399" w:bottom="1440" w:gutter="0" w:footer="0" w:header="0"/>
        </w:sectPr>
      </w:pPr>
    </w:p>
    <w:bookmarkStart w:id="745" w:name="page746"/>
    <w:bookmarkEnd w:id="7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Voting Agreement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KEY HOLDERS:</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746" w:name="page747"/>
    <w:bookmarkEnd w:id="746"/>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100" w:type="dxa"/>
            <w:vAlign w:val="bottom"/>
            <w:gridSpan w:val="3"/>
          </w:tcPr>
          <w:p>
            <w:pPr>
              <w:jc w:val="center"/>
              <w:ind w:right="4868"/>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453"/>
        </w:trPr>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INVESTORS</w:t>
            </w:r>
          </w:p>
        </w:tc>
        <w:tc>
          <w:tcPr>
            <w:tcW w:w="4940" w:type="dxa"/>
            <w:vAlign w:val="bottom"/>
          </w:tcPr>
          <w:p>
            <w:pPr>
              <w:spacing w:after="0"/>
              <w:rPr>
                <w:sz w:val="24"/>
                <w:szCs w:val="24"/>
                <w:color w:val="auto"/>
              </w:rPr>
            </w:pPr>
          </w:p>
        </w:tc>
      </w:tr>
      <w:tr>
        <w:trPr>
          <w:trHeight w:val="398"/>
        </w:trPr>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Number of Shares Held</w:t>
            </w:r>
          </w:p>
        </w:tc>
      </w:tr>
      <w:tr>
        <w:trPr>
          <w:trHeight w:val="40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Oncology, LLC</w:t>
            </w:r>
          </w:p>
        </w:tc>
        <w:tc>
          <w:tcPr>
            <w:tcW w:w="1480" w:type="dxa"/>
            <w:vAlign w:val="bottom"/>
          </w:tcPr>
          <w:p>
            <w:pPr>
              <w:spacing w:after="0"/>
              <w:rPr>
                <w:sz w:val="24"/>
                <w:szCs w:val="24"/>
                <w:color w:val="auto"/>
              </w:rPr>
            </w:pPr>
          </w:p>
        </w:tc>
        <w:tc>
          <w:tcPr>
            <w:tcW w:w="6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Main Street, Suite 520</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Cambridge, MA 02142]</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47" w:name="page748"/>
    <w:bookmarkEnd w:id="747"/>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100" w:type="dxa"/>
            <w:vAlign w:val="bottom"/>
            <w:gridSpan w:val="3"/>
          </w:tcPr>
          <w:p>
            <w:pPr>
              <w:jc w:val="center"/>
              <w:ind w:right="4868"/>
              <w:spacing w:after="0"/>
              <w:rPr>
                <w:sz w:val="20"/>
                <w:szCs w:val="20"/>
                <w:color w:val="auto"/>
              </w:rPr>
            </w:pPr>
            <w:r>
              <w:rPr>
                <w:rFonts w:ascii="Times New Roman" w:cs="Times New Roman" w:eastAsia="Times New Roman" w:hAnsi="Times New Roman"/>
                <w:sz w:val="18"/>
                <w:szCs w:val="18"/>
                <w:b w:val="1"/>
                <w:bCs w:val="1"/>
                <w:color w:val="auto"/>
              </w:rPr>
              <w:t>SCHEDULE B</w:t>
            </w:r>
          </w:p>
        </w:tc>
      </w:tr>
      <w:tr>
        <w:trPr>
          <w:trHeight w:val="20"/>
        </w:trPr>
        <w:tc>
          <w:tcPr>
            <w:tcW w:w="1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53"/>
        </w:trPr>
        <w:tc>
          <w:tcPr>
            <w:tcW w:w="1180" w:type="dxa"/>
            <w:vAlign w:val="bottom"/>
          </w:tcPr>
          <w:p>
            <w:pPr>
              <w:spacing w:after="0"/>
              <w:rPr>
                <w:sz w:val="24"/>
                <w:szCs w:val="24"/>
                <w:color w:val="auto"/>
              </w:rPr>
            </w:pPr>
          </w:p>
        </w:tc>
        <w:tc>
          <w:tcPr>
            <w:tcW w:w="9840" w:type="dxa"/>
            <w:vAlign w:val="bottom"/>
            <w:gridSpan w:val="4"/>
          </w:tcPr>
          <w:p>
            <w:pPr>
              <w:jc w:val="center"/>
              <w:ind w:right="1128"/>
              <w:spacing w:after="0"/>
              <w:rPr>
                <w:sz w:val="20"/>
                <w:szCs w:val="20"/>
                <w:color w:val="auto"/>
              </w:rPr>
            </w:pPr>
            <w:r>
              <w:rPr>
                <w:rFonts w:ascii="Times New Roman" w:cs="Times New Roman" w:eastAsia="Times New Roman" w:hAnsi="Times New Roman"/>
                <w:sz w:val="18"/>
                <w:szCs w:val="18"/>
                <w:b w:val="1"/>
                <w:bCs w:val="1"/>
                <w:color w:val="auto"/>
              </w:rPr>
              <w:t>KEY HOLDERS</w:t>
            </w:r>
          </w:p>
        </w:tc>
      </w:tr>
      <w:tr>
        <w:trPr>
          <w:trHeight w:val="398"/>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Number of Shares Held</w:t>
            </w: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w:t>
            </w:r>
          </w:p>
        </w:tc>
        <w:tc>
          <w:tcPr>
            <w:tcW w:w="3740" w:type="dxa"/>
            <w:vAlign w:val="bottom"/>
          </w:tcPr>
          <w:p>
            <w:pPr>
              <w:spacing w:after="0"/>
              <w:rPr>
                <w:sz w:val="24"/>
                <w:szCs w:val="24"/>
                <w:color w:val="auto"/>
              </w:rPr>
            </w:pPr>
          </w:p>
        </w:tc>
        <w:tc>
          <w:tcPr>
            <w:tcW w:w="6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w:t>
            </w:r>
          </w:p>
        </w:tc>
      </w:tr>
      <w:tr>
        <w:trPr>
          <w:trHeight w:val="23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w:t>
            </w: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48" w:name="page749"/>
    <w:bookmarkEnd w:id="74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Adoption Agreement (“</w:t>
      </w:r>
      <w:r>
        <w:rPr>
          <w:rFonts w:ascii="Times New Roman" w:cs="Times New Roman" w:eastAsia="Times New Roman" w:hAnsi="Times New Roman"/>
          <w:sz w:val="18"/>
          <w:szCs w:val="18"/>
          <w:b w:val="1"/>
          <w:bCs w:val="1"/>
          <w:color w:val="auto"/>
        </w:rPr>
        <w:t>Adoption Agreement</w:t>
      </w:r>
      <w:r>
        <w:rPr>
          <w:rFonts w:ascii="Times New Roman" w:cs="Times New Roman" w:eastAsia="Times New Roman" w:hAnsi="Times New Roman"/>
          <w:sz w:val="18"/>
          <w:szCs w:val="18"/>
          <w:color w:val="auto"/>
        </w:rPr>
        <w:t>”) is executed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by the undersigned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pursuant to the terms of that certain Voting Agreement dated as of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spacing w:after="0" w:line="176"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Holder acknowledges that Holder is acquiring certain shares of the capital stock of the Company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for one of the following reasons (Check the correct box):</w:t>
      </w:r>
    </w:p>
    <w:p>
      <w:pPr>
        <w:spacing w:after="0" w:line="64" w:lineRule="exact"/>
        <w:rPr>
          <w:sz w:val="20"/>
          <w:szCs w:val="20"/>
          <w:color w:val="auto"/>
        </w:rPr>
      </w:pPr>
    </w:p>
    <w:p>
      <w:pPr>
        <w:ind w:left="1180" w:right="60" w:hanging="644"/>
        <w:spacing w:after="0" w:line="282" w:lineRule="auto"/>
        <w:tabs>
          <w:tab w:leader="none" w:pos="1180" w:val="left"/>
        </w:tabs>
        <w:numPr>
          <w:ilvl w:val="0"/>
          <w:numId w:val="7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a transferee of Shares from a party in such party’s capacity as an “Investor” bound by the Agreement, and after such transfer, Holder shall be considered an “Investor” and a “Stockholder” for all purposes of the Agreement.</w:t>
      </w:r>
    </w:p>
    <w:p>
      <w:pPr>
        <w:spacing w:after="0" w:line="67" w:lineRule="exact"/>
        <w:rPr>
          <w:rFonts w:ascii="MS PGothic" w:cs="MS PGothic" w:eastAsia="MS PGothic" w:hAnsi="MS PGothic"/>
          <w:sz w:val="18"/>
          <w:szCs w:val="18"/>
          <w:color w:val="auto"/>
        </w:rPr>
      </w:pPr>
    </w:p>
    <w:p>
      <w:pPr>
        <w:ind w:left="1180" w:right="440" w:hanging="644"/>
        <w:spacing w:after="0" w:line="282" w:lineRule="auto"/>
        <w:tabs>
          <w:tab w:leader="none" w:pos="1180" w:val="left"/>
        </w:tabs>
        <w:numPr>
          <w:ilvl w:val="0"/>
          <w:numId w:val="7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67" w:lineRule="exact"/>
        <w:rPr>
          <w:rFonts w:ascii="MS PGothic" w:cs="MS PGothic" w:eastAsia="MS PGothic" w:hAnsi="MS PGothic"/>
          <w:sz w:val="18"/>
          <w:szCs w:val="18"/>
          <w:color w:val="auto"/>
        </w:rPr>
      </w:pPr>
    </w:p>
    <w:p>
      <w:pPr>
        <w:ind w:left="1180" w:right="920" w:hanging="644"/>
        <w:spacing w:after="0" w:line="282" w:lineRule="auto"/>
        <w:tabs>
          <w:tab w:leader="none" w:pos="1180" w:val="left"/>
        </w:tabs>
        <w:numPr>
          <w:ilvl w:val="0"/>
          <w:numId w:val="7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As a new Investor in accordance with </w:t>
      </w:r>
      <w:r>
        <w:rPr>
          <w:rFonts w:ascii="Times New Roman" w:cs="Times New Roman" w:eastAsia="Times New Roman" w:hAnsi="Times New Roman"/>
          <w:sz w:val="18"/>
          <w:szCs w:val="18"/>
          <w:u w:val="single" w:color="auto"/>
          <w:color w:val="auto"/>
        </w:rPr>
        <w:t>Subsection 7.1(a)</w:t>
      </w:r>
      <w:r>
        <w:rPr>
          <w:rFonts w:ascii="Times New Roman" w:cs="Times New Roman" w:eastAsia="Times New Roman" w:hAnsi="Times New Roman"/>
          <w:sz w:val="18"/>
          <w:szCs w:val="18"/>
          <w:color w:val="auto"/>
        </w:rPr>
        <w:t xml:space="preserve"> of the Agreement, in which case Holder will be an “Investor” and a “Stockholder” for all purposes of the Agreement.</w:t>
      </w:r>
    </w:p>
    <w:p>
      <w:pPr>
        <w:spacing w:after="0" w:line="67" w:lineRule="exact"/>
        <w:rPr>
          <w:rFonts w:ascii="MS PGothic" w:cs="MS PGothic" w:eastAsia="MS PGothic" w:hAnsi="MS PGothic"/>
          <w:sz w:val="18"/>
          <w:szCs w:val="18"/>
          <w:color w:val="auto"/>
        </w:rPr>
      </w:pPr>
    </w:p>
    <w:p>
      <w:pPr>
        <w:ind w:left="1180" w:right="560" w:hanging="644"/>
        <w:spacing w:after="0" w:line="282" w:lineRule="auto"/>
        <w:tabs>
          <w:tab w:leader="none" w:pos="1180" w:val="left"/>
        </w:tabs>
        <w:numPr>
          <w:ilvl w:val="0"/>
          <w:numId w:val="7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Subsection 7.1(b)</w:t>
      </w:r>
      <w:r>
        <w:rPr>
          <w:rFonts w:ascii="Times New Roman" w:cs="Times New Roman" w:eastAsia="Times New Roman" w:hAnsi="Times New Roman"/>
          <w:sz w:val="18"/>
          <w:szCs w:val="18"/>
          <w:color w:val="auto"/>
        </w:rPr>
        <w:t xml:space="preserve"> of the Agreement, as a new party who is not a new Investor, in which case Holder will be a “Stockholder” for all purposes of the Agreement.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Holder hereby (a) agrees that the Stock, and any other shares of capital stock or securities required by the Agreement to be bound thereby, shall be bound by and subject to the terms of the Agreement and (b) adopts the Agreement with the same force and effect as if Holder were originally a party thereto.</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Holder at the address or facsimile number listed below Holder’s signature hereto.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4620" w:type="dxa"/>
            <w:vAlign w:val="bottom"/>
            <w:tcBorders>
              <w:bottom w:val="single" w:sz="8" w:color="auto"/>
            </w:tcBorders>
          </w:tcPr>
          <w:p>
            <w:pPr>
              <w:spacing w:after="0"/>
              <w:rPr>
                <w:sz w:val="20"/>
                <w:szCs w:val="20"/>
                <w:color w:val="auto"/>
              </w:rPr>
            </w:pPr>
          </w:p>
        </w:tc>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ACCEPTED AND AGREED:</w:t>
            </w:r>
          </w:p>
        </w:tc>
      </w:tr>
      <w:tr>
        <w:trPr>
          <w:trHeight w:val="439"/>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CULLINAN ASSET SUBSIDIARY</w:t>
            </w:r>
            <w:r>
              <w:rPr>
                <w:rFonts w:ascii="Times New Roman" w:cs="Times New Roman" w:eastAsia="Times New Roman" w:hAnsi="Times New Roman"/>
                <w:sz w:val="18"/>
                <w:szCs w:val="18"/>
                <w:b w:val="1"/>
                <w:bCs w:val="1"/>
                <w:color w:val="auto"/>
              </w:rPr>
              <w:t>]</w:t>
            </w:r>
          </w:p>
        </w:tc>
      </w:tr>
      <w:tr>
        <w:trPr>
          <w:trHeight w:val="22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4"/>
              </w:rPr>
              <w:t>Name and Title</w:t>
            </w:r>
          </w:p>
        </w:tc>
        <w:tc>
          <w:tcPr>
            <w:tcW w:w="4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Signatory</w:t>
            </w:r>
          </w:p>
        </w:tc>
        <w:tc>
          <w:tcPr>
            <w:tcW w:w="80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2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bottom w:val="single" w:sz="8" w:color="auto"/>
            </w:tcBorders>
          </w:tcPr>
          <w:p>
            <w:pPr>
              <w:spacing w:after="0"/>
              <w:rPr>
                <w:sz w:val="24"/>
                <w:szCs w:val="24"/>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w:t>
            </w:r>
          </w:p>
        </w:tc>
      </w:tr>
      <w:tr>
        <w:trPr>
          <w:trHeight w:val="331"/>
        </w:trPr>
        <w:tc>
          <w:tcPr>
            <w:tcW w:w="5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Facsimile Number:</w:t>
            </w:r>
          </w:p>
        </w:tc>
        <w:tc>
          <w:tcPr>
            <w:tcW w:w="800" w:type="dxa"/>
            <w:vAlign w:val="bottom"/>
          </w:tcPr>
          <w:p>
            <w:pPr>
              <w:spacing w:after="0"/>
              <w:rPr>
                <w:sz w:val="24"/>
                <w:szCs w:val="24"/>
                <w:color w:val="auto"/>
              </w:rPr>
            </w:pPr>
          </w:p>
        </w:tc>
        <w:tc>
          <w:tcPr>
            <w:tcW w:w="452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749" w:name="page750"/>
    <w:bookmarkEnd w:id="7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4460" w:type="dxa"/>
            <w:vAlign w:val="bottom"/>
          </w:tcPr>
          <w:p>
            <w:pPr>
              <w:spacing w:after="0"/>
              <w:rPr>
                <w:sz w:val="17"/>
                <w:szCs w:val="17"/>
                <w:color w:val="auto"/>
              </w:rPr>
            </w:pPr>
          </w:p>
        </w:tc>
      </w:tr>
      <w:tr>
        <w:trPr>
          <w:trHeight w:val="453"/>
        </w:trPr>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50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CONSENT OF SPOUSE</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 [</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spouse of [</w:t>
            </w:r>
          </w:p>
        </w:tc>
        <w:tc>
          <w:tcPr>
            <w:tcW w:w="7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 acknowledge that I have read the Voting Agreement, dated as of [</w:t>
            </w:r>
            <w:r>
              <w:rPr>
                <w:rFonts w:ascii="Times New Roman" w:cs="Times New Roman" w:eastAsia="Times New Roman" w:hAnsi="Times New Roman"/>
                <w:sz w:val="18"/>
                <w:szCs w:val="18"/>
                <w:i w:val="1"/>
                <w:iCs w:val="1"/>
                <w:color w:val="auto"/>
                <w:w w:val="99"/>
              </w:rPr>
              <w:t>date</w:t>
            </w:r>
            <w:r>
              <w:rPr>
                <w:rFonts w:ascii="Times New Roman" w:cs="Times New Roman" w:eastAsia="Times New Roman" w:hAnsi="Times New Roman"/>
                <w:sz w:val="18"/>
                <w:szCs w:val="18"/>
                <w:color w:val="auto"/>
                <w:w w:val="99"/>
              </w:rPr>
              <w:t>], to which this Consent is</w:t>
            </w:r>
          </w:p>
        </w:tc>
      </w:tr>
    </w:tbl>
    <w:p>
      <w:pPr>
        <w:spacing w:after="0" w:line="260"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that I know the contents of the Agreement. I am aware that the Agreement contains provisions regarding the voting and transfer of shares of capital stock of the Company that my spouse may own, including any interest I might have therein.</w:t>
      </w:r>
    </w:p>
    <w:p>
      <w:pPr>
        <w:spacing w:after="0" w:line="18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76"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Key Holder’s Spouse</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57" w:right="579" w:bottom="1440" w:gutter="0" w:footer="0" w:header="0"/>
        </w:sectPr>
      </w:pPr>
    </w:p>
    <w:bookmarkStart w:id="750" w:name="page751"/>
    <w:bookmarkEnd w:id="750"/>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4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ectPr>
          <w:pgSz w:w="11900" w:h="16838" w:orient="portrait"/>
          <w:cols w:equalWidth="0" w:num="1">
            <w:col w:w="10020"/>
          </w:cols>
          <w:pgMar w:left="1440" w:top="118" w:right="439" w:bottom="1440" w:gutter="0" w:footer="0" w:header="0"/>
        </w:sectPr>
      </w:pPr>
    </w:p>
    <w:bookmarkStart w:id="751" w:name="page752"/>
    <w:bookmarkEnd w:id="751"/>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480" w:type="dxa"/>
            <w:vAlign w:val="bottom"/>
            <w:gridSpan w:val="4"/>
          </w:tcPr>
          <w:p>
            <w:pPr>
              <w:jc w:val="right"/>
              <w:ind w:right="4468"/>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412"/>
        </w:trPr>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Registration Rights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Demand Registration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Registration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Underwriting Requirements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 Information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of Registration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Delay of Registration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 Under Exchange Act</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2.10</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 on Subsequent Registration Rights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 Stand-off” Agreement</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Restrictions on Transfer</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4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Rights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of Financial Statements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Information Rights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24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Rights to Future Stock Issuances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First Offer</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24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Covenants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Agreements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5.4</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Matters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 Indemnification</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Matters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of Counsel</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to Conduct Activities.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4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Covenants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Miscellaneous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6.3</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24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Titles and Subtitles</w:t>
            </w:r>
          </w:p>
        </w:tc>
        <w:tc>
          <w:tcPr>
            <w:tcW w:w="6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752" w:name="page753"/>
    <w:bookmarkEnd w:id="752"/>
    <w:tbl>
      <w:tblPr>
        <w:tblLayout w:type="fixed"/>
        <w:tblInd w:w="0" w:type="dxa"/>
        <w:tblCellMar>
          <w:top w:w="0" w:type="dxa"/>
          <w:left w:w="0" w:type="dxa"/>
          <w:bottom w:w="0" w:type="dxa"/>
          <w:right w:w="0" w:type="dxa"/>
        </w:tblCellMar>
      </w:tblP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2800" w:type="dxa"/>
            <w:vAlign w:val="bottom"/>
          </w:tcPr>
          <w:p>
            <w:pPr>
              <w:spacing w:after="0"/>
              <w:rPr>
                <w:sz w:val="18"/>
                <w:szCs w:val="18"/>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6.6</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and Waivers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6.8</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Aggregation of Stock</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6.9</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Investors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6.10</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Entire Agreement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6.11</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Resolution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6.12</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Delays or Omissions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6.13</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A</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of Investors</w:t>
            </w:r>
          </w:p>
        </w:tc>
        <w:tc>
          <w:tcPr>
            <w:tcW w:w="6740" w:type="dxa"/>
            <w:vAlign w:val="bottom"/>
          </w:tcPr>
          <w:p>
            <w:pPr>
              <w:spacing w:after="0"/>
              <w:rPr>
                <w:sz w:val="24"/>
                <w:szCs w:val="24"/>
                <w:color w:val="auto"/>
              </w:rPr>
            </w:pPr>
          </w:p>
        </w:tc>
      </w:tr>
      <w:tr>
        <w:trPr>
          <w:trHeight w:val="365"/>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7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31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53" w:name="page754"/>
    <w:bookmarkEnd w:id="7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INVESTORS’ RIGHTS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by and among [</w:t>
      </w:r>
      <w:r>
        <w:rPr>
          <w:rFonts w:ascii="Times New Roman" w:cs="Times New Roman" w:eastAsia="Times New Roman" w:hAnsi="Times New Roman"/>
          <w:sz w:val="18"/>
          <w:szCs w:val="18"/>
          <w:i w:val="1"/>
          <w:iCs w:val="1"/>
          <w:color w:val="auto"/>
        </w:rPr>
        <w:t>Cullinan Asset Subsidiary</w:t>
      </w:r>
      <w:r>
        <w:rPr>
          <w:rFonts w:ascii="Times New Roman" w:cs="Times New Roman" w:eastAsia="Times New Roman" w:hAnsi="Times New Roman"/>
          <w:sz w:val="18"/>
          <w:szCs w:val="18"/>
          <w:color w:val="auto"/>
        </w:rPr>
        <w: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each of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 any Additional Purchaser (as defined in the Purchase Agreement) that becomes a party to this Agreement in accordance with </w:t>
      </w:r>
      <w:r>
        <w:rPr>
          <w:rFonts w:ascii="Times New Roman" w:cs="Times New Roman" w:eastAsia="Times New Roman" w:hAnsi="Times New Roman"/>
          <w:sz w:val="18"/>
          <w:szCs w:val="18"/>
          <w:u w:val="single" w:color="auto"/>
          <w:color w:val="auto"/>
        </w:rPr>
        <w:t>Section 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Investors are parties to the Series A Preferred Stock Purchase Agreement of even date herewith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induce the Company to enter into the Purchase Agreement and to induce the Investors to invest funds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pursuant to the Purchase Agreement,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sz w:val="20"/>
          <w:szCs w:val="20"/>
          <w:color w:val="auto"/>
        </w:rPr>
      </w:pPr>
    </w:p>
    <w:p>
      <w:pPr>
        <w:ind w:firstLine="1432"/>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parent or subsidiary Person, any Person under a common parent, or any general partner, managing member, officer, director or trustee of such Person or any venture capital fund or registered investment company now or hereafter existing that is controlled by one or more general partners, managing members or investment advisors of, or shares the same management company or investment advisor with, such Person.</w:t>
      </w:r>
    </w:p>
    <w:p>
      <w:pPr>
        <w:spacing w:after="0" w:line="1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par value $0.0001 per share.</w:t>
      </w:r>
    </w:p>
    <w:p>
      <w:pPr>
        <w:spacing w:after="0" w:line="22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ectPr>
          <w:pgSz w:w="11900" w:h="16838" w:orient="portrait"/>
          <w:cols w:equalWidth="0" w:num="1">
            <w:col w:w="11000"/>
          </w:cols>
          <w:pgMar w:left="440" w:top="266" w:right="459" w:bottom="1440" w:gutter="0" w:footer="0" w:header="0"/>
        </w:sectPr>
      </w:pPr>
    </w:p>
    <w:bookmarkStart w:id="754" w:name="page755"/>
    <w:bookmarkEnd w:id="754"/>
    <w:p>
      <w:pPr>
        <w:ind w:firstLine="1432"/>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Common Stock, including options and warrants.</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80" w:firstLine="1432"/>
        <w:spacing w:after="0" w:line="259"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79" w:lineRule="exact"/>
        <w:rPr>
          <w:sz w:val="20"/>
          <w:szCs w:val="20"/>
          <w:color w:val="auto"/>
        </w:rPr>
      </w:pPr>
    </w:p>
    <w:p>
      <w:pPr>
        <w:jc w:val="both"/>
        <w:ind w:right="180" w:firstLine="1432"/>
        <w:spacing w:after="0" w:line="26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FOIA Party</w:t>
      </w:r>
      <w:r>
        <w:rPr>
          <w:rFonts w:ascii="Times New Roman" w:cs="Times New Roman" w:eastAsia="Times New Roman" w:hAnsi="Times New Roman"/>
          <w:sz w:val="18"/>
          <w:szCs w:val="18"/>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Times New Roman" w:cs="Times New Roman" w:eastAsia="Times New Roman" w:hAnsi="Times New Roman"/>
          <w:sz w:val="18"/>
          <w:szCs w:val="18"/>
          <w:b w:val="1"/>
          <w:bCs w:val="1"/>
          <w:color w:val="auto"/>
        </w:rPr>
        <w:t>FOIA</w:t>
      </w:r>
      <w:r>
        <w:rPr>
          <w:rFonts w:ascii="Times New Roman" w:cs="Times New Roman" w:eastAsia="Times New Roman" w:hAnsi="Times New Roman"/>
          <w:sz w:val="18"/>
          <w:szCs w:val="18"/>
          <w:color w:val="auto"/>
        </w:rPr>
        <w:t>”), any state public records access law, any state or other jurisdiction’s laws similar in intent or effect to FOIA, or any other similar statutory or regulatory requirement.</w:t>
      </w:r>
    </w:p>
    <w:p>
      <w:pPr>
        <w:spacing w:after="0" w:line="176" w:lineRule="exact"/>
        <w:rPr>
          <w:sz w:val="20"/>
          <w:szCs w:val="20"/>
          <w:color w:val="auto"/>
        </w:rPr>
      </w:pPr>
    </w:p>
    <w:p>
      <w:pPr>
        <w:ind w:right="240" w:firstLine="1432"/>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155" w:lineRule="exact"/>
        <w:rPr>
          <w:sz w:val="20"/>
          <w:szCs w:val="20"/>
          <w:color w:val="auto"/>
        </w:rPr>
      </w:pPr>
    </w:p>
    <w:p>
      <w:pPr>
        <w:ind w:right="480" w:firstLine="1432"/>
        <w:spacing w:after="0" w:line="268"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225" w:lineRule="exact"/>
        <w:rPr>
          <w:sz w:val="20"/>
          <w:szCs w:val="20"/>
          <w:color w:val="auto"/>
        </w:rPr>
      </w:pPr>
    </w:p>
    <w:p>
      <w:pPr>
        <w:ind w:right="140" w:firstLine="1432"/>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55" w:name="page756"/>
    <w:bookmarkEnd w:id="75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1.15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225" w:lineRule="exact"/>
        <w:rPr>
          <w:sz w:val="20"/>
          <w:szCs w:val="20"/>
          <w:color w:val="auto"/>
        </w:rPr>
      </w:pPr>
    </w:p>
    <w:p>
      <w:pPr>
        <w:jc w:val="both"/>
        <w:ind w:right="120" w:firstLine="1432"/>
        <w:spacing w:after="0" w:line="268"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any executive-level employee (including division director and vice president-level positions) as well as any employee or consultant who either alone or in concert with others develops, invents, programs or designs any Company Intellectual Property (as defined in the Purchase Agreement).</w:t>
      </w:r>
    </w:p>
    <w:p>
      <w:pPr>
        <w:spacing w:after="0" w:line="171" w:lineRule="exact"/>
        <w:rPr>
          <w:sz w:val="20"/>
          <w:szCs w:val="20"/>
          <w:color w:val="auto"/>
        </w:rPr>
      </w:pPr>
    </w:p>
    <w:p>
      <w:pPr>
        <w:jc w:val="both"/>
        <w:ind w:right="200" w:firstLine="1432"/>
        <w:spacing w:after="0" w:line="268"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Investor that, individually or together with such Investor’s Affiliates, holds at least [1,500,000] shares of Registrable Securities (as adjusted for any stock split, stock dividend, combination, or other recapitalization or reclassification effected after the date hereof).</w:t>
      </w:r>
    </w:p>
    <w:p>
      <w:pPr>
        <w:spacing w:after="0" w:line="171" w:lineRule="exact"/>
        <w:rPr>
          <w:sz w:val="20"/>
          <w:szCs w:val="20"/>
          <w:color w:val="auto"/>
        </w:rPr>
      </w:pPr>
    </w:p>
    <w:p>
      <w:pPr>
        <w:ind w:firstLine="1432"/>
        <w:spacing w:after="0" w:line="26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20" w:firstLine="1432"/>
        <w:spacing w:after="0" w:line="28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shares of the Company’s Series A Preferred Stock, par value $0.0001 per share, and any future series of preferred stock issued by the Company.</w:t>
      </w:r>
    </w:p>
    <w:p>
      <w:pPr>
        <w:spacing w:after="0" w:line="155" w:lineRule="exact"/>
        <w:rPr>
          <w:sz w:val="20"/>
          <w:szCs w:val="20"/>
          <w:color w:val="auto"/>
        </w:rPr>
      </w:pPr>
    </w:p>
    <w:p>
      <w:pPr>
        <w:ind w:right="360" w:firstLine="1432"/>
        <w:spacing w:after="0" w:line="25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Common Stock issuable or issued upon conversion of th</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Preferred Stock; (ii) any Common Stock, or any Common Stock issued or issuable (directly or indirectly) upon conversion and/or exercise of any other securities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excluding in all cases, however, any Registrable Securities sold by a Person in a transaction in which the applicable rights under this Agreement are not assigned pursuant to </w:t>
      </w:r>
      <w:r>
        <w:rPr>
          <w:rFonts w:ascii="Times New Roman" w:cs="Times New Roman" w:eastAsia="Times New Roman" w:hAnsi="Times New Roman"/>
          <w:sz w:val="18"/>
          <w:szCs w:val="18"/>
          <w:u w:val="single" w:color="auto"/>
          <w:color w:val="auto"/>
        </w:rPr>
        <w:t>Subsection 6.1</w:t>
      </w:r>
      <w:r>
        <w:rPr>
          <w:rFonts w:ascii="Times New Roman" w:cs="Times New Roman" w:eastAsia="Times New Roman" w:hAnsi="Times New Roman"/>
          <w:sz w:val="18"/>
          <w:szCs w:val="18"/>
          <w:color w:val="auto"/>
        </w:rPr>
        <w:t xml:space="preserve">, and excluding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shares for which registration rights have terminated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of this Agreement.</w:t>
      </w:r>
    </w:p>
    <w:p>
      <w:pPr>
        <w:spacing w:after="0" w:line="183" w:lineRule="exact"/>
        <w:rPr>
          <w:sz w:val="20"/>
          <w:szCs w:val="20"/>
          <w:color w:val="auto"/>
        </w:rPr>
      </w:pPr>
    </w:p>
    <w:p>
      <w:pPr>
        <w:ind w:right="100" w:firstLine="1432"/>
        <w:spacing w:after="0" w:line="268"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1" w:lineRule="exact"/>
        <w:rPr>
          <w:sz w:val="20"/>
          <w:szCs w:val="20"/>
          <w:color w:val="auto"/>
        </w:rPr>
      </w:pPr>
    </w:p>
    <w:p>
      <w:pPr>
        <w:ind w:right="1180" w:firstLine="1432"/>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 notated with the legend set forth in </w:t>
      </w:r>
      <w:r>
        <w:rPr>
          <w:rFonts w:ascii="Times New Roman" w:cs="Times New Roman" w:eastAsia="Times New Roman" w:hAnsi="Times New Roman"/>
          <w:sz w:val="18"/>
          <w:szCs w:val="18"/>
          <w:u w:val="single" w:color="auto"/>
          <w:color w:val="auto"/>
        </w:rPr>
        <w:t>Subsection 2.12(b)</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56" w:name="page757"/>
    <w:bookmarkEnd w:id="756"/>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 “</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 w:right="20" w:firstLine="1432"/>
        <w:spacing w:after="0" w:line="268"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424" w:right="5460" w:hanging="984"/>
        <w:spacing w:after="0" w:line="500" w:lineRule="auto"/>
        <w:tabs>
          <w:tab w:leader="none" w:pos="612"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2"/>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If at any time after the earlier of (i) three (3) years after the date of this Agreement or (ii) one hundred eighty</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439"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effective date of the registration statement for the IPO, the Company receives a request from Holders of a majority of the Registrable Securities then outstanding that the Company file a Form S-1 registration statement having an aggregate offering price, net of Selling Expenses, would exceed $10 million,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4" w:firstLine="1428"/>
        <w:spacing w:after="0" w:line="254" w:lineRule="auto"/>
        <w:tabs>
          <w:tab w:leader="none" w:pos="1691" w:val="left"/>
        </w:tabs>
        <w:numPr>
          <w:ilvl w:val="2"/>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Demand</w:t>
      </w:r>
      <w:r>
        <w:rPr>
          <w:rFonts w:ascii="Times New Roman" w:cs="Times New Roman" w:eastAsia="Times New Roman" w:hAnsi="Times New Roman"/>
          <w:sz w:val="18"/>
          <w:szCs w:val="18"/>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600" w:firstLine="1428"/>
        <w:spacing w:after="0" w:line="282" w:lineRule="auto"/>
        <w:tabs>
          <w:tab w:leader="none" w:pos="1681" w:val="left"/>
        </w:tabs>
        <w:numPr>
          <w:ilvl w:val="2"/>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certificate signed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757" w:name="page758"/>
    <w:bookmarkEnd w:id="757"/>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for a period of not more than one hundred twenty</w:t>
      </w:r>
    </w:p>
    <w:p>
      <w:pPr>
        <w:spacing w:after="0" w:line="5" w:lineRule="exact"/>
        <w:rPr>
          <w:sz w:val="20"/>
          <w:szCs w:val="20"/>
          <w:color w:val="auto"/>
        </w:rPr>
      </w:pPr>
    </w:p>
    <w:p>
      <w:pPr>
        <w:ind w:left="4" w:right="260" w:hanging="4"/>
        <w:spacing w:after="0" w:line="255" w:lineRule="auto"/>
        <w:tabs>
          <w:tab w:leader="none" w:pos="439"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request of the Initiating Holders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invoke this right more than once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its own account or that of any other stockholder during such one hundred twenty (120) day period other than an Excluded Registration.</w:t>
      </w:r>
    </w:p>
    <w:p>
      <w:pPr>
        <w:spacing w:after="0" w:line="185" w:lineRule="exact"/>
        <w:rPr>
          <w:rFonts w:ascii="Times New Roman" w:cs="Times New Roman" w:eastAsia="Times New Roman" w:hAnsi="Times New Roman"/>
          <w:sz w:val="18"/>
          <w:szCs w:val="18"/>
          <w:color w:val="auto"/>
        </w:rPr>
      </w:pPr>
    </w:p>
    <w:p>
      <w:pPr>
        <w:ind w:left="4" w:firstLine="1428"/>
        <w:spacing w:after="0" w:line="276" w:lineRule="auto"/>
        <w:tabs>
          <w:tab w:leader="none" w:pos="1691" w:val="left"/>
        </w:tabs>
        <w:numPr>
          <w:ilvl w:val="1"/>
          <w:numId w:val="7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be obligated to effect, or to take any action to effect, any registration pursuant to </w:t>
      </w:r>
      <w:r>
        <w:rPr>
          <w:rFonts w:ascii="Times New Roman" w:cs="Times New Roman" w:eastAsia="Times New Roman" w:hAnsi="Times New Roman"/>
          <w:sz w:val="17"/>
          <w:szCs w:val="17"/>
          <w:u w:val="single" w:color="auto"/>
          <w:color w:val="auto"/>
        </w:rPr>
        <w:t>Subsection 2.1(a)(i)</w:t>
      </w:r>
      <w:r>
        <w:rPr>
          <w:rFonts w:ascii="Times New Roman" w:cs="Times New Roman" w:eastAsia="Times New Roman" w:hAnsi="Times New Roman"/>
          <w:sz w:val="17"/>
          <w:szCs w:val="17"/>
          <w:color w:val="auto"/>
        </w:rPr>
        <w:t xml:space="preserve"> during the period that is sixty (60) days before the Company’s good faith estimate of the date of filing of, and ending on a date that is one hundred eighty</w:t>
      </w:r>
    </w:p>
    <w:p>
      <w:pPr>
        <w:ind w:left="4" w:hanging="4"/>
        <w:spacing w:after="0" w:line="250" w:lineRule="auto"/>
        <w:tabs>
          <w:tab w:leader="none" w:pos="439"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provided, that if such withdrawal is during a period the Company has deferred taking action pursuant to </w:t>
      </w:r>
      <w:r>
        <w:rPr>
          <w:rFonts w:ascii="Times New Roman" w:cs="Times New Roman" w:eastAsia="Times New Roman" w:hAnsi="Times New Roman"/>
          <w:sz w:val="18"/>
          <w:szCs w:val="18"/>
          <w:u w:val="single" w:color="auto"/>
          <w:color w:val="auto"/>
        </w:rPr>
        <w:t>Subsection</w:t>
      </w:r>
    </w:p>
    <w:p>
      <w:pPr>
        <w:spacing w:after="0" w:line="4" w:lineRule="exact"/>
        <w:rPr>
          <w:rFonts w:ascii="Times New Roman" w:cs="Times New Roman" w:eastAsia="Times New Roman" w:hAnsi="Times New Roman"/>
          <w:sz w:val="18"/>
          <w:szCs w:val="18"/>
          <w:color w:val="auto"/>
        </w:rPr>
      </w:pPr>
    </w:p>
    <w:p>
      <w:pPr>
        <w:ind w:left="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1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758" w:name="page759"/>
    <w:bookmarkEnd w:id="75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shall,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Subsection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w:t>
      </w:r>
    </w:p>
    <w:p>
      <w:pPr>
        <w:spacing w:after="0" w:line="187"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759" w:name="page760"/>
    <w:bookmarkEnd w:id="75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owned by each selling Holder or in such other proportions as shall mutually be agreed to by all such selling Holders.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twenty-five percent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8"/>
          <w:szCs w:val="18"/>
          <w:u w:val="single" w:color="auto"/>
          <w:color w:val="auto"/>
        </w:rPr>
        <w:t>Subsection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94" w:lineRule="exact"/>
        <w:rPr>
          <w:sz w:val="20"/>
          <w:szCs w:val="20"/>
          <w:color w:val="auto"/>
        </w:rPr>
      </w:pPr>
    </w:p>
    <w:p>
      <w:pPr>
        <w:ind w:right="140" w:firstLine="1428"/>
        <w:spacing w:after="0" w:line="266" w:lineRule="auto"/>
        <w:tabs>
          <w:tab w:leader="none" w:pos="1677"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Subsection 2.3(a)</w:t>
      </w:r>
      <w:r>
        <w:rPr>
          <w:rFonts w:ascii="Times New Roman" w:cs="Times New Roman" w:eastAsia="Times New Roman" w:hAnsi="Times New Roman"/>
          <w:sz w:val="18"/>
          <w:szCs w:val="18"/>
          <w:color w:val="auto"/>
        </w:rPr>
        <w:t>, fewer than fifty percent (50%) of the total number of Registrable Securities that Holders have requested to be included in such registration statement are actually included.</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207" w:lineRule="exact"/>
        <w:rPr>
          <w:sz w:val="20"/>
          <w:szCs w:val="20"/>
          <w:color w:val="auto"/>
        </w:rPr>
      </w:pPr>
    </w:p>
    <w:p>
      <w:pPr>
        <w:ind w:right="120" w:firstLine="1428"/>
        <w:spacing w:after="0" w:line="254" w:lineRule="auto"/>
        <w:tabs>
          <w:tab w:leader="none" w:pos="1677"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191"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75" w:lineRule="exact"/>
        <w:rPr>
          <w:rFonts w:ascii="Times New Roman" w:cs="Times New Roman" w:eastAsia="Times New Roman" w:hAnsi="Times New Roman"/>
          <w:sz w:val="18"/>
          <w:szCs w:val="18"/>
          <w:color w:val="auto"/>
        </w:rPr>
      </w:pPr>
    </w:p>
    <w:p>
      <w:pPr>
        <w:ind w:right="320" w:firstLine="1428"/>
        <w:spacing w:after="0" w:line="312" w:lineRule="auto"/>
        <w:tabs>
          <w:tab w:leader="none" w:pos="1677" w:val="left"/>
        </w:tabs>
        <w:numPr>
          <w:ilvl w:val="0"/>
          <w:numId w:val="7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760" w:name="page761"/>
    <w:bookmarkEnd w:id="760"/>
    <w:p>
      <w:pPr>
        <w:jc w:val="both"/>
        <w:ind w:right="200" w:firstLine="1428"/>
        <w:spacing w:after="0" w:line="261" w:lineRule="auto"/>
        <w:tabs>
          <w:tab w:leader="none" w:pos="168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65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right="20" w:firstLine="1428"/>
        <w:spacing w:after="0" w:line="256" w:lineRule="auto"/>
        <w:tabs>
          <w:tab w:leader="none" w:pos="168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7" w:lineRule="exact"/>
        <w:rPr>
          <w:rFonts w:ascii="Times New Roman" w:cs="Times New Roman" w:eastAsia="Times New Roman" w:hAnsi="Times New Roman"/>
          <w:sz w:val="18"/>
          <w:szCs w:val="18"/>
          <w:color w:val="auto"/>
        </w:rPr>
      </w:pPr>
    </w:p>
    <w:p>
      <w:pPr>
        <w:ind w:right="80" w:firstLine="1428"/>
        <w:spacing w:after="0" w:line="282" w:lineRule="auto"/>
        <w:tabs>
          <w:tab w:leader="none" w:pos="164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61" w:lineRule="exact"/>
        <w:rPr>
          <w:rFonts w:ascii="Times New Roman" w:cs="Times New Roman" w:eastAsia="Times New Roman" w:hAnsi="Times New Roman"/>
          <w:sz w:val="18"/>
          <w:szCs w:val="18"/>
          <w:color w:val="auto"/>
        </w:rPr>
      </w:pPr>
    </w:p>
    <w:p>
      <w:pPr>
        <w:ind w:right="460" w:firstLine="1428"/>
        <w:spacing w:after="0" w:line="282" w:lineRule="auto"/>
        <w:tabs>
          <w:tab w:leader="none" w:pos="1647"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76" w:lineRule="exact"/>
        <w:rPr>
          <w:sz w:val="20"/>
          <w:szCs w:val="20"/>
          <w:color w:val="auto"/>
        </w:rPr>
      </w:pPr>
    </w:p>
    <w:p>
      <w:pPr>
        <w:ind w:right="44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761" w:name="page762"/>
    <w:bookmarkEnd w:id="76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76"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of one counsel for the selling Holders (“</w:t>
      </w:r>
      <w:r>
        <w:rPr>
          <w:rFonts w:ascii="Times New Roman" w:cs="Times New Roman" w:eastAsia="Times New Roman" w:hAnsi="Times New Roman"/>
          <w:sz w:val="18"/>
          <w:szCs w:val="18"/>
          <w:b w:val="1"/>
          <w:bCs w:val="1"/>
          <w:color w:val="auto"/>
        </w:rPr>
        <w:t>Selling Holder Counsel</w:t>
      </w:r>
      <w:r>
        <w:rPr>
          <w:rFonts w:ascii="Times New Roman" w:cs="Times New Roman" w:eastAsia="Times New Roman" w:hAnsi="Times New Roman"/>
          <w:sz w:val="18"/>
          <w:szCs w:val="18"/>
          <w:color w:val="auto"/>
        </w:rPr>
        <w:t xml:space="preserve">”), shall be borne and paid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Subsections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Subsections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pro rata on the basis of the number of Registrable Securities registered on their behalf.</w:t>
      </w:r>
    </w:p>
    <w:p>
      <w:pPr>
        <w:spacing w:after="0" w:line="187" w:lineRule="exact"/>
        <w:rPr>
          <w:sz w:val="20"/>
          <w:szCs w:val="20"/>
          <w:color w:val="auto"/>
        </w:rPr>
      </w:pPr>
    </w:p>
    <w:p>
      <w:pPr>
        <w:jc w:val="both"/>
        <w:ind w:right="4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If any Registrable Securities are included in a registration statement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54" w:lineRule="auto"/>
        <w:tabs>
          <w:tab w:leader="none" w:pos="1677"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762" w:name="page763"/>
    <w:bookmarkEnd w:id="762"/>
    <w:p>
      <w:pPr>
        <w:ind w:left="4"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reliance upon and in conformity with written information furnished by or on behalf of any such Holder, underwriter, controlling Person, or other aforementioned Person expressly for use in connection with such registration.</w:t>
      </w:r>
    </w:p>
    <w:p>
      <w:pPr>
        <w:spacing w:after="0" w:line="162" w:lineRule="exact"/>
        <w:rPr>
          <w:sz w:val="20"/>
          <w:szCs w:val="20"/>
          <w:color w:val="auto"/>
        </w:rPr>
      </w:pPr>
    </w:p>
    <w:p>
      <w:pPr>
        <w:ind w:left="4" w:right="120" w:firstLine="1428"/>
        <w:spacing w:after="0" w:line="253" w:lineRule="auto"/>
        <w:tabs>
          <w:tab w:leader="none" w:pos="1691"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the aggregate amounts payable by any Holder by way of indemnity or contribution under </w:t>
      </w:r>
      <w:r>
        <w:rPr>
          <w:rFonts w:ascii="Times New Roman" w:cs="Times New Roman" w:eastAsia="Times New Roman" w:hAnsi="Times New Roman"/>
          <w:sz w:val="18"/>
          <w:szCs w:val="18"/>
          <w:u w:val="single" w:color="auto"/>
          <w:color w:val="auto"/>
        </w:rPr>
        <w:t>Subsections 2.8(b)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2.8(c)</w:t>
      </w:r>
      <w:r>
        <w:rPr>
          <w:rFonts w:ascii="Times New Roman" w:cs="Times New Roman" w:eastAsia="Times New Roman" w:hAnsi="Times New Roman"/>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89" w:lineRule="exact"/>
        <w:rPr>
          <w:rFonts w:ascii="Times New Roman" w:cs="Times New Roman" w:eastAsia="Times New Roman" w:hAnsi="Times New Roman"/>
          <w:sz w:val="18"/>
          <w:szCs w:val="18"/>
          <w:color w:val="auto"/>
        </w:rPr>
      </w:pPr>
    </w:p>
    <w:p>
      <w:pPr>
        <w:ind w:left="4" w:firstLine="1428"/>
        <w:spacing w:after="0" w:line="254" w:lineRule="auto"/>
        <w:tabs>
          <w:tab w:leader="none" w:pos="1681"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spacing w:after="0" w:line="188" w:lineRule="exact"/>
        <w:rPr>
          <w:rFonts w:ascii="Times New Roman" w:cs="Times New Roman" w:eastAsia="Times New Roman" w:hAnsi="Times New Roman"/>
          <w:sz w:val="18"/>
          <w:szCs w:val="18"/>
          <w:color w:val="auto"/>
        </w:rPr>
      </w:pPr>
    </w:p>
    <w:p>
      <w:pPr>
        <w:jc w:val="both"/>
        <w:ind w:left="4" w:right="100" w:firstLine="1428"/>
        <w:spacing w:after="0" w:line="270" w:lineRule="auto"/>
        <w:tabs>
          <w:tab w:leader="none" w:pos="1691" w:val="left"/>
        </w:tabs>
        <w:numPr>
          <w:ilvl w:val="1"/>
          <w:numId w:val="7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7"/>
          <w:szCs w:val="17"/>
          <w:u w:val="single" w:color="auto"/>
          <w:color w:val="auto"/>
        </w:rPr>
        <w:t>Subsection 2.8</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Subsection 2.8</w:t>
      </w:r>
      <w:r>
        <w:rPr>
          <w:rFonts w:ascii="Times New Roman" w:cs="Times New Roman" w:eastAsia="Times New Roman" w:hAnsi="Times New Roman"/>
          <w:sz w:val="17"/>
          <w:szCs w:val="17"/>
          <w:color w:val="auto"/>
        </w:rPr>
        <w:t xml:space="preserve"> provides for indemnification in such case,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under the Securities Act may be required on the part of any party hereto for which indemnification is provided under this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763" w:name="page764"/>
    <w:bookmarkEnd w:id="763"/>
    <w:p>
      <w:pPr>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Subsection 2.8</w:t>
      </w:r>
      <w:r>
        <w:rPr>
          <w:rFonts w:ascii="Times New Roman" w:cs="Times New Roman" w:eastAsia="Times New Roman" w:hAnsi="Times New Roman"/>
          <w:sz w:val="18"/>
          <w:szCs w:val="18"/>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w:t>
      </w:r>
      <w:r>
        <w:rPr>
          <w:rFonts w:ascii="Times New Roman" w:cs="Times New Roman" w:eastAsia="Times New Roman" w:hAnsi="Times New Roman"/>
          <w:sz w:val="18"/>
          <w:szCs w:val="18"/>
          <w:u w:val="single" w:color="auto"/>
          <w:color w:val="auto"/>
        </w:rPr>
        <w:t>Subsection 2.8(c)</w:t>
      </w:r>
      <w:r>
        <w:rPr>
          <w:rFonts w:ascii="Times New Roman" w:cs="Times New Roman" w:eastAsia="Times New Roman" w:hAnsi="Times New Roman"/>
          <w:sz w:val="18"/>
          <w:szCs w:val="18"/>
          <w:color w:val="auto"/>
        </w:rPr>
        <w:t xml:space="preserve">, when combined with the amounts paid or payable by such Holder pursuant to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187" w:lineRule="exact"/>
        <w:rPr>
          <w:sz w:val="20"/>
          <w:szCs w:val="20"/>
          <w:color w:val="auto"/>
        </w:rPr>
      </w:pPr>
    </w:p>
    <w:p>
      <w:pPr>
        <w:ind w:right="140" w:firstLine="1428"/>
        <w:spacing w:after="0" w:line="266" w:lineRule="auto"/>
        <w:tabs>
          <w:tab w:leader="none" w:pos="1677"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5" w:lineRule="exact"/>
        <w:rPr>
          <w:rFonts w:ascii="Times New Roman" w:cs="Times New Roman" w:eastAsia="Times New Roman" w:hAnsi="Times New Roman"/>
          <w:sz w:val="18"/>
          <w:szCs w:val="18"/>
          <w:color w:val="auto"/>
        </w:rPr>
      </w:pPr>
    </w:p>
    <w:p>
      <w:pPr>
        <w:ind w:right="20" w:firstLine="1428"/>
        <w:spacing w:after="0" w:line="266" w:lineRule="auto"/>
        <w:tabs>
          <w:tab w:leader="none" w:pos="1657"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176" w:lineRule="exact"/>
        <w:rPr>
          <w:sz w:val="20"/>
          <w:szCs w:val="20"/>
          <w:color w:val="auto"/>
        </w:rPr>
      </w:pPr>
    </w:p>
    <w:p>
      <w:pPr>
        <w:ind w:firstLine="1432"/>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76" w:lineRule="exact"/>
        <w:rPr>
          <w:sz w:val="20"/>
          <w:szCs w:val="20"/>
          <w:color w:val="auto"/>
        </w:rPr>
      </w:pPr>
    </w:p>
    <w:p>
      <w:pPr>
        <w:ind w:right="120" w:firstLine="1428"/>
        <w:spacing w:after="0" w:line="282" w:lineRule="auto"/>
        <w:tabs>
          <w:tab w:leader="none" w:pos="1677"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61" w:lineRule="exact"/>
        <w:rPr>
          <w:rFonts w:ascii="Times New Roman" w:cs="Times New Roman" w:eastAsia="Times New Roman" w:hAnsi="Times New Roman"/>
          <w:sz w:val="18"/>
          <w:szCs w:val="18"/>
          <w:color w:val="auto"/>
        </w:rPr>
      </w:pPr>
    </w:p>
    <w:p>
      <w:pPr>
        <w:ind w:right="420" w:firstLine="1428"/>
        <w:spacing w:after="0" w:line="312" w:lineRule="auto"/>
        <w:tabs>
          <w:tab w:leader="none" w:pos="1687" w:val="left"/>
        </w:tabs>
        <w:numPr>
          <w:ilvl w:val="0"/>
          <w:numId w:val="7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64" w:name="page765"/>
    <w:bookmarkEnd w:id="764"/>
    <w:p>
      <w:pPr>
        <w:ind w:left="4" w:firstLine="1428"/>
        <w:spacing w:after="0" w:line="254" w:lineRule="auto"/>
        <w:tabs>
          <w:tab w:leader="none" w:pos="1681"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92" w:lineRule="exact"/>
        <w:rPr>
          <w:sz w:val="20"/>
          <w:szCs w:val="20"/>
          <w:color w:val="auto"/>
        </w:rPr>
      </w:pPr>
    </w:p>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Subsection 6.9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or Form S-3,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w:t>
      </w:r>
    </w:p>
    <w:p>
      <w:pPr>
        <w:spacing w:after="0" w:line="3" w:lineRule="exact"/>
        <w:rPr>
          <w:sz w:val="20"/>
          <w:szCs w:val="20"/>
          <w:color w:val="auto"/>
        </w:rPr>
      </w:pPr>
    </w:p>
    <w:p>
      <w:pPr>
        <w:ind w:left="4" w:right="40" w:hanging="4"/>
        <w:spacing w:after="0" w:line="251" w:lineRule="auto"/>
        <w:tabs>
          <w:tab w:leader="none" w:pos="259"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apply only to the IPO, and shall not apply to the sale of any shares to an underwriter pursuant to an underwriting agreement, or the transfer of any shares to any trust for the direct or indirect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765" w:name="page766"/>
    <w:bookmarkEnd w:id="765"/>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benefit of the Holder or the immediate family of the Holder, provided that the trustee of the trust agrees to be bound in writing by the restrictions set forth herein, and provided further 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that are necessary to give further effect thereto.</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58" w:lineRule="auto"/>
        <w:tabs>
          <w:tab w:leader="none" w:pos="1677"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83" w:lineRule="exact"/>
        <w:rPr>
          <w:rFonts w:ascii="Times New Roman" w:cs="Times New Roman" w:eastAsia="Times New Roman" w:hAnsi="Times New Roman"/>
          <w:sz w:val="18"/>
          <w:szCs w:val="18"/>
          <w:color w:val="auto"/>
        </w:rPr>
      </w:pPr>
    </w:p>
    <w:p>
      <w:pPr>
        <w:ind w:firstLine="1428"/>
        <w:spacing w:after="0" w:line="289" w:lineRule="auto"/>
        <w:tabs>
          <w:tab w:leader="none" w:pos="1687" w:val="left"/>
        </w:tabs>
        <w:numPr>
          <w:ilvl w:val="0"/>
          <w:numId w:val="7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7"/>
          <w:szCs w:val="17"/>
          <w:u w:val="single" w:color="auto"/>
          <w:color w:val="auto"/>
        </w:rPr>
        <w:t>Subsection 2.12(c)</w:t>
      </w:r>
      <w:r>
        <w:rPr>
          <w:rFonts w:ascii="Times New Roman" w:cs="Times New Roman" w:eastAsia="Times New Roman" w:hAnsi="Times New Roman"/>
          <w:sz w:val="17"/>
          <w:szCs w:val="17"/>
          <w:color w:val="auto"/>
        </w:rPr>
        <w:t>) be notated with a legend substantially in the following form:</w:t>
      </w:r>
    </w:p>
    <w:p>
      <w:pPr>
        <w:spacing w:after="0" w:line="50"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2"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766" w:name="page767"/>
    <w:bookmarkEnd w:id="766"/>
    <w:p>
      <w:pPr>
        <w:ind w:left="4" w:right="20" w:firstLine="1428"/>
        <w:spacing w:after="0" w:line="253" w:lineRule="auto"/>
        <w:tabs>
          <w:tab w:leader="none" w:pos="1681" w:val="left"/>
        </w:tabs>
        <w:numPr>
          <w:ilvl w:val="1"/>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holder of such Restricted Securities, by acceptance of ownership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ind w:left="4" w:hanging="4"/>
        <w:spacing w:after="0" w:line="251" w:lineRule="auto"/>
        <w:tabs>
          <w:tab w:leader="none" w:pos="319"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transferee agrees in writing to be subject to the terms of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18"/>
          <w:szCs w:val="18"/>
          <w:u w:val="single" w:color="auto"/>
          <w:color w:val="auto"/>
        </w:rPr>
        <w:t>Subsection 2.12(b)</w:t>
      </w:r>
      <w:r>
        <w:rPr>
          <w:rFonts w:ascii="Times New Roman" w:cs="Times New Roman" w:eastAsia="Times New Roman" w:hAnsi="Times New Roman"/>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93" w:lineRule="exact"/>
        <w:rPr>
          <w:sz w:val="20"/>
          <w:szCs w:val="20"/>
          <w:color w:val="auto"/>
        </w:rPr>
      </w:pPr>
    </w:p>
    <w:p>
      <w:pPr>
        <w:ind w:left="4" w:right="8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shall terminate upon the earliest to occur of:</w:t>
      </w:r>
    </w:p>
    <w:p>
      <w:pPr>
        <w:spacing w:after="0" w:line="162" w:lineRule="exact"/>
        <w:rPr>
          <w:sz w:val="20"/>
          <w:szCs w:val="20"/>
          <w:color w:val="auto"/>
        </w:rPr>
      </w:pPr>
    </w:p>
    <w:p>
      <w:pPr>
        <w:ind w:left="1684" w:hanging="252"/>
        <w:spacing w:after="0"/>
        <w:tabs>
          <w:tab w:leader="none" w:pos="1684"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 (5) year anniversary of the IPO;</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691"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holder of registration rights, at such time following an IPO as the holder holds less than one percent (1%) of the outstanding securities of the Company and all Registrable Securities of such holder may be sold within a three (3) month period pursuant to SEC Rule 144; or</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7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a Deemed Liquidation Event (as defined in the Company’s Certificate of Incorporation, as amended and/or restated</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from time to time).</w:t>
      </w:r>
    </w:p>
    <w:p>
      <w:pPr>
        <w:spacing w:after="0" w:line="206"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Upon written request by a Major Investor, the Company shall deliver to such Major Investor:</w:t>
      </w:r>
    </w:p>
    <w:p>
      <w:pPr>
        <w:spacing w:after="0" w:line="225" w:lineRule="exact"/>
        <w:rPr>
          <w:sz w:val="20"/>
          <w:szCs w:val="20"/>
          <w:color w:val="auto"/>
        </w:rPr>
      </w:pPr>
    </w:p>
    <w:p>
      <w:pPr>
        <w:ind w:left="1684" w:hanging="252"/>
        <w:spacing w:after="0"/>
        <w:tabs>
          <w:tab w:leader="none" w:pos="1684"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one hundred twenty (120) days after the end of each fiscal year of the Company</w:t>
      </w:r>
    </w:p>
    <w:p>
      <w:pPr>
        <w:spacing w:after="0" w:line="27" w:lineRule="exact"/>
        <w:rPr>
          <w:rFonts w:ascii="Times New Roman" w:cs="Times New Roman" w:eastAsia="Times New Roman" w:hAnsi="Times New Roman"/>
          <w:sz w:val="18"/>
          <w:szCs w:val="18"/>
          <w:color w:val="auto"/>
        </w:rPr>
      </w:pPr>
    </w:p>
    <w:p>
      <w:pPr>
        <w:ind w:left="4" w:hanging="4"/>
        <w:spacing w:after="0" w:line="265" w:lineRule="auto"/>
        <w:tabs>
          <w:tab w:leader="none" w:pos="219" w:val="left"/>
        </w:tabs>
        <w:numPr>
          <w:ilvl w:val="0"/>
          <w:numId w:val="7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Times New Roman" w:cs="Times New Roman" w:eastAsia="Times New Roman" w:hAnsi="Times New Roman"/>
          <w:sz w:val="17"/>
          <w:szCs w:val="17"/>
          <w:u w:val="single" w:color="auto"/>
          <w:color w:val="auto"/>
        </w:rPr>
        <w:t>Subsection 3.1(d)</w:t>
      </w:r>
      <w:r>
        <w:rPr>
          <w:rFonts w:ascii="Times New Roman" w:cs="Times New Roman" w:eastAsia="Times New Roman" w:hAnsi="Times New Roman"/>
          <w:sz w:val="17"/>
          <w:szCs w:val="17"/>
          <w:color w:val="auto"/>
        </w:rPr>
        <w:t>) for such year, with an explanation of any material differences between such amounts and a schedule as to the sources and applications of funds for such year, and</w:t>
      </w:r>
    </w:p>
    <w:p>
      <w:pPr>
        <w:ind w:left="4" w:right="280" w:hanging="4"/>
        <w:spacing w:after="0" w:line="260" w:lineRule="auto"/>
        <w:tabs>
          <w:tab w:leader="none" w:pos="319"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stockholders’ equity as of the end of such year, all such financial statements, unless otherwise approved by the Board, audited and certified by independent public accountants of nationally recognized standing selected by the Company;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767" w:name="page768"/>
    <w:bookmarkEnd w:id="767"/>
    <w:p>
      <w:pPr>
        <w:ind w:left="-80" w:firstLine="1428"/>
        <w:spacing w:after="0" w:line="261" w:lineRule="auto"/>
        <w:tabs>
          <w:tab w:leader="none" w:pos="1607"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9" w:lineRule="exact"/>
        <w:rPr>
          <w:rFonts w:ascii="Times New Roman" w:cs="Times New Roman" w:eastAsia="Times New Roman" w:hAnsi="Times New Roman"/>
          <w:sz w:val="18"/>
          <w:szCs w:val="18"/>
          <w:color w:val="auto"/>
        </w:rPr>
      </w:pPr>
    </w:p>
    <w:p>
      <w:pPr>
        <w:ind w:left="-80" w:right="60" w:firstLine="1428"/>
        <w:spacing w:after="0" w:line="261" w:lineRule="auto"/>
        <w:tabs>
          <w:tab w:leader="none" w:pos="1597"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of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79" w:lineRule="exact"/>
        <w:rPr>
          <w:rFonts w:ascii="Times New Roman" w:cs="Times New Roman" w:eastAsia="Times New Roman" w:hAnsi="Times New Roman"/>
          <w:sz w:val="18"/>
          <w:szCs w:val="18"/>
          <w:color w:val="auto"/>
        </w:rPr>
      </w:pPr>
    </w:p>
    <w:p>
      <w:pPr>
        <w:jc w:val="both"/>
        <w:ind w:left="-80" w:right="440" w:firstLine="1428"/>
        <w:spacing w:after="0" w:line="289" w:lineRule="auto"/>
        <w:tabs>
          <w:tab w:leader="none" w:pos="1607" w:val="left"/>
        </w:tabs>
        <w:numPr>
          <w:ilvl w:val="0"/>
          <w:numId w:val="7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any event thirty (30) days before the end of each fiscal year, a copy of the Company’s annual operating plan for the next fiscal year (collectively, the “</w:t>
      </w:r>
      <w:r>
        <w:rPr>
          <w:rFonts w:ascii="Times New Roman" w:cs="Times New Roman" w:eastAsia="Times New Roman" w:hAnsi="Times New Roman"/>
          <w:sz w:val="17"/>
          <w:szCs w:val="17"/>
          <w:b w:val="1"/>
          <w:bCs w:val="1"/>
          <w:color w:val="auto"/>
        </w:rPr>
        <w:t>Budget</w:t>
      </w:r>
      <w:r>
        <w:rPr>
          <w:rFonts w:ascii="Times New Roman" w:cs="Times New Roman" w:eastAsia="Times New Roman" w:hAnsi="Times New Roman"/>
          <w:sz w:val="17"/>
          <w:szCs w:val="17"/>
          <w:color w:val="auto"/>
        </w:rPr>
        <w:t>”), prepared on a monthly basis, including balance sheets, income statements, and statements of cash flow for such months and, promptly after prepared, any other budgets or revised budgets prepared by the Company;</w:t>
      </w:r>
    </w:p>
    <w:p>
      <w:pPr>
        <w:spacing w:after="0" w:line="157" w:lineRule="exact"/>
        <w:rPr>
          <w:rFonts w:ascii="Times New Roman" w:cs="Times New Roman" w:eastAsia="Times New Roman" w:hAnsi="Times New Roman"/>
          <w:sz w:val="17"/>
          <w:szCs w:val="17"/>
          <w:color w:val="auto"/>
        </w:rPr>
      </w:pPr>
    </w:p>
    <w:p>
      <w:pPr>
        <w:ind w:left="-80" w:right="20" w:firstLine="1428"/>
        <w:spacing w:after="0" w:line="261" w:lineRule="auto"/>
        <w:tabs>
          <w:tab w:leader="none" w:pos="1597"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financial statements called for in </w:t>
      </w:r>
      <w:r>
        <w:rPr>
          <w:rFonts w:ascii="Times New Roman" w:cs="Times New Roman" w:eastAsia="Times New Roman" w:hAnsi="Times New Roman"/>
          <w:sz w:val="18"/>
          <w:szCs w:val="18"/>
          <w:u w:val="single" w:color="auto"/>
          <w:color w:val="auto"/>
        </w:rPr>
        <w:t>Subsection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3.1(c)</w:t>
      </w:r>
      <w:r>
        <w:rPr>
          <w:rFonts w:ascii="Times New Roman" w:cs="Times New Roman" w:eastAsia="Times New Roman" w:hAnsi="Times New Roman"/>
          <w:sz w:val="18"/>
          <w:szCs w:val="18"/>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(except as otherwise set forth in </w:t>
      </w:r>
      <w:r>
        <w:rPr>
          <w:rFonts w:ascii="Times New Roman" w:cs="Times New Roman" w:eastAsia="Times New Roman" w:hAnsi="Times New Roman"/>
          <w:sz w:val="18"/>
          <w:szCs w:val="18"/>
          <w:u w:val="single" w:color="auto"/>
          <w:color w:val="auto"/>
        </w:rPr>
        <w:t>Subsection 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3.1(c)</w:t>
      </w:r>
      <w:r>
        <w:rPr>
          <w:rFonts w:ascii="Times New Roman" w:cs="Times New Roman" w:eastAsia="Times New Roman" w:hAnsi="Times New Roman"/>
          <w:sz w:val="18"/>
          <w:szCs w:val="18"/>
          <w:color w:val="auto"/>
        </w:rPr>
        <w:t>) and fairly present the financial condition of the Company and its results of operation for the periods specified therein; and</w:t>
      </w:r>
    </w:p>
    <w:p>
      <w:pPr>
        <w:spacing w:after="0" w:line="179" w:lineRule="exact"/>
        <w:rPr>
          <w:rFonts w:ascii="Times New Roman" w:cs="Times New Roman" w:eastAsia="Times New Roman" w:hAnsi="Times New Roman"/>
          <w:sz w:val="18"/>
          <w:szCs w:val="18"/>
          <w:color w:val="auto"/>
        </w:rPr>
      </w:pPr>
    </w:p>
    <w:p>
      <w:pPr>
        <w:ind w:left="-80" w:right="60" w:firstLine="1428"/>
        <w:spacing w:after="0" w:line="258" w:lineRule="auto"/>
        <w:tabs>
          <w:tab w:leader="none" w:pos="1577"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under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520" w:top="270" w:right="519" w:bottom="1440" w:gutter="0" w:footer="0" w:header="0"/>
        </w:sectPr>
      </w:pPr>
    </w:p>
    <w:bookmarkStart w:id="768" w:name="page769"/>
    <w:bookmarkEnd w:id="768"/>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83" w:lineRule="exact"/>
        <w:rPr>
          <w:sz w:val="20"/>
          <w:szCs w:val="20"/>
          <w:color w:val="auto"/>
        </w:rPr>
      </w:pPr>
    </w:p>
    <w:p>
      <w:pPr>
        <w:ind w:right="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At the written request of each Major Investor, the Company shall permit such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Subsection 3</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87"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defined in the Company’s Certificate of Incorporation, as amended and/or restated from time to time), whichever occurs first.</w:t>
      </w:r>
    </w:p>
    <w:p>
      <w:pPr>
        <w:spacing w:after="0" w:line="180" w:lineRule="exact"/>
        <w:rPr>
          <w:sz w:val="20"/>
          <w:szCs w:val="20"/>
          <w:color w:val="auto"/>
        </w:rPr>
      </w:pPr>
    </w:p>
    <w:p>
      <w:pPr>
        <w:ind w:right="4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Subsection 3.4</w:t>
      </w:r>
      <w:r>
        <w:rPr>
          <w:rFonts w:ascii="Times New Roman" w:cs="Times New Roman" w:eastAsia="Times New Roman" w:hAnsi="Times New Roman"/>
          <w:sz w:val="18"/>
          <w:szCs w:val="18"/>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8"/>
          <w:szCs w:val="18"/>
          <w:u w:val="single" w:color="auto"/>
          <w:color w:val="auto"/>
        </w:rPr>
        <w:t>Subsection 3.4</w:t>
      </w:r>
      <w:r>
        <w:rPr>
          <w:rFonts w:ascii="Times New Roman" w:cs="Times New Roman" w:eastAsia="Times New Roman" w:hAnsi="Times New Roman"/>
          <w:sz w:val="18"/>
          <w:szCs w:val="18"/>
          <w:color w:val="auto"/>
        </w:rPr>
        <w:t>; (iii) to any existing or prospective Affiliate, partner, member, stockholder, parent or wholly owned subsidiary of such Investor in the ordinary</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769" w:name="page770"/>
    <w:bookmarkEnd w:id="769"/>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course of business, provided that such Investor informs such Person that such information is confidential and directs such Person to maintain the confidentiality of such information; or (iv) as may otherwise be required by law, regulation, rule, court order or subpoena,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promptly notifies the Company of such disclosure and takes reasonable steps to minimize the extent of any such required disclosure.</w:t>
      </w:r>
    </w:p>
    <w:p>
      <w:pPr>
        <w:spacing w:after="0" w:line="176" w:lineRule="exact"/>
        <w:rPr>
          <w:sz w:val="20"/>
          <w:szCs w:val="20"/>
          <w:color w:val="auto"/>
        </w:rPr>
      </w:pPr>
    </w:p>
    <w:p>
      <w:pPr>
        <w:ind w:left="620" w:hanging="184"/>
        <w:spacing w:after="0"/>
        <w:tabs>
          <w:tab w:leader="none" w:pos="62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7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Right of First Offer</w:t>
      </w:r>
      <w:r>
        <w:rPr>
          <w:rFonts w:ascii="Times New Roman" w:cs="Times New Roman" w:eastAsia="Times New Roman" w:hAnsi="Times New Roman"/>
          <w:sz w:val="17"/>
          <w:szCs w:val="17"/>
          <w:color w:val="auto"/>
        </w:rPr>
        <w:t xml:space="preserve">. Subject to the terms and conditions of this </w:t>
      </w:r>
      <w:r>
        <w:rPr>
          <w:rFonts w:ascii="Times New Roman" w:cs="Times New Roman" w:eastAsia="Times New Roman" w:hAnsi="Times New Roman"/>
          <w:sz w:val="17"/>
          <w:szCs w:val="17"/>
          <w:u w:val="single" w:color="auto"/>
          <w:color w:val="auto"/>
        </w:rPr>
        <w:t>Subsection 4.1</w:t>
      </w:r>
      <w:r>
        <w:rPr>
          <w:rFonts w:ascii="Times New Roman" w:cs="Times New Roman" w:eastAsia="Times New Roman" w:hAnsi="Times New Roman"/>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Affiliate agrees to enter into this Agreement and each of the Voting Agreement and Right of First Refusal and Co-Sale Agreement of even date herewith among the Company, the Investors and the other parties named therein, as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under each such agreement.</w:t>
      </w:r>
    </w:p>
    <w:p>
      <w:pPr>
        <w:spacing w:after="0" w:line="164" w:lineRule="exact"/>
        <w:rPr>
          <w:sz w:val="20"/>
          <w:szCs w:val="20"/>
          <w:color w:val="auto"/>
        </w:rPr>
      </w:pPr>
    </w:p>
    <w:p>
      <w:pPr>
        <w:ind w:right="80" w:firstLine="1428"/>
        <w:spacing w:after="0" w:line="268" w:lineRule="auto"/>
        <w:tabs>
          <w:tab w:leader="none" w:pos="1677"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4"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At the expiration of such twenty (20) day period, the Company shall promptly notify each Major Investor that elects to purchase or acquire all the shares available to it (each, a “</w:t>
      </w:r>
      <w:r>
        <w:rPr>
          <w:rFonts w:ascii="Times New Roman" w:cs="Times New Roman" w:eastAsia="Times New Roman" w:hAnsi="Times New Roman"/>
          <w:sz w:val="18"/>
          <w:szCs w:val="18"/>
          <w:b w:val="1"/>
          <w:bCs w:val="1"/>
          <w:color w:val="auto"/>
        </w:rPr>
        <w:t>Fully Exercising Investor</w:t>
      </w:r>
      <w:r>
        <w:rPr>
          <w:rFonts w:ascii="Times New Roman" w:cs="Times New Roman" w:eastAsia="Times New Roman" w:hAnsi="Times New Roman"/>
          <w:sz w:val="18"/>
          <w:szCs w:val="18"/>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shall occur within the later of ninety (90) days of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Subsection 4.1(c)</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770" w:name="page771"/>
    <w:bookmarkEnd w:id="770"/>
    <w:p>
      <w:pPr>
        <w:jc w:val="both"/>
        <w:ind w:right="40" w:firstLine="1428"/>
        <w:spacing w:after="0" w:line="256" w:lineRule="auto"/>
        <w:tabs>
          <w:tab w:leader="none" w:pos="1677"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all New Securities referred to in the Offer Notice are not elected to be purchased or acquired as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not be applicable to (i) Exempted Securities (as defined in the Company’s Certificate of Incorporation); (ii) shares of Common Stock issued in the IPO; and (iii) the issuance of shares of Preferred Stock pursuant to the Purchase Agreement.</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terminate and be of no further force or effect upon the earliest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immediately before the consummation of the IPO, (ii) when the Company first becomes subject to the periodic reporting requirements of</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Section 12(g) or 15(d) of the Exchange Actor, and (iii) upon a Deemed Liquidation Event (as defined in the Company’s Certificate of Incorporation, as amended and/or restated from time to time).</w:t>
      </w:r>
    </w:p>
    <w:p>
      <w:pPr>
        <w:spacing w:after="0" w:line="181" w:lineRule="exact"/>
        <w:rPr>
          <w:sz w:val="20"/>
          <w:szCs w:val="20"/>
          <w:color w:val="auto"/>
        </w:rPr>
      </w:pPr>
    </w:p>
    <w:p>
      <w:pPr>
        <w:ind w:left="620" w:hanging="184"/>
        <w:spacing w:after="0"/>
        <w:tabs>
          <w:tab w:leader="none" w:pos="620"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use its commercially reasonable efforts to obtain, within ninety (90) days of the date hereof, from financially sound and reputable insurers Directors and Officers liability insurance, each in an amount and on terms and conditions satisfactory to the Board of Directors, and will use commercially reasonable efforts to cause such insurance policies to be maintained until such time as the Board of Directors determines that such insurance should be discontinued.</w:t>
      </w:r>
    </w:p>
    <w:p>
      <w:pPr>
        <w:spacing w:after="0" w:line="180"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non-solicitation agreement, substantially in the form approved by the Board of Directors.</w:t>
      </w:r>
    </w:p>
    <w:p>
      <w:pPr>
        <w:spacing w:after="0" w:line="180"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quarterly installments over the following thirty-six (36) months, and (ii) a market stand-off provision substantially similar to that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In addition, unless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771" w:name="page772"/>
    <w:bookmarkEnd w:id="771"/>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62"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directors then in office, the Board of Directors shall meet at least quarterly in accordance with an agreed-upon schedule. The Company shall reimburse the directors for all reasonable out-of-pocket travel expenses incurred (consistent with the Company’s travel policy) in connection with attending meetings of the Board of Directors or any committee of the Board of Directors or in connection with any other activities which are required and/or requested and that involve expenses.</w:t>
      </w:r>
    </w:p>
    <w:p>
      <w:pPr>
        <w:spacing w:after="0" w:line="180"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83"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(each a “</w:t>
      </w:r>
      <w:r>
        <w:rPr>
          <w:rFonts w:ascii="Times New Roman" w:cs="Times New Roman" w:eastAsia="Times New Roman" w:hAnsi="Times New Roman"/>
          <w:sz w:val="18"/>
          <w:szCs w:val="18"/>
          <w:b w:val="1"/>
          <w:b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87"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Expenses of Counsel</w:t>
      </w:r>
      <w:r>
        <w:rPr>
          <w:rFonts w:ascii="Times New Roman" w:cs="Times New Roman" w:eastAsia="Times New Roman" w:hAnsi="Times New Roman"/>
          <w:sz w:val="18"/>
          <w:szCs w:val="18"/>
          <w:color w:val="auto"/>
        </w:rPr>
        <w:t>. In the event of a transaction which is a Sale of the Company (as defined in the Voting Agreement of even date herewith among the Investors and the Company), the reasonable fees and disbursements of one counsel for the Major Investors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in their capacities as stockholders, shall be borne and paid by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772" w:name="page773"/>
    <w:bookmarkEnd w:id="77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87" w:lineRule="exact"/>
        <w:rPr>
          <w:sz w:val="20"/>
          <w:szCs w:val="20"/>
          <w:color w:val="auto"/>
        </w:rPr>
      </w:pPr>
    </w:p>
    <w:p>
      <w:pPr>
        <w:ind w:firstLine="1432"/>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 The Company hereby agrees and acknowledges that each of the Investors is engaged in the business of investing, and as such invests in numerous portfolio companies, some of which may be deemed competitive with the Company’s business (as currently conducted or as currently propose to be conducted). The Company hereby agrees that, to the extent permitted under applicable law, no Investor shall be liable to the Company for any claim arising out of, or based upon, (i) the investment by such Investor in any entity competitive with the Company, or (ii) actions taken by any partner, officer or other representative of such Investor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88" w:lineRule="exact"/>
        <w:rPr>
          <w:sz w:val="20"/>
          <w:szCs w:val="20"/>
          <w:color w:val="auto"/>
        </w:rPr>
      </w:pPr>
    </w:p>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Subsection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5.6</w:t>
      </w:r>
      <w:r>
        <w:rPr>
          <w:rFonts w:ascii="Times New Roman" w:cs="Times New Roman" w:eastAsia="Times New Roman" w:hAnsi="Times New Roman"/>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defined in the Company’s Certificate of Incorporation, as amended and/or restated from time to time), whichever event occurs first.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73" w:name="page774"/>
    <w:bookmarkEnd w:id="773"/>
    <w:p>
      <w:pPr>
        <w:ind w:left="620" w:hanging="184"/>
        <w:spacing w:after="0"/>
        <w:tabs>
          <w:tab w:leader="none" w:pos="620"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two percent (2%) shares of Registrable Securities (subject to appropriate adjustment for stock splits, stock dividends, combinations, and other recapitalizations);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96"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162"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44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80" w:firstLine="1428"/>
        <w:spacing w:after="0" w:line="266" w:lineRule="auto"/>
        <w:tabs>
          <w:tab w:leader="none" w:pos="1677"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774" w:name="page775"/>
    <w:bookmarkEnd w:id="77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Subsection 6.5</w:t>
      </w:r>
      <w:r>
        <w:rPr>
          <w:rFonts w:ascii="Times New Roman" w:cs="Times New Roman" w:eastAsia="Times New Roman" w:hAnsi="Times New Roman"/>
          <w:sz w:val="18"/>
          <w:szCs w:val="18"/>
          <w:color w:val="auto"/>
        </w:rPr>
        <w:t>. If notice is given to the Company, a copy shall also be sent to Goodwin Procter LLP, 100 Northern Avenue, Boston, MA 02210, Attention: Richard A. Hoffman and if notice is given to Stockholders, a copy shall also be given to [1 Main Street, Suite 520, Cambridge, MA 02142], Attention: [Owen Hughes].</w:t>
      </w:r>
    </w:p>
    <w:p>
      <w:pPr>
        <w:spacing w:after="0" w:line="189" w:lineRule="exact"/>
        <w:rPr>
          <w:sz w:val="20"/>
          <w:szCs w:val="20"/>
          <w:color w:val="auto"/>
        </w:rPr>
      </w:pPr>
    </w:p>
    <w:p>
      <w:pPr>
        <w:ind w:right="60" w:firstLine="1428"/>
        <w:spacing w:after="0" w:line="273" w:lineRule="auto"/>
        <w:tabs>
          <w:tab w:leader="none" w:pos="1687" w:val="left"/>
        </w:tabs>
        <w:numPr>
          <w:ilvl w:val="0"/>
          <w:numId w:val="7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Each Investor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as amended or superseded from time to time, by electronic transmission pursuant to Section 232 of the DGCL (or any successor thereto) at the electronic mail address or the facsimile number set forth below such Investor’s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such stockholder’s electronic mail address, and that failure to do so shall not affect the foregoing.</w:t>
      </w:r>
    </w:p>
    <w:p>
      <w:pPr>
        <w:spacing w:after="0" w:line="171" w:lineRule="exact"/>
        <w:rPr>
          <w:sz w:val="20"/>
          <w:szCs w:val="20"/>
          <w:color w:val="auto"/>
        </w:rPr>
      </w:pPr>
    </w:p>
    <w:p>
      <w:pPr>
        <w:ind w:right="20" w:firstLine="1432"/>
        <w:spacing w:after="0" w:line="25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in its sole discretion waive compliance with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shall be deemed to be a waiver);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Notwithstanding the foregoing,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may be amended by the Company from time to time to add transferees of any Registrable Securities in compliance with the terms of this Agreement without the consent of the other parties;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 w:cs="Times New Roman" w:eastAsia="Times New Roman" w:hAnsi="Times New Roman"/>
          <w:sz w:val="18"/>
          <w:szCs w:val="18"/>
          <w:u w:val="single" w:color="auto"/>
          <w:color w:val="auto"/>
        </w:rPr>
        <w:t>Subsection 6.9</w:t>
      </w:r>
      <w:r>
        <w:rPr>
          <w:rFonts w:ascii="Times New Roman" w:cs="Times New Roman" w:eastAsia="Times New Roman" w:hAnsi="Times New Roman"/>
          <w:sz w:val="18"/>
          <w:szCs w:val="18"/>
          <w:color w:val="auto"/>
        </w:rPr>
        <w:t>. The Company shall give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775" w:name="page776"/>
    <w:bookmarkEnd w:id="775"/>
    <w:p>
      <w:pPr>
        <w:ind w:right="4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 notice of any amendment, modification or termination hereof or waiver hereunder to any party hereto that did not consent in writing to such amendment, modification, termination, or waiver. Any amendment, termination, or waiver effected in accordance with this </w:t>
      </w:r>
      <w:r>
        <w:rPr>
          <w:rFonts w:ascii="Times New Roman" w:cs="Times New Roman" w:eastAsia="Times New Roman" w:hAnsi="Times New Roman"/>
          <w:sz w:val="18"/>
          <w:szCs w:val="18"/>
          <w:u w:val="single" w:color="auto"/>
          <w:color w:val="auto"/>
        </w:rPr>
        <w:t>Subsection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3" w:lineRule="exact"/>
        <w:rPr>
          <w:sz w:val="20"/>
          <w:szCs w:val="20"/>
          <w:color w:val="auto"/>
        </w:rPr>
      </w:pPr>
    </w:p>
    <w:p>
      <w:pPr>
        <w:ind w:right="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0" w:lineRule="exact"/>
        <w:rPr>
          <w:sz w:val="20"/>
          <w:szCs w:val="20"/>
          <w:color w:val="auto"/>
        </w:rPr>
      </w:pPr>
    </w:p>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76"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the Company issues additional shares of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83" w:lineRule="exact"/>
        <w:rPr>
          <w:sz w:val="20"/>
          <w:szCs w:val="20"/>
          <w:color w:val="auto"/>
        </w:rPr>
      </w:pPr>
    </w:p>
    <w:p>
      <w:pPr>
        <w:jc w:val="both"/>
        <w:ind w:right="1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76" w:lineRule="exact"/>
        <w:rPr>
          <w:sz w:val="20"/>
          <w:szCs w:val="20"/>
          <w:color w:val="auto"/>
        </w:rPr>
      </w:pPr>
    </w:p>
    <w:p>
      <w:pPr>
        <w:ind w:right="4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776" w:name="page777"/>
    <w:bookmarkEnd w:id="776"/>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Each party will bear its own costs in respect of any disputes arising under this Agreement. 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Delaware or any court of the State of Delaware having subject matter jurisdiction.</w:t>
      </w:r>
    </w:p>
    <w:p>
      <w:pPr>
        <w:spacing w:after="0" w:line="180"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3"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777" w:name="page778"/>
    <w:bookmarkEnd w:id="77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Investors’ Rights Agreement as of the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CULLINAN ASSET SUBSIDIARY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17145</wp:posOffset>
            </wp:positionV>
            <wp:extent cx="219456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39"/>
          </w:cols>
          <w:pgMar w:left="1420" w:top="270" w:right="1440" w:bottom="1440" w:gutter="0" w:footer="0" w:header="0"/>
        </w:sectPr>
      </w:pPr>
    </w:p>
    <w:bookmarkStart w:id="778" w:name="page779"/>
    <w:bookmarkEnd w:id="7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Investors’ Rights Agreement as of the date first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[CULLINAN ONCOLOGY,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[Owen Hughes]</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7"/>
          <w:szCs w:val="17"/>
          <w:color w:val="auto"/>
        </w:rPr>
        <w:t>Title:</w:t>
        <w:tab/>
        <w:t>[Chief Executive Officer and President]</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80"/>
          </w:cols>
          <w:pgMar w:left="1420" w:top="270" w:right="1399" w:bottom="1440" w:gutter="0" w:footer="0" w:header="0"/>
        </w:sectPr>
      </w:pPr>
    </w:p>
    <w:bookmarkStart w:id="779" w:name="page780"/>
    <w:bookmarkEnd w:id="779"/>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and Address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Oncology,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Main St., Suite 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ectPr>
          <w:pgSz w:w="11900" w:h="16838" w:orient="portrait"/>
          <w:cols w:equalWidth="0" w:num="1">
            <w:col w:w="10019"/>
          </w:cols>
          <w:pgMar w:left="440" w:top="266" w:right="1440" w:bottom="1440" w:gutter="0" w:footer="0" w:header="0"/>
        </w:sectPr>
      </w:pPr>
    </w:p>
    <w:bookmarkStart w:id="780" w:name="page781"/>
    <w:bookmarkEnd w:id="780"/>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SERVICES AGREEMENT</w:t>
      </w:r>
    </w:p>
    <w:p>
      <w:pPr>
        <w:spacing w:after="0" w:line="20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THIS SERVICES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as of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by and between [</w:t>
      </w:r>
      <w:r>
        <w:rPr>
          <w:rFonts w:ascii="Times New Roman" w:cs="Times New Roman" w:eastAsia="Times New Roman" w:hAnsi="Times New Roman"/>
          <w:sz w:val="18"/>
          <w:szCs w:val="18"/>
          <w:i w:val="1"/>
          <w:iCs w:val="1"/>
          <w:color w:val="auto"/>
        </w:rPr>
        <w:t>Cullinan Asset Subsidiary</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Technology Company</w:t>
      </w:r>
      <w:r>
        <w:rPr>
          <w:rFonts w:ascii="Times New Roman" w:cs="Times New Roman" w:eastAsia="Times New Roman" w:hAnsi="Times New Roman"/>
          <w:sz w:val="18"/>
          <w:szCs w:val="18"/>
          <w:color w:val="auto"/>
        </w:rPr>
        <w:t>”), and Cullinan Management, Inc., a Delaware corporation (“</w:t>
      </w:r>
      <w:r>
        <w:rPr>
          <w:rFonts w:ascii="Times New Roman" w:cs="Times New Roman" w:eastAsia="Times New Roman" w:hAnsi="Times New Roman"/>
          <w:sz w:val="18"/>
          <w:szCs w:val="18"/>
          <w:u w:val="single" w:color="auto"/>
          <w:color w:val="auto"/>
        </w:rPr>
        <w:t>Service 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340" w:firstLine="440"/>
        <w:spacing w:after="0" w:line="312" w:lineRule="auto"/>
        <w:rPr>
          <w:sz w:val="20"/>
          <w:szCs w:val="20"/>
          <w:color w:val="auto"/>
        </w:rPr>
      </w:pPr>
      <w:r>
        <w:rPr>
          <w:rFonts w:ascii="Times New Roman" w:cs="Times New Roman" w:eastAsia="Times New Roman" w:hAnsi="Times New Roman"/>
          <w:sz w:val="17"/>
          <w:szCs w:val="17"/>
          <w:color w:val="auto"/>
        </w:rPr>
        <w:t>WHEREAS, Service Company agrees to provide or cause to be provided to Technology Company certain services for Technology Company’s business and research and development operations (the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xml:space="preserve">”) on the terms set forth in this Agreement, including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attached hereto.</w:t>
      </w:r>
    </w:p>
    <w:p>
      <w:pPr>
        <w:spacing w:after="0" w:line="14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NOW, THEREFORE, subject to the terms, conditions, covenants and provisions of this Agreement, Technology Company and Service Company each mutually covenant and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SERVICES PROVIDED</w:t>
      </w:r>
    </w:p>
    <w:p>
      <w:pPr>
        <w:spacing w:after="0" w:line="20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Upon the terms and subject to the conditions set forth in this Agreement, Service Company will provide each of those services (hereinafter referred to individually as a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attached hereto (which is incorporated herein and made a part of this Agreement) to Technology Company, as such Services are needed in the reasonable determination of Service Company during the term of this Agreement.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xml:space="preserve">. In providing the Services, Service Company may, as it deems necessary or appropriate, (i) use the personnel of Service Company or any affiliate thereof, and (ii) subject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employ the services of reputable and qualified third parties.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Level of Services</w:t>
      </w:r>
      <w:r>
        <w:rPr>
          <w:rFonts w:ascii="Times New Roman" w:cs="Times New Roman" w:eastAsia="Times New Roman" w:hAnsi="Times New Roman"/>
          <w:sz w:val="18"/>
          <w:szCs w:val="18"/>
          <w:color w:val="auto"/>
        </w:rPr>
        <w:t>. The Services will be provided and utilized in good faith and in a reasonable manner by the parties hereto.</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Service Company Access</w:t>
      </w:r>
      <w:r>
        <w:rPr>
          <w:rFonts w:ascii="Times New Roman" w:cs="Times New Roman" w:eastAsia="Times New Roman" w:hAnsi="Times New Roman"/>
          <w:sz w:val="18"/>
          <w:szCs w:val="18"/>
          <w:color w:val="auto"/>
        </w:rPr>
        <w:t>. To the extent reasonably required for personnel of Service Company to perform the Services, Technology Company shall provide personnel of Service Company or its affiliates with any reasonably necessary access during normal business hours (to the extent practicable) to its equipment, office space, plants, telecommunications and computer equipment and systems, and any other areas and equipment.</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Technology Company hereby appoints Service Company to act as its agent or (sub)contractor with respect to the execution of contracts, agreements and other written arrangements in furtherance of the Services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and Service Company hereby accepts such appointment. Service Company shall serve as an agent or (sub)contractor of Technology Company until such time as Technology Company revokes such appointment by written notice to the Service Company. Upon written request from Technology Company, Service Company hereby agrees to, and shall, assign, transfer and convey to Technology Company, now and in the future, all of Service Company’s rights, title and interests in, to and under any Contract to ensure that all such rights, title and interests in, to and under any Contract inure to the benefit of Technology Company. Notwithstanding anything to the contrary contained in this Agreement, this Agreement shall not constitute an agreement to assign any Contract if an attempted assignment thereof, without consent of a third party thereto, would constitute a breach or other contravention thereof or in any way adversely affect the rights of Technology Company or Service Company thereunder. In such a circumstance, Service Company shall use commercially reasonable efforts to obtain the consent of the other parties to any such Contract for the assignment thereof to Technology Company or an affiliate or third party designated by Technology Company. Unless and until such consent is obtained, or if an attempted assignment thereof would be ineffective or would adversely affect the rights of Technology Company thereunder so that Technology Company would not in fact receive all rights under such Contract, Service Company and</w:t>
      </w:r>
    </w:p>
    <w:p>
      <w:pPr>
        <w:sectPr>
          <w:pgSz w:w="11900" w:h="16838" w:orient="portrait"/>
          <w:cols w:equalWidth="0" w:num="1">
            <w:col w:w="11020"/>
          </w:cols>
          <w:pgMar w:left="440" w:top="118" w:right="439" w:bottom="1440" w:gutter="0" w:footer="0" w:header="0"/>
        </w:sectPr>
      </w:pPr>
    </w:p>
    <w:bookmarkStart w:id="781" w:name="page782"/>
    <w:bookmarkEnd w:id="78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 Agreement – Page 2</w:t>
      </w:r>
    </w:p>
    <w:p>
      <w:pPr>
        <w:spacing w:after="0" w:line="252"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Technology Company will cooperate in an arrangement under which Technology Company would obtain the benefits and assume the obligations thereunder, including subcontracting, sub-licensing, or subleasing to Technology Company, or under which Service Company would enforce, at Technology Company’s expense, for the benefit of Technology Company, with Technology Company assuming at Technology Company’s expense Service Company’s obligations, any and all rights of Service Company against a third party thereto. Service Company will promptly pay to Technology Company when received all monies received by Service Company under any such Contracts, and Technology Company shall pay, defend, discharge and perform all liabilities under such Contracts.</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COMPENSATION</w:t>
      </w:r>
    </w:p>
    <w:p>
      <w:pPr>
        <w:spacing w:after="0" w:line="207"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Invoices/Payment</w:t>
      </w:r>
      <w:r>
        <w:rPr>
          <w:rFonts w:ascii="Times New Roman" w:cs="Times New Roman" w:eastAsia="Times New Roman" w:hAnsi="Times New Roman"/>
          <w:sz w:val="18"/>
          <w:szCs w:val="18"/>
          <w:color w:val="auto"/>
        </w:rPr>
        <w:t>. At the end of each calendar month during the term hereof, Service Company, and/or its affiliates, will submit a single itemized invoice to Technology Company for all Services provided to Technology Company during the calendar month just ended in accordance with the pricing of such Services set forth on Appendix A. Payment of all undisputed invoiced amounts shall be made by check or electronic funds transmission in U.S. Dollars within sixty (60) days of the invoice date unless otherwise agreed to by the parties. All payments shall be made to the account designated by Service Company. Any undisputed amounts that are not paid when due, at Service Company’s discretion, may bear interest from and after the date on which such invoice first became overdue at an annual rate equal to five percent (5%).</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CONFIDENTIALITY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All information that is disclosed or provided by one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to the other party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pursuant to this Agreement, whether in oral, written, graphic, electronic, or any other form, shall be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Disclosing Party, except that all deliverables or results of Services (including, without limitation, all Inventions (as defined below)), except as provided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shall be deemed the Confidential Information of Technology Company. Except to the extent expressly authorized by this Agreement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the Disclosing Party in writing, during the term of this Agreement and for ten (10) years thereafter, the Recipient shall maintain in strict trust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confidence and shall not disclose to any third party or use for any purpose other than as provided for in this Agreement any Confidential Information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Disclosing Party. Service Company may use Technology Company’s Confidential Information only to the extent required to perform the Services,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for no other purpose. Each Recipient agrees that it shall not use the Disclosing Party’s Confidential Information for any purpose or in any manner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 would constitute a violation of applicable laws.</w:t>
      </w:r>
    </w:p>
    <w:p>
      <w:pPr>
        <w:spacing w:after="0" w:line="207"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 xml:space="preserve">. The obligations of confidentiality and nonuse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shall not apply to any specific portion of information that the Recipient can demonstrate by competent written proof: (a) is in the public domain or comes into the public domain through no fault of the Recipient;</w:t>
      </w:r>
    </w:p>
    <w:p>
      <w:pPr>
        <w:spacing w:after="0" w:line="1" w:lineRule="exact"/>
        <w:rPr>
          <w:sz w:val="20"/>
          <w:szCs w:val="20"/>
          <w:color w:val="auto"/>
        </w:rPr>
      </w:pPr>
    </w:p>
    <w:p>
      <w:pPr>
        <w:jc w:val="both"/>
        <w:ind w:left="4" w:right="140" w:hanging="4"/>
        <w:spacing w:after="0" w:line="277" w:lineRule="auto"/>
        <w:tabs>
          <w:tab w:leader="none" w:pos="259" w:val="left"/>
        </w:tabs>
        <w:numPr>
          <w:ilvl w:val="0"/>
          <w:numId w:val="7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furnished to the Recipient by a third party rightfully in possession of such information and not subject to a duty of confidentiality with respect thereto; (c) is already known by the Recipient at the time of receiving such Confidential Information from the Disclosing Party as evidenced by the Recipient’s prior written records; or (d) is independently developed by the Recipient without access to the Disclosing Party’s Confidential Information.</w:t>
      </w:r>
    </w:p>
    <w:p>
      <w:pPr>
        <w:spacing w:after="0" w:line="16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 Notwithstanding the foregoing in this ARTICLE III, the Recipient may disclose certain Confidential Information of the Disclosing Party to the extent such disclosure is required by law or regulation, or pursuant to a valid order of a court or other governmental body having jurisdiction, provided that the Recipient provides the Disclosing Party with reasonable prior</w:t>
      </w:r>
    </w:p>
    <w:p>
      <w:pPr>
        <w:sectPr>
          <w:pgSz w:w="11900" w:h="16838" w:orient="portrait"/>
          <w:cols w:equalWidth="0" w:num="1">
            <w:col w:w="11004"/>
          </w:cols>
          <w:pgMar w:left="436" w:top="419" w:right="459" w:bottom="1440" w:gutter="0" w:footer="0" w:header="0"/>
        </w:sectPr>
      </w:pPr>
    </w:p>
    <w:bookmarkStart w:id="782" w:name="page783"/>
    <w:bookmarkEnd w:id="78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Agreement – Page 3</w:t>
      </w:r>
    </w:p>
    <w:p>
      <w:pPr>
        <w:spacing w:after="0" w:line="25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written notice of such disclosure and reasonable assistance in obtaining a protective order or confidential treatment preventing or limiting the disclosure and/or requiring that the Confidential Information so disclosed be used only for the purposes for which the law or regulation required, or for which the order was issued.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Return of Confidential Information</w:t>
      </w:r>
      <w:r>
        <w:rPr>
          <w:rFonts w:ascii="Times New Roman" w:cs="Times New Roman" w:eastAsia="Times New Roman" w:hAnsi="Times New Roman"/>
          <w:sz w:val="18"/>
          <w:szCs w:val="18"/>
          <w:color w:val="auto"/>
        </w:rPr>
        <w:t>. Upon termination of this Agreement, or upon written request of the Disclosing Party, the Recipient shall promptly return to the Disclosing Party or destroy all documents, notes and other tangible materials representing the Disclosing Party’s Confidential Information and all copies thereof; provided, however, that each party may retain a single archival copy of the other party’s Confidential Information for the sole purpose of facilitating compliance with the surviving provisions of this Agreement.</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parties expressly acknowledge and agree that any breach or threatened breach of ARTICLE III or ARTICLE IV may cause immediate and irreparable harm to the non-breaching party that may not be adequately compensated by damages. Each party therefore agrees that in the event of such breach or threatened breach and in addition to any remedies available at law, the non-breaching party shall have the right to seek equitable and injunctive relief, without bond, in connection with such a breach or threatened breach.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Inventions and Assignment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any materials, data, processes, documents, deliverables, results, information (including Confidential Information), discoveries, inventions, know-how and the like conceived, created, developed or generated by or on behalf of Service Company during the course of, and as a direct result of, performing the Services, whether or not patentable, and all related patent, copyright and other intellectual property rights in any of the foregoing (collectively the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shall be the sole and exclusive property of Technology Company. Service Company hereby assigns, and to the extent it cannot presently assign, agrees to assign and shall use commercially reasonable efforts to obtain the right to assign, to Technology Company all of Service Company’s worldwide right, title and interest in and to such Inventions. Service Company shall assist Technology Company in securing for Technology Company any patents, copyrights or other proprietary rights in such Inventions, and shall take such actions and execute such documents as Technology Company may reasonably request in connection with providing such assistance or otherwise to vest in Technology Company all right, title and interest in and to such Inventions, including without limitation any and all applications, assignments or other instruments. Service Company shall be compensated for all of its reasonable out-of-pocket costs and expenses associated with such requested assistance. To the extent Inventions cannot be assigned to Technology Company under this ARTICLE IV, Service Company hereby grants to Technology Company an exclusive, perpetual, irrevocable, transferable, royalty-free, fully paid-up, worldwide license, with the right to grant sublicenses, under such Inventions for any and all purposes.</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Service Company IP</w:t>
      </w:r>
      <w:r>
        <w:rPr>
          <w:rFonts w:ascii="Times New Roman" w:cs="Times New Roman" w:eastAsia="Times New Roman" w:hAnsi="Times New Roman"/>
          <w:sz w:val="18"/>
          <w:szCs w:val="18"/>
          <w:color w:val="auto"/>
        </w:rPr>
        <w:t>. Any (i) processes or process improvements conceived, created, developed or generated by Service Company related to Service Company’s pre-existing technology that are general in nature and are not unique or specific to [</w:t>
      </w:r>
      <w:r>
        <w:rPr>
          <w:rFonts w:ascii="Times New Roman" w:cs="Times New Roman" w:eastAsia="Times New Roman" w:hAnsi="Times New Roman"/>
          <w:sz w:val="18"/>
          <w:szCs w:val="18"/>
          <w:i w:val="1"/>
          <w:iCs w:val="1"/>
          <w:color w:val="auto"/>
        </w:rPr>
        <w:t>description of Cullinan Asset Subsidiary’s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w:t>
      </w:r>
      <w:r>
        <w:rPr>
          <w:rFonts w:ascii="Times New Roman" w:cs="Times New Roman" w:eastAsia="Times New Roman" w:hAnsi="Times New Roman"/>
          <w:sz w:val="18"/>
          <w:szCs w:val="18"/>
          <w:color w:val="auto"/>
        </w:rPr>
        <w:t>] performed for Technology Company, and (ii) pre-existing patents, know-how or other technology or information owned or controlled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Company prior to the effective date of this Agreement and that are incorporated into or embodied in any Inventions or deliverables or results provided by Service Company under this Agreement (“</w:t>
      </w:r>
      <w:r>
        <w:rPr>
          <w:rFonts w:ascii="Times New Roman" w:cs="Times New Roman" w:eastAsia="Times New Roman" w:hAnsi="Times New Roman"/>
          <w:sz w:val="18"/>
          <w:szCs w:val="18"/>
          <w:u w:val="single" w:color="auto"/>
          <w:color w:val="auto"/>
        </w:rPr>
        <w:t>Service Company IP</w:t>
      </w:r>
      <w:r>
        <w:rPr>
          <w:rFonts w:ascii="Times New Roman" w:cs="Times New Roman" w:eastAsia="Times New Roman" w:hAnsi="Times New Roman"/>
          <w:sz w:val="18"/>
          <w:szCs w:val="18"/>
          <w:color w:val="auto"/>
        </w:rPr>
        <w:t>”) will be owned by Service Company. For clarity, Service Company IP shall not include any such technology, patents, know-how or information which has been assigned or exclusively licensed to Technology Company or any other person or entity. Service Company hereby grants to Technology Company a perpetual, irrevocable, non-</w:t>
      </w:r>
    </w:p>
    <w:p>
      <w:pPr>
        <w:sectPr>
          <w:pgSz w:w="11900" w:h="16838" w:orient="portrait"/>
          <w:cols w:equalWidth="0" w:num="1">
            <w:col w:w="11020"/>
          </w:cols>
          <w:pgMar w:left="440" w:top="419" w:right="439" w:bottom="1440" w:gutter="0" w:footer="0" w:header="0"/>
        </w:sectPr>
      </w:pPr>
    </w:p>
    <w:bookmarkStart w:id="783" w:name="page784"/>
    <w:bookmarkEnd w:id="78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 Agreement – Page 4</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exclusive, worldwide, royalty-free, fully paid-up license (with a right to grant sublicenses) under Service Company’s right, title and interest in and to the Service Company IP solely to the extent necessary for Technology Company to utilize the Inventions and the other deliverables or results of Services for any purpose. The foregoing license may be sublicensed by Technology Company in connection with the transfer by Technology Company of the ownership of, or any rights in or to, the deliverables, results or Inventions to which the license relates.</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Technology Company Technology</w:t>
      </w:r>
      <w:r>
        <w:rPr>
          <w:rFonts w:ascii="Times New Roman" w:cs="Times New Roman" w:eastAsia="Times New Roman" w:hAnsi="Times New Roman"/>
          <w:sz w:val="18"/>
          <w:szCs w:val="18"/>
          <w:color w:val="auto"/>
        </w:rPr>
        <w:t>. Technology Company hereby grants to Service Company a revocable, nonexclusive, non-transferable, worldwide, royalty-free, fully paid-up, worldwide license (with the right to grant sublicenses) for the term of this Agreement, under all materials, data, processes, documents, information, discoveries, inventions, know-how and the like and all patent, copyright and other intellectual property rights, in each case, owned or controlled by Technology Company solely as necessary to perform the Services.</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Other License Grant</w:t>
      </w:r>
      <w:r>
        <w:rPr>
          <w:rFonts w:ascii="Times New Roman" w:cs="Times New Roman" w:eastAsia="Times New Roman" w:hAnsi="Times New Roman"/>
          <w:sz w:val="18"/>
          <w:szCs w:val="18"/>
          <w:color w:val="auto"/>
        </w:rPr>
        <w:t>. Except as expressly set forth in this Agreement, nothing in this Agreement, nor the delivery of any information or materials to Service Company by Technology Company (or any third party acting on its behalf) in connection with Service Company’s performance of Services under this Agreement shall be deemed to grant to either party any right or license under any patents, patent applications, know-how, technology, inventions or other intellectual property of the other party. Notwithstanding anything in this Agreement to the contrary, Technology Company shall own all right, title and interest in and to all inventions, know-how, information and materials, and all related intellectual property rights, that arise from Technology Company’s use of Inventions and the other deliverables and results of Services.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Third Party Intellectual Property</w:t>
      </w:r>
      <w:r>
        <w:rPr>
          <w:rFonts w:ascii="Times New Roman" w:cs="Times New Roman" w:eastAsia="Times New Roman" w:hAnsi="Times New Roman"/>
          <w:sz w:val="18"/>
          <w:szCs w:val="18"/>
          <w:color w:val="auto"/>
        </w:rPr>
        <w:t>. Service Company will not knowingly utilize in the performance of Services under this Agreement or incorporate into any deliverable or materials or any other results of the Services provided to Technology Company any technology or materials covered by proprietary rights of a third party unless Service Company is freely permitted to utilize or incorporate such technology or materials and Technology Company is freely permitted to use such work, deliverable or materials or any other results of the Services without further compensation by Service Company or Technology Company to any third party.</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Subcontractors and Use of Third Party Facilities</w:t>
      </w:r>
      <w:r>
        <w:rPr>
          <w:rFonts w:ascii="Times New Roman" w:cs="Times New Roman" w:eastAsia="Times New Roman" w:hAnsi="Times New Roman"/>
          <w:sz w:val="18"/>
          <w:szCs w:val="18"/>
          <w:color w:val="auto"/>
        </w:rPr>
        <w:t>. Service Company will ensure that its agreement with any permitted subcontractor includes the assignment of any and all Inventions to (1) Technology Company or (2) Service Company with the right of further transfer to Technology Company; provided, however, that Service Company may (A) grant customary carve outs relating to inventions that are conceived, created, developed or generated in connection with the performance of any subcontracted activities and are solely improvements to the subcontractor’s background intellectual property rights; or (B) enter into agreements with academic collaborators or non-profit institutions on customary terms (that at a minimum grant to Technology Company, or Service Company with the right of further transfer to Technology Company, (i) a non-exclusive license, and (ii) an exclusive option or exclusive license, in each case ((i) and (ii)) to all inventions conceived, created, developed or generated in connection with the performance of any subcontracted activities). Service Company will not make any use of any funds, space, personnel, facilities, equipment or other resources of a third party in performing Services, or take any other action, that would result in a third party owning or having a right in the results of Services or Inventions, unless agreed upon in writing in advance by Technology Company.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w:t>
      </w:r>
    </w:p>
    <w:p>
      <w:pPr>
        <w:spacing w:after="0" w:line="2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become effective on the date hereof and shall remain in force until Service Company, in its sole discretion, terminates the Agreement. The date that Service Company provides written notice of such termination to Technology Company,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419" w:right="459" w:bottom="1440" w:gutter="0" w:footer="0" w:header="0"/>
        </w:sectPr>
      </w:pPr>
    </w:p>
    <w:bookmarkStart w:id="784" w:name="page785"/>
    <w:bookmarkEnd w:id="78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Agreement – Page 5</w:t>
      </w:r>
    </w:p>
    <w:p>
      <w:pPr>
        <w:spacing w:after="0" w:line="25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Termination of Obligations</w:t>
      </w:r>
      <w:r>
        <w:rPr>
          <w:rFonts w:ascii="Times New Roman" w:cs="Times New Roman" w:eastAsia="Times New Roman" w:hAnsi="Times New Roman"/>
          <w:sz w:val="18"/>
          <w:szCs w:val="18"/>
          <w:color w:val="auto"/>
        </w:rPr>
        <w:t>. Technology Company agrees and acknowledges that all obligations of Service Company to provide each Service to Technology Company shall immediately cease at the end of the day on the Termination Date.</w:t>
      </w:r>
    </w:p>
    <w:p>
      <w:pPr>
        <w:spacing w:after="0" w:line="162" w:lineRule="exact"/>
        <w:rPr>
          <w:sz w:val="20"/>
          <w:szCs w:val="20"/>
          <w:color w:val="auto"/>
        </w:rPr>
      </w:pPr>
    </w:p>
    <w:p>
      <w:pPr>
        <w:ind w:right="300" w:firstLine="440"/>
        <w:spacing w:after="0" w:line="274"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Effects; Survival of Certain Obligations</w:t>
      </w:r>
      <w:r>
        <w:rPr>
          <w:rFonts w:ascii="Times New Roman" w:cs="Times New Roman" w:eastAsia="Times New Roman" w:hAnsi="Times New Roman"/>
          <w:sz w:val="17"/>
          <w:szCs w:val="17"/>
          <w:color w:val="auto"/>
        </w:rPr>
        <w:t xml:space="preserve">. In the event of termination of this Agreement in accordance with the terms hereof, this Agreement shall immediately become null and void and have no effect, and none of the parties shall have any liability of any nature whatsoever hereunder, or in connection with the transactions contemplated hereby, except that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and all other obligations of the parties specifically intended to be performed or survive after the termination of this Agreement shall survive any termination of this Agreement. All obligations of Technology Company and Service Company under this Agreement that arose prior to its termination and that have not been fully performed in accordance with the terms of this Agreement prior to such termination shall survive any such termination of this Agreement.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claims and other communications which are required or may be given under this Agreement will be in writing and will be deemed to have been duly given when received if personally delivered; the business day after it is sent, if sent for next day delivery to a domestic address by recognized overnight delivery service (e.g., Federal Express); five business days after the date mailed by certified or registered mail, postage prepaid, if sent by certified or registered mail, return receipt requested. In each case notice will be sent 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Service Company,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Cullinan Management,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Main St., Suite 520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Technology Company, to:</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Cullinan Asset Subsidiary</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Main St., Suite 520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or to such other place and with such other copies as each of Service Company or Technology Company may designate as to itself by written notice to the other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schedules and exhibits hereto, Exhibits and the other agreements referred to therein, and any documents executed by the parties simultaneously herewith, pursuant thereto, or referenced herein, comprises the entire agreement of the parties, and all promises, representations, understandings, warranties and agreements with reference to the subject matter hereof, and all inducements to the making of this Agreement relied upon by all the parties hereto, have been expressed herein, Exhibits and other agreements referred to therein and this Agreement, together with the Exhibits and the other agreements referred to therein, supersedes any prior understandings, negotiations, agreements or representations by or among the parties, written or oral, to the extent they related in any way to the subject matter hereof or thereof. Neither this Agreement nor any of the terms or provisions hereof is binding upon or enforceable against any party hereto unless and until the same is executed and delivered by all of the parties hereto.</w:t>
      </w:r>
    </w:p>
    <w:p>
      <w:pPr>
        <w:sectPr>
          <w:pgSz w:w="11900" w:h="16838" w:orient="portrait"/>
          <w:cols w:equalWidth="0" w:num="1">
            <w:col w:w="11020"/>
          </w:cols>
          <w:pgMar w:left="440" w:top="419" w:right="439" w:bottom="1440" w:gutter="0" w:footer="0" w:header="0"/>
        </w:sectPr>
      </w:pPr>
    </w:p>
    <w:bookmarkStart w:id="785" w:name="page786"/>
    <w:bookmarkEnd w:id="78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 Agreement – Page 6</w:t>
      </w:r>
    </w:p>
    <w:p>
      <w:pPr>
        <w:spacing w:after="0" w:line="25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Nothing in this Agreement is intended or should be construed to create a partnership, joint venture, or employer-employee relationship between Technology Company and Service Company or any of Service Company’s employees or agents.</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bear any responsibility or liability for any damages arising out of any delay, inability to perform or interruption of its performance of its obligations under this Agreement due to any acts or omissions of the other party hereto or for events beyond its reasonable control including, without limitation, acts of God, acts of governmental authorities, acts of terrorism, acts of a public enemy, acts of civil or military authority including governmental priorities, or due to war, riot, fire, flood, civil commotion, insurrection, lack of or shortage of electrical power, or any other cause beyond the reasonable control of such party.</w:t>
      </w:r>
    </w:p>
    <w:p>
      <w:pPr>
        <w:spacing w:after="0" w:line="183"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Except as expressly permitted by the terms hereof, neither this Agreement nor any of the rights, interests or obligations hereunder shall be assigned by any of the parties hereto without the prior written consent of the other parties; provided, that a party may, without obtaining the prior written consent of the other party, assign any of its rights, or delegate any of its obligations under this Agreement to any Affiliate or in connection with the sale of all or substantially all of its assets to which this Agreement relates (whether by sale, merger, reorganization, consolidation or otherwise).</w:t>
      </w:r>
    </w:p>
    <w:p>
      <w:pPr>
        <w:spacing w:after="0" w:line="164"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as a result of any rule of law or public policy, all other terms and other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will negotiate in good faith to modify this Agreement so as to effect the original intent of the parties as closely as possible in an acceptable manner to the end that the transactions contemplated hereby are fulfilled to the greatest extent possible.</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this Agreement, except to the extent otherwise provided or that the context otherwise requires: (a) references made in this Agreement to an Section, Exhibit or Schedule are references to an Section, Exhibit, or Schedule of this Agreement; (b) all Exhibits and Schedules annexed hereto or referred to herein are hereby incorporated in and made a part of this Agreement as if set forth herein; (c) the headings in this Agreement are for reference purposes only and do not affect in any way the meaning or interpretation of this Agreement; (d) whenever the words “include,” “includes” or “including” are used in this Agreement, they are deemed to be followed by the words “without limitation”; (e) the words “hereof,” “herein” and “hereunder” and words of similar import, when used in this Agreement, refer to this Agreement as a whole and not to any particular provision of this Agreement; (f) all terms defined in this Agreement have the defined meanings when used in any certificate or other document made or delivered pursuant hereto, unless otherwise defined therein; (g) the following general rules apply: the singular number will include the plural, and vice versa; the masculine gender will include the feminine and neuter genders; the feminine gender will include the masculine and neuter genders; and the neuter gender will include the masculine and feminine genders; (h) any Law defined or referred to herein or in any agreement or instrument that is referred to herein shall include any modification, amendment or re-enactment thereof, and any Law substituted therefore, in each case as of the time of inquiry, representation or covenant and all rules, regulations and statutory instruments issued or related to such Law; (i) any reference to a governmental authority shall be deemed also to refer to any successor thereto unless the context requires otherwise; (j) a reference to any agreement (including this Agreement), or contract is, unless otherwise specified, to the agreement, contract, statute or regulation as amended, modified, supplemented or replaced at the time of inquiry, representation or covenant; (k) no prior draft of this Agreement nor any course of performance or course of dealing will be used in the interpretation or construction of this Agreement; (l) although the same or similar subject matters may be addressed in different provisions of this Agreement, the parties intend that, except as reasonably apparent on the face of the Agreement or as expressly provided in this Agreement, each such provision will be read separately,</w:t>
      </w:r>
    </w:p>
    <w:p>
      <w:pPr>
        <w:sectPr>
          <w:pgSz w:w="11900" w:h="16838" w:orient="portrait"/>
          <w:cols w:equalWidth="0" w:num="1">
            <w:col w:w="11020"/>
          </w:cols>
          <w:pgMar w:left="440" w:top="419" w:right="439" w:bottom="1440" w:gutter="0" w:footer="0" w:header="0"/>
        </w:sectPr>
      </w:pPr>
    </w:p>
    <w:bookmarkStart w:id="786" w:name="page787"/>
    <w:bookmarkEnd w:id="78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Agreement – Page 7</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 given independent significance and not be construed as limiting any other provision of this Agreement (whether or not more general or more specific in scope, substance or content); (m) the use of “or” is not intended to be exclusive unless expressly indicated otherwise; and (n) all references to monetary amounts in this Agreement refer to U.S. dollars.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(and any claim or controversy arising out of or relating to this Agreement) will be governed by the Law of the Commonwealth of Massachusetts without giving effect to any choice of law or conflict of law provision or rule (whether of the Commonwealth of Massachusetts or any other jurisdictions) that would cause application of the Laws of any jurisdiction other than the Commonwealth of Massachusetts.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covenants and agreements and other provisions set forth in this Agreement and made by or on behalf of any of the parties hereto will bind, and inure to the benefit of, the successors (including any successor by merger, sale, reorganization, consolidation or division), heirs and permitted assigns of such party. This Agreement may be executed in two or more counterparts, each of which when executed will be deemed an original and all of which together will constitute one and the same instrument. The Parties agree that this Agreement will be legally binding upon the electronic transmission, including by facsimile or email, by each party of a signed signature page to this Agreement to the other party.</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Waiver and Amendment</w:t>
      </w:r>
      <w:r>
        <w:rPr>
          <w:rFonts w:ascii="Times New Roman" w:cs="Times New Roman" w:eastAsia="Times New Roman" w:hAnsi="Times New Roman"/>
          <w:sz w:val="18"/>
          <w:szCs w:val="18"/>
          <w:color w:val="auto"/>
        </w:rPr>
        <w:t>. No provision of this Agreement may be waived or amended except in a written instrument signed by the party against whom enforcement of any such amendment or waiver is sought.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0980"/>
          </w:cols>
          <w:pgMar w:left="440" w:top="419" w:right="479" w:bottom="1440" w:gutter="0" w:footer="0" w:header="0"/>
        </w:sectPr>
      </w:pPr>
    </w:p>
    <w:bookmarkStart w:id="787" w:name="page788"/>
    <w:bookmarkEnd w:id="7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executed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0</wp:posOffset>
            </wp:positionV>
            <wp:extent cx="242570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CULLINAN ASSET SUBSIDIARY</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0</wp:posOffset>
            </wp:positionV>
            <wp:extent cx="242570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p>
    <w:p>
      <w:pPr>
        <w:sectPr>
          <w:pgSz w:w="11900" w:h="16838" w:orient="portrait"/>
          <w:cols w:equalWidth="0" w:num="1">
            <w:col w:w="9579"/>
          </w:cols>
          <w:pgMar w:left="880" w:top="270" w:right="1440" w:bottom="1440" w:gutter="0" w:footer="0" w:header="0"/>
        </w:sectPr>
      </w:pPr>
    </w:p>
    <w:bookmarkStart w:id="788" w:name="page789"/>
    <w:bookmarkEnd w:id="788"/>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 SERVICES</w:t>
      </w:r>
    </w:p>
    <w:p>
      <w:pPr>
        <w:spacing w:after="0" w:line="252" w:lineRule="exact"/>
        <w:rPr>
          <w:sz w:val="20"/>
          <w:szCs w:val="20"/>
          <w:color w:val="auto"/>
        </w:rPr>
      </w:pPr>
    </w:p>
    <w:p>
      <w:pPr>
        <w:ind w:left="424" w:hanging="424"/>
        <w:spacing w:after="0"/>
        <w:tabs>
          <w:tab w:leader="none" w:pos="424" w:val="left"/>
        </w:tabs>
        <w:numPr>
          <w:ilvl w:val="0"/>
          <w:numId w:val="7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Service Company shall collect all cash receipts and other working capital receipts for account of Technology Company and use such cash to fund payroll and A/P functions on behalf of Technology Company.</w:t>
      </w:r>
    </w:p>
    <w:p>
      <w:pPr>
        <w:spacing w:after="0" w:line="306" w:lineRule="exact"/>
        <w:rPr>
          <w:sz w:val="20"/>
          <w:szCs w:val="20"/>
          <w:color w:val="auto"/>
        </w:rPr>
      </w:pPr>
    </w:p>
    <w:p>
      <w:pPr>
        <w:ind w:left="424" w:hanging="424"/>
        <w:spacing w:after="0"/>
        <w:tabs>
          <w:tab w:leader="none" w:pos="424" w:val="left"/>
        </w:tabs>
        <w:numPr>
          <w:ilvl w:val="0"/>
          <w:numId w:val="7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w:t>
      </w:r>
    </w:p>
    <w:p>
      <w:pPr>
        <w:spacing w:after="0" w:line="121" w:lineRule="exact"/>
        <w:rPr>
          <w:sz w:val="20"/>
          <w:szCs w:val="20"/>
          <w:color w:val="auto"/>
        </w:rPr>
      </w:pPr>
    </w:p>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Service Company shall maintain A/P management functions including record-keeping. Service Company shall administer Form 1099s, where necessary, for payments made by Service Company as part of Services. Service Company shall process A/P in accordance with its normal payment terms, generally thirty (30) days.</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tab/>
        <w:t>RESEARCH AND DEVELOPMENT</w:t>
      </w:r>
    </w:p>
    <w:p>
      <w:pPr>
        <w:spacing w:after="0" w:line="121" w:lineRule="exact"/>
        <w:rPr>
          <w:sz w:val="20"/>
          <w:szCs w:val="20"/>
          <w:color w:val="auto"/>
        </w:rPr>
      </w:pPr>
    </w:p>
    <w:p>
      <w:pPr>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Service Company shall perform, on behalf of Technology Company, support services related to Technology Company’s program related to [</w:t>
      </w:r>
      <w:r>
        <w:rPr>
          <w:rFonts w:ascii="Times New Roman" w:cs="Times New Roman" w:eastAsia="Times New Roman" w:hAnsi="Times New Roman"/>
          <w:sz w:val="18"/>
          <w:szCs w:val="18"/>
          <w:i w:val="1"/>
          <w:iCs w:val="1"/>
          <w:color w:val="auto"/>
        </w:rPr>
        <w:t>description of Cullinan Asset Subsidiary’s program</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For avoidance of doubt, and in consideration of the amounts paid under the Services Agreement, all services related to and associated with the Business performed by Service Company are for and on behalf of Technology Company.</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ACCOUNTING SERVICES</w:t>
      </w:r>
    </w:p>
    <w:p>
      <w:pPr>
        <w:spacing w:after="0" w:line="121"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Service Company shall maintain general accounting support with financial reporting in accordance with U.S. generally accepted accounting principles. Service Company shall maintain adequate accounting records for all Technology Company activity and will use commercially reasonable efforts to maintain Technology Company’s administrative and tax compliance.</w:t>
      </w:r>
    </w:p>
    <w:p>
      <w:pPr>
        <w:spacing w:after="0" w:line="320" w:lineRule="exact"/>
        <w:rPr>
          <w:sz w:val="20"/>
          <w:szCs w:val="20"/>
          <w:color w:val="auto"/>
        </w:rPr>
      </w:pPr>
    </w:p>
    <w:p>
      <w:pPr>
        <w:ind w:left="424" w:hanging="424"/>
        <w:spacing w:after="0"/>
        <w:tabs>
          <w:tab w:leader="none" w:pos="424" w:val="left"/>
        </w:tabs>
        <w:numPr>
          <w:ilvl w:val="0"/>
          <w:numId w:val="7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SERVICES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Service Company shall allow Technology Company to use without limitation receptionists, photocopiers, telephones, and office equipment, as necessary. Further, Technology Company shall permit Service Company to perform such other services and operations related to Technology Company’s business.</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tab/>
        <w:t>PRICING</w:t>
      </w:r>
    </w:p>
    <w:p>
      <w:pPr>
        <w:spacing w:after="0" w:line="135" w:lineRule="exact"/>
        <w:rPr>
          <w:sz w:val="20"/>
          <w:szCs w:val="20"/>
          <w:color w:val="auto"/>
        </w:rPr>
      </w:pPr>
    </w:p>
    <w:p>
      <w:pPr>
        <w:ind w:left="424" w:hanging="424"/>
        <w:spacing w:after="0"/>
        <w:tabs>
          <w:tab w:leader="none" w:pos="424"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w:t>
      </w:r>
    </w:p>
    <w:p>
      <w:pPr>
        <w:spacing w:after="0" w:line="117"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Service Company employees will devote a portion of their time to performing Service Company’s obligations under the Agreement, such portion to be determined in the discretion of the Service Company. On a quarterly basis, Service Company shall provide Technology Company with an updated schedule setting forth such amounts,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As consideration for the Services, Technology Company shall reimburse Service Company for the portions of the salaries and benefits for the individuals employed by Service Company providing services pursuant to this Agreement as listed on the Schedule. Technology Company agrees to comply with the reimbursement for such salaries and benefits incurred in providing Services to Technology Company prior to the effective date of this Agreement, with such accrual beginning on [</w:t>
      </w:r>
      <w:r>
        <w:rPr>
          <w:rFonts w:ascii="Times New Roman" w:cs="Times New Roman" w:eastAsia="Times New Roman" w:hAnsi="Times New Roman"/>
          <w:sz w:val="18"/>
          <w:szCs w:val="18"/>
          <w:i w:val="1"/>
          <w:iCs w:val="1"/>
          <w:color w:val="auto"/>
        </w:rPr>
        <w:t>date of formation of Cullinan Asset Subsidiary</w:t>
      </w:r>
      <w:r>
        <w:rPr>
          <w:rFonts w:ascii="Times New Roman" w:cs="Times New Roman" w:eastAsia="Times New Roman" w:hAnsi="Times New Roman"/>
          <w:sz w:val="18"/>
          <w:szCs w:val="18"/>
          <w:color w:val="auto"/>
        </w:rPr>
        <w:t>], as set forth on the Schedule and to the extent requested by Services Company.</w:t>
      </w:r>
    </w:p>
    <w:p>
      <w:pPr>
        <w:sectPr>
          <w:pgSz w:w="11900" w:h="16838" w:orient="portrait"/>
          <w:cols w:equalWidth="0" w:num="1">
            <w:col w:w="11004"/>
          </w:cols>
          <w:pgMar w:left="436" w:top="266" w:right="459" w:bottom="1440" w:gutter="0" w:footer="0" w:header="0"/>
        </w:sectPr>
      </w:pPr>
    </w:p>
    <w:bookmarkStart w:id="789" w:name="page790"/>
    <w:bookmarkEnd w:id="789"/>
    <w:p>
      <w:pPr>
        <w:ind w:left="424" w:hanging="424"/>
        <w:spacing w:after="0"/>
        <w:tabs>
          <w:tab w:leader="none" w:pos="424"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Out-of-Pocket Expenses</w:t>
      </w:r>
    </w:p>
    <w:p>
      <w:pPr>
        <w:spacing w:after="0" w:line="11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Service Company shall invoice Technology Company for all reasonable direct expenses incurred or paid by Service Company, prior to or after the effective date of this Agreement, with such accrual beginning on [</w:t>
      </w:r>
      <w:r>
        <w:rPr>
          <w:rFonts w:ascii="Times New Roman" w:cs="Times New Roman" w:eastAsia="Times New Roman" w:hAnsi="Times New Roman"/>
          <w:sz w:val="18"/>
          <w:szCs w:val="18"/>
          <w:i w:val="1"/>
          <w:iCs w:val="1"/>
          <w:color w:val="auto"/>
        </w:rPr>
        <w:t>date of formation of Cullinan Asset Subsidiary</w:t>
      </w:r>
      <w:r>
        <w:rPr>
          <w:rFonts w:ascii="Times New Roman" w:cs="Times New Roman" w:eastAsia="Times New Roman" w:hAnsi="Times New Roman"/>
          <w:sz w:val="18"/>
          <w:szCs w:val="18"/>
          <w:color w:val="auto"/>
        </w:rPr>
        <w:t>], in the performance of the Services under the Agreement without any mark-up.</w:t>
      </w:r>
    </w:p>
    <w:p>
      <w:pPr>
        <w:sectPr>
          <w:pgSz w:w="11900" w:h="16838" w:orient="portrait"/>
          <w:cols w:equalWidth="0" w:num="1">
            <w:col w:w="10964"/>
          </w:cols>
          <w:pgMar w:left="436" w:top="270" w:right="499" w:bottom="1440" w:gutter="0" w:footer="0" w:header="0"/>
        </w:sectPr>
      </w:pPr>
    </w:p>
    <w:bookmarkStart w:id="790" w:name="page791"/>
    <w:bookmarkEnd w:id="790"/>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ROYALTY TRANSFER AGREEMENT</w:t>
      </w:r>
    </w:p>
    <w:p>
      <w:pPr>
        <w:spacing w:after="0" w:line="22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Royalty Transfer Agreement (the “Agreement”) is made and entered into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(the “Effective Date”), by and between [</w:t>
      </w:r>
      <w:r>
        <w:rPr>
          <w:rFonts w:ascii="Times New Roman" w:cs="Times New Roman" w:eastAsia="Times New Roman" w:hAnsi="Times New Roman"/>
          <w:sz w:val="18"/>
          <w:szCs w:val="18"/>
          <w:i w:val="1"/>
          <w:iCs w:val="1"/>
          <w:color w:val="auto"/>
        </w:rPr>
        <w:t>Cullinan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Delaware corporation (the “Company”), MPM Oncology Charitable Foundation, Inc., a Massachusetts charitable foundation (the “MPM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Charitable Foundation”) and the UBS Optimus Foundation, a Swiss charitable foundation (“Optimus,” and together with the MPM Charitable Foundation, each a “Charitable Foundation” and together the “Charitable Foundations”).</w:t>
      </w:r>
    </w:p>
    <w:p>
      <w:pPr>
        <w:spacing w:after="0" w:line="17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certain investors of the Company have requested that the Company enter into this Agreement providing for the transfer of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on the terms and conditions outlined below;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is willing to enter into this Agreement in connection with such request.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the MPM Charitable Foundation and Optimus agree as follows: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 The following terms, as used herein, have the following meanings:</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shall mean any legal entity (such as a corporation, partnership, limited liability company, etc.) that is directly or indirectly controlled by,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with, the Company. For the purposes of this definition, “control” shall mean direct or indirect (i) beneficial ownership of at least 50% of the voting securities of a legal entity, or (ii) a 50% or greater interest in the net assets or profits of a legal entity.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Bad Debt</w:t>
      </w:r>
      <w:r>
        <w:rPr>
          <w:rFonts w:ascii="Times New Roman" w:cs="Times New Roman" w:eastAsia="Times New Roman" w:hAnsi="Times New Roman"/>
          <w:sz w:val="18"/>
          <w:szCs w:val="18"/>
          <w:color w:val="auto"/>
        </w:rPr>
        <w:t>” shall mean any amounts booked as such on the Company’s financial statements, prepared in accordance with GAAP.</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shall mean (a) any invention and/or (b) any patents and/or patent applications in each case which is in whole or in part developed by, or otherwise becomes owned or controlled by, the Company.</w:t>
      </w:r>
    </w:p>
    <w:p>
      <w:pPr>
        <w:spacing w:after="0" w:line="1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“Company Products” </w:t>
      </w:r>
      <w:r>
        <w:rPr>
          <w:rFonts w:ascii="Times New Roman" w:cs="Times New Roman" w:eastAsia="Times New Roman" w:hAnsi="Times New Roman"/>
          <w:sz w:val="18"/>
          <w:szCs w:val="18"/>
          <w:color w:val="auto"/>
        </w:rPr>
        <w:t>shall mean any product developed or owned by the Company requiring pre-market regulatory approval, provided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developed or owned by the Company that references, practices or incorporates, or (if such intellectual property was not owned or controlled by the Company), would infringe, only Post-IPO IP shall not be deemed a “Company Product” hereunder. Further, notwithstanding anything to the contrary herein, for the avoidance of doubt, Company Products shall not include any products that are discovered, developed, manufactured and/or commercialized by or on behalf of, or are covered by intellectual property (whether or not patentable) of, any person or entity that is an acquiror or merger partner of Company, becomes an Affiliate or successor of the Company by reason of any transaction in connection with the sale of all or substantially all of the stock and/or assets of the Company related to such product (such transaction, an “Acquisition”), or an assignee of this Agreement in</w:t>
      </w:r>
    </w:p>
    <w:p>
      <w:pPr>
        <w:sectPr>
          <w:pgSz w:w="11900" w:h="16838" w:orient="portrait"/>
          <w:cols w:equalWidth="0" w:num="1">
            <w:col w:w="11020"/>
          </w:cols>
          <w:pgMar w:left="440" w:top="118" w:right="439" w:bottom="1440" w:gutter="0" w:footer="0" w:header="0"/>
        </w:sectPr>
      </w:pPr>
    </w:p>
    <w:bookmarkStart w:id="791" w:name="page792"/>
    <w:bookmarkEnd w:id="791"/>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connection with any of the aforementioned transactions, provided that the discovery, development, manufacture and/or commercialization of such product are performed without use of Pre-Acquisition 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“End of the Year” </w:t>
      </w:r>
      <w:r>
        <w:rPr>
          <w:rFonts w:ascii="Times New Roman" w:cs="Times New Roman" w:eastAsia="Times New Roman" w:hAnsi="Times New Roman"/>
          <w:sz w:val="18"/>
          <w:szCs w:val="18"/>
          <w:color w:val="auto"/>
        </w:rPr>
        <w:t>shall mean December 31 of a given calendar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shall mean any party that is not an Affiliate that has been granted a license to the applicable Company Product(s).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means, with respect to a Company Product, the gross amounts invoiced in arm’s length transactions by the Company or its Affiliates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Licensees to third parties for sales of such Company Product, less good faith estimates of the following deductions to the extent specifically relating to sales of such Company Product, which will be adjusted to reflect actual deductions on a periodic basis (no less frequently than annually):</w:t>
      </w:r>
    </w:p>
    <w:p>
      <w:pPr>
        <w:spacing w:after="0" w:line="80" w:lineRule="exact"/>
        <w:rPr>
          <w:sz w:val="20"/>
          <w:szCs w:val="20"/>
          <w:color w:val="auto"/>
        </w:rPr>
      </w:pPr>
    </w:p>
    <w:p>
      <w:pPr>
        <w:ind w:left="960" w:right="220" w:hanging="532"/>
        <w:spacing w:after="0" w:line="266" w:lineRule="auto"/>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(including trade, quantity, and cash discounts) actually allowed, cash and non-cash coupons, and retroactive price reductions (including to governmental entities or agencies, purchasers, reimbursers, customers, distributors, wholesalers, and group purchasing and managed care organizations or entities (and other similar entities and institutions);</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if any, on account of price adjustments, recalls, claims, damaged goods, rejections or returns of items previously sold (including Company Products returned in connection with recalls or withdrawals) and amounts written off by reason of Bad Debt; provided, that if the debt is thereafter paid, the corresponding amount will be added to the Net Sales of the period during which it is paid;</w:t>
      </w:r>
    </w:p>
    <w:p>
      <w:pPr>
        <w:spacing w:after="0" w:line="81" w:lineRule="exact"/>
        <w:rPr>
          <w:rFonts w:ascii="Times New Roman" w:cs="Times New Roman" w:eastAsia="Times New Roman" w:hAnsi="Times New Roman"/>
          <w:sz w:val="18"/>
          <w:szCs w:val="18"/>
          <w:color w:val="auto"/>
        </w:rPr>
      </w:pPr>
    </w:p>
    <w:p>
      <w:pPr>
        <w:jc w:val="both"/>
        <w:ind w:left="960" w:right="100" w:hanging="532"/>
        <w:spacing w:after="0" w:line="289" w:lineRule="auto"/>
        <w:tabs>
          <w:tab w:leader="none" w:pos="960" w:val="left"/>
        </w:tabs>
        <w:numPr>
          <w:ilvl w:val="0"/>
          <w:numId w:val="7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rebates (or their equivalent), administrative fees, and any other similar allowances granted or paid by Company, its Affiliates or Licensees (including to governmental authorities, purchasers, reimbursers, customers, distributors, wholesalers, and managed care organizations and entities (and other similar entities and institutions) that effectively reduce the selling price or gross sales of the Company Product;</w:t>
      </w:r>
    </w:p>
    <w:p>
      <w:pPr>
        <w:spacing w:after="0" w:line="63" w:lineRule="exact"/>
        <w:rPr>
          <w:rFonts w:ascii="Times New Roman" w:cs="Times New Roman" w:eastAsia="Times New Roman" w:hAnsi="Times New Roman"/>
          <w:sz w:val="17"/>
          <w:szCs w:val="17"/>
          <w:color w:val="auto"/>
        </w:rPr>
      </w:pPr>
    </w:p>
    <w:p>
      <w:pPr>
        <w:ind w:left="960" w:right="440" w:hanging="532"/>
        <w:spacing w:after="0" w:line="282" w:lineRule="auto"/>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customs charges, freight, postage, shipping, handling, and other transportation costs incurred by Company, its Affiliates or Licensees in shipping Company Products;</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57" w:lineRule="auto"/>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deducted or excluded from the gross amounts invoiced, import taxes, export taxes, excise taxes, sales taxes, value-added taxes, consumption taxes, duties or other taxes levied on, absorbed, determined, and/or imposed with respect to such sales, including pharmaceutical excise taxes (such as those imposed by the United States Patient Protection and Affordable Care Act of 2010 (Pub. L.</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111-48) and other comparable laws), but excluding income or net profit taxes or franchise taxes of any kind; and</w:t>
      </w:r>
    </w:p>
    <w:p>
      <w:pPr>
        <w:spacing w:after="0" w:line="11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or customary deductions taken in the ordinary course of business in accordance with GAAP.</w:t>
      </w:r>
    </w:p>
    <w:p>
      <w:pPr>
        <w:sectPr>
          <w:pgSz w:w="11900" w:h="16838" w:orient="portrait"/>
          <w:cols w:equalWidth="0" w:num="1">
            <w:col w:w="11000"/>
          </w:cols>
          <w:pgMar w:left="440" w:top="270" w:right="459" w:bottom="1440" w:gutter="0" w:footer="0" w:header="0"/>
        </w:sectPr>
      </w:pPr>
    </w:p>
    <w:bookmarkStart w:id="792" w:name="page793"/>
    <w:bookmarkEnd w:id="79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Net Sales will be determined in accordance with GAAP except that GAAP compliance will not be required with respect to the deduction of pharmaceutical excise taxes described in clause (e) above. Net Sales will not be imputed to transfers of Company Products for use in clinical trials, non-clinical development activities, or other development activities that might be required by regulatory authorities with respect to Company Products, for bona fide charitable purposes, for compassionate use, for indigent patient programs, or as free samples.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event a Company Product contains another active ingredient that is not a Company Product itself, which Company Product is sold as a unit at a single price either as a fixed dosage form or as separate dosage forms (such Company Product, a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Net Sales of such Company Product for a particular country for the purpose of determining royalties due hereunder shall be calculated by the Company using commercially reasonable accounting practices.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“Post-IPO IP” </w:t>
      </w:r>
      <w:r>
        <w:rPr>
          <w:rFonts w:ascii="Times New Roman" w:cs="Times New Roman" w:eastAsia="Times New Roman" w:hAnsi="Times New Roman"/>
          <w:sz w:val="18"/>
          <w:szCs w:val="18"/>
          <w:color w:val="auto"/>
        </w:rPr>
        <w:t>shall mean Company IP that (a) was discovered or developed or (b) has a priority date (in the case of a patent or patent application)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of the registration statement with respect to an initial public offering of the Company’s common stock pursuant to an effective registration statement under the Securities Act of 1933.</w:t>
      </w:r>
    </w:p>
    <w:p>
      <w:pPr>
        <w:spacing w:after="0" w:line="17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Pre-Acquisition IP</w:t>
      </w:r>
      <w:r>
        <w:rPr>
          <w:rFonts w:ascii="Times New Roman" w:cs="Times New Roman" w:eastAsia="Times New Roman" w:hAnsi="Times New Roman"/>
          <w:sz w:val="18"/>
          <w:szCs w:val="18"/>
          <w:color w:val="auto"/>
        </w:rPr>
        <w:t>” shall mean Company IP that (a) was discovered or developed or (b) has a priority date (in the case of a patent or patent application) prior to the closing of an Acquisition of the Company.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Payments/Termination</w:t>
      </w:r>
    </w:p>
    <w:p>
      <w:pPr>
        <w:spacing w:after="0" w:line="121"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Payments to MPM Charitable Foundation.</w:t>
      </w:r>
      <w:r>
        <w:rPr>
          <w:rFonts w:ascii="Times New Roman" w:cs="Times New Roman" w:eastAsia="Times New Roman" w:hAnsi="Times New Roman"/>
          <w:sz w:val="18"/>
          <w:szCs w:val="18"/>
          <w:color w:val="auto"/>
        </w:rPr>
        <w:t xml:space="preserve"> Within 120 days of the End of the Year, the Company agrees to pay to the MPM Charitable Foundation 0.5% of all global Net Sales of any Company Products received by the Company, its Licensees or its Affiliates during the prior calendar year. The Company’s payment obligations to the MPM Charitable Foundation under this Section 2.1 shall terminate immediately upon the authorization by the board of directors (or similar governing body) of the MPM Charitable Foundation or the winding up or dissolution of the MPM Charitable Foundation, or earlier as provided in Section 2.3.</w:t>
      </w:r>
    </w:p>
    <w:p>
      <w:pPr>
        <w:spacing w:after="0" w:line="75"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Payments to Optimus.</w:t>
      </w:r>
      <w:r>
        <w:rPr>
          <w:rFonts w:ascii="Times New Roman" w:cs="Times New Roman" w:eastAsia="Times New Roman" w:hAnsi="Times New Roman"/>
          <w:sz w:val="18"/>
          <w:szCs w:val="18"/>
          <w:color w:val="auto"/>
        </w:rPr>
        <w:t xml:space="preserve"> Within 120 days of the End of the Year, the Company agrees to pay to Optimus 0.5% of all global Net Sales of any Company Products received by the Company, its Licensees or its Affiliates during the prior calendar year. The Company’s payment obligations to Optimus under this Section 2.2 shall terminate immediately upon the expiration or termination of the Contribution Agreement relating to the Quality and Access Initiative for Health in Resource Poor Settings between Optimus and Oncology Impact Fund (Cayman) Management L.P. (“OIF Management”), or earlier as provided in Section 2.3.</w:t>
      </w:r>
    </w:p>
    <w:p>
      <w:pPr>
        <w:spacing w:after="0" w:line="75" w:lineRule="exact"/>
        <w:rPr>
          <w:sz w:val="20"/>
          <w:szCs w:val="20"/>
          <w:color w:val="auto"/>
        </w:rPr>
      </w:pPr>
    </w:p>
    <w:p>
      <w:pPr>
        <w:jc w:val="both"/>
        <w:ind w:left="440" w:right="30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Termination/Step-Down.</w:t>
      </w:r>
      <w:r>
        <w:rPr>
          <w:rFonts w:ascii="Times New Roman" w:cs="Times New Roman" w:eastAsia="Times New Roman" w:hAnsi="Times New Roman"/>
          <w:sz w:val="18"/>
          <w:szCs w:val="18"/>
          <w:color w:val="auto"/>
        </w:rPr>
        <w:t xml:space="preserve"> Notwithstanding the foregoing, Company’s obligation to pay royalties under Sections 2.1 and 2.2 for a Company Product shall terminate on a country-by-country basis upon the later of (i) the date that is the twelfth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first commercial sale of that Company Product in such country, and (ii) the expiration of the last to</w:t>
      </w:r>
    </w:p>
    <w:p>
      <w:pPr>
        <w:sectPr>
          <w:pgSz w:w="11900" w:h="16838" w:orient="portrait"/>
          <w:cols w:equalWidth="0" w:num="1">
            <w:col w:w="11000"/>
          </w:cols>
          <w:pgMar w:left="440" w:top="270" w:right="459" w:bottom="1440" w:gutter="0" w:footer="0" w:header="0"/>
        </w:sectPr>
      </w:pPr>
    </w:p>
    <w:bookmarkStart w:id="793" w:name="page794"/>
    <w:bookmarkEnd w:id="793"/>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expire issued patent claim of any Pre-Acquisition IP (other than Post-IPO IP) covering the composition or use of such Company Product in such country (the “Royalty Term”). If the Royalty Term pursuant to clause (i) of this Section 2.3 exceeds the Royalty Term pursuant to clause (ii), the royalty rates under Sections 2.1 and 2.2 shall each be reduced by fifty percent (50%) for the remainder of the Royalty Term, such that the new royalty rates under Section 2.1 and 2.2 shall be 0.25% each for the remainder of the Royalty Term. If MPM Oncology Impact Management GP, LP ceases for any reason to serve as the general partner for OIF Management, then this Agreement shall terminate immediately.</w:t>
      </w:r>
    </w:p>
    <w:p>
      <w:pPr>
        <w:spacing w:after="0" w:line="75" w:lineRule="exact"/>
        <w:rPr>
          <w:sz w:val="20"/>
          <w:szCs w:val="20"/>
          <w:color w:val="auto"/>
        </w:rPr>
      </w:pPr>
    </w:p>
    <w:p>
      <w:pPr>
        <w:ind w:left="440" w:right="500"/>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Currency of Payments</w:t>
      </w:r>
      <w:r>
        <w:rPr>
          <w:rFonts w:ascii="Times New Roman" w:cs="Times New Roman" w:eastAsia="Times New Roman" w:hAnsi="Times New Roman"/>
          <w:sz w:val="18"/>
          <w:szCs w:val="18"/>
          <w:color w:val="auto"/>
        </w:rPr>
        <w:t>. All payments under this Agreement shall be paid in U.S. dollars by wire transfer to an account designated by the receiving party (which account the receiving party may update from time to time in writing).</w:t>
      </w:r>
    </w:p>
    <w:p>
      <w:pPr>
        <w:spacing w:after="0" w:line="54" w:lineRule="exact"/>
        <w:rPr>
          <w:sz w:val="20"/>
          <w:szCs w:val="20"/>
          <w:color w:val="auto"/>
        </w:rPr>
      </w:pPr>
    </w:p>
    <w:p>
      <w:pPr>
        <w:ind w:left="440" w:right="360"/>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Currency; Withholding Tax Matters</w:t>
      </w:r>
      <w:r>
        <w:rPr>
          <w:rFonts w:ascii="Times New Roman" w:cs="Times New Roman" w:eastAsia="Times New Roman" w:hAnsi="Times New Roman"/>
          <w:sz w:val="18"/>
          <w:szCs w:val="18"/>
          <w:color w:val="auto"/>
        </w:rPr>
        <w:t>. In the event that any of the payments made by the Company under this Agreement become subject to withholding taxes under the laws of any jurisdiction, the Company shall deduct and withhold the amount of such taxes for the account of the applicable Charitable Foundation to the extent required by law, such payment to the applicable Charitable Foundation shall be reduced by the amount of taxes deducted and withheld, and the Company shall pay the amount of such taxes to the proper governmental authority in a timely manner. Any such withholding taxes required under applicable law to be paid or withheld shall be an expense of, and borne solely by, the applicable Charitable Foundation.</w:t>
      </w:r>
    </w:p>
    <w:p>
      <w:pPr>
        <w:spacing w:after="0" w:line="79" w:lineRule="exact"/>
        <w:rPr>
          <w:sz w:val="20"/>
          <w:szCs w:val="20"/>
          <w:color w:val="auto"/>
        </w:rPr>
      </w:pPr>
    </w:p>
    <w:p>
      <w:pPr>
        <w:ind w:left="440" w:right="260"/>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All information regarding Net Sales and other information disclosed by or on behalf of the Company under this Agreement shall be deemed to be the confidential information of the Company, and each Charitable Foundation shall not use such information for any purpose or disclose such information to any third party, in each case during or after the term of this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3: Miscellaneous</w:t>
      </w:r>
    </w:p>
    <w:p>
      <w:pPr>
        <w:spacing w:after="0" w:line="121" w:lineRule="exact"/>
        <w:rPr>
          <w:sz w:val="20"/>
          <w:szCs w:val="20"/>
          <w:color w:val="auto"/>
        </w:rPr>
      </w:pPr>
    </w:p>
    <w:p>
      <w:pPr>
        <w:ind w:left="440" w:right="8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Binding Agreement and Assignment.</w:t>
      </w:r>
      <w:r>
        <w:rPr>
          <w:rFonts w:ascii="Times New Roman" w:cs="Times New Roman" w:eastAsia="Times New Roman" w:hAnsi="Times New Roman"/>
          <w:sz w:val="18"/>
          <w:szCs w:val="18"/>
          <w:color w:val="auto"/>
        </w:rPr>
        <w:t xml:space="preserve"> This Agreement shall be binding upon and inure to the benefit of the Company and its successors and assigns. The Company may not transfer, assign or sell any rights to commercialize any Company Products (other than to trade customers) without securing from the transferee, assignee or acquirer, as the case may be, an acknowledgement of its continuing obligations under this Agreement. The Charitable Foundations may not assign any of their rights or obligations under this Agreement to any individual or entity without the express written prior consent of the Company.</w:t>
      </w:r>
    </w:p>
    <w:p>
      <w:pPr>
        <w:spacing w:after="0" w:line="75"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Entire Agreement, Headings, and Modification.</w:t>
      </w:r>
      <w:r>
        <w:rPr>
          <w:rFonts w:ascii="Times New Roman" w:cs="Times New Roman" w:eastAsia="Times New Roman" w:hAnsi="Times New Roman"/>
          <w:sz w:val="18"/>
          <w:szCs w:val="18"/>
          <w:color w:val="auto"/>
        </w:rPr>
        <w:t xml:space="preserve"> This Agreement contains the entire understandings of the parties with respect to the subject matter herein, and supersedes all previous agreements (whether oral or written), negotiations, and discussions among the parties with respect to such subject matter. The descriptive headings of the sections of this Agreement are inserted for convenience only and shall not control or affect the meaning or construction of any provision hereof. Any modifications or amendments to this Agreement must be made in writing and signed by all parties.</w:t>
      </w:r>
    </w:p>
    <w:p>
      <w:pPr>
        <w:sectPr>
          <w:pgSz w:w="11900" w:h="16838" w:orient="portrait"/>
          <w:cols w:equalWidth="0" w:num="1">
            <w:col w:w="11000"/>
          </w:cols>
          <w:pgMar w:left="440" w:top="270" w:right="459" w:bottom="1440" w:gutter="0" w:footer="0" w:header="0"/>
        </w:sectPr>
      </w:pPr>
    </w:p>
    <w:bookmarkStart w:id="794" w:name="page795"/>
    <w:bookmarkEnd w:id="79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xml:space="preserve"> This Agreement shall be construed, governed, interpreted, and applied in accordance with the laws of the Commonwealth of Massachusetts, exclusive of its conflicts of law provisions. Any unresolved controversy or claim arising out of or relating to this Agreement shall be submitted to arbitration by one arbitrator mutually agreed upon by the parties, and if no agreement can be reached within 30 days after names of potential arbitrators have been proposed by the American Arbitration Association (the “AAA”), then by one arbitrator having reasonable experience in licensing and royalty transactions who is chosen by the AAA. The arbitration shall take place in Boston, Massachusetts, in accordance with the AAA rules then in effect, and judgment upon any award rendered in such arbitration will be binding and may be entered in any court having jurisdiction thereof.</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waiver by any party of the breach of any covenant or provision in this Agreement shall not operate or be construed as a waiver of any subsequent breach by such party.</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a court of competent jurisdiction declares any term or provision of this Agreement to be invalid or unenforceable for any reason, this Agreement will remain in full force and effect, and either: (a) the invalid or unenforceable provision(s) will be modified to the minimum extent necessary to make such provision(s) valid and enforceable; or (b) if such a modification is not possible, this Agreement will be interpreted as if such invalid or unenforceable provision(s) were not a part of this Agreement.</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will constitute one and the same instrument, and will be an original of this Agreement.</w:t>
      </w:r>
    </w:p>
    <w:p>
      <w:pPr>
        <w:spacing w:after="0" w:line="16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 The signature pages follow.)</w:t>
      </w:r>
    </w:p>
    <w:p>
      <w:pPr>
        <w:sectPr>
          <w:pgSz w:w="11900" w:h="16838" w:orient="portrait"/>
          <w:cols w:equalWidth="0" w:num="1">
            <w:col w:w="10500"/>
          </w:cols>
          <w:pgMar w:left="880" w:top="270" w:right="519" w:bottom="1440" w:gutter="0" w:footer="0" w:header="0"/>
        </w:sectPr>
      </w:pPr>
    </w:p>
    <w:bookmarkStart w:id="795" w:name="page796"/>
    <w:bookmarkEnd w:id="79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Agreement has been executed by the parties hereto through their duly authorized officers as of the Effective Date.</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Cullinan Asset Subsidiary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[Royalty Transfer Agreement]</w:t>
      </w:r>
    </w:p>
    <w:p>
      <w:pPr>
        <w:sectPr>
          <w:pgSz w:w="11900" w:h="16838" w:orient="portrait"/>
          <w:cols w:equalWidth="0" w:num="1">
            <w:col w:w="10500"/>
          </w:cols>
          <w:pgMar w:left="440" w:top="270" w:right="959" w:bottom="1440" w:gutter="0" w:footer="0" w:header="0"/>
        </w:sectPr>
      </w:pPr>
    </w:p>
    <w:bookmarkStart w:id="796" w:name="page797"/>
    <w:bookmarkEnd w:id="7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MPM ONCOLOGY CHARITABLE FOUNDATION,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UBS OPTIMUS FOUNDATION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8"/>
          <w:szCs w:val="18"/>
          <w:color w:val="auto"/>
        </w:rPr>
        <w:t>[Royalty Transfer Agreement]</w:t>
      </w:r>
    </w:p>
    <w:p>
      <w:pPr>
        <w:sectPr>
          <w:pgSz w:w="11900" w:h="16838" w:orient="portrait"/>
          <w:cols w:equalWidth="0" w:num="1">
            <w:col w:w="10019"/>
          </w:cols>
          <w:pgMar w:left="440" w:top="266" w:right="1440" w:bottom="1440" w:gutter="0" w:footer="0" w:header="0"/>
        </w:sectPr>
      </w:pPr>
    </w:p>
    <w:bookmarkStart w:id="797" w:name="page798"/>
    <w:bookmarkEnd w:id="797"/>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purpose of this Non-Employee Director Compensation Policy (the “Policy”) of Cullinan Management, Inc.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equity securities (the “Effective Date”). In furtherance of the purpose stated above, all Outside Directors shall be paid compensation for services provided to the Company as set forth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Retainers</w:t>
      </w:r>
    </w:p>
    <w:p>
      <w:pPr>
        <w:spacing w:after="0" w:line="121" w:lineRule="exact"/>
        <w:rPr>
          <w:sz w:val="20"/>
          <w:szCs w:val="20"/>
          <w:color w:val="auto"/>
        </w:rPr>
      </w:pPr>
    </w:p>
    <w:p>
      <w:pPr>
        <w:ind w:left="440" w:right="360"/>
        <w:spacing w:after="0" w:line="266"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$35,000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Annual Retainer for Non-Executive Chair: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Additional Annual Retainers for Committee Membership:</w:t>
            </w: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Retainers</w:t>
      </w:r>
    </w:p>
    <w:p>
      <w:pPr>
        <w:spacing w:after="0" w:line="121" w:lineRule="exact"/>
        <w:rPr>
          <w:sz w:val="20"/>
          <w:szCs w:val="20"/>
          <w:color w:val="auto"/>
        </w:rPr>
      </w:pPr>
    </w:p>
    <w:p>
      <w:pPr>
        <w:jc w:val="both"/>
        <w:ind w:left="440"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initial, one-time stock option award (the “Initial Award”) with a Value (as defined below) of $250,000 will be granted to each new Outside Director upon his or her election to the Board of Directors, which shall vest with respect to one-third (1/3) of the shares subject to such Initial Award on the first anniversary of the date of grant, with the remainder vesting thereafter in 24 equal monthly installments, provided, however, that all vesting shall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8" w:right="439" w:bottom="1440" w:gutter="0" w:footer="0" w:header="0"/>
        </w:sectPr>
      </w:pPr>
    </w:p>
    <w:bookmarkStart w:id="798" w:name="page799"/>
    <w:bookmarkEnd w:id="798"/>
    <w:p>
      <w:pPr>
        <w:ind w:left="4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cease if the director resigns from the Board of Directors or otherwise ceases to serve as a director of the Company,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of the Company’s common stock on the date of grant. This Initial Award applies only to Outside Directors who are first elected to the Board of Directors subsequent to the Effective Date.</w:t>
      </w:r>
    </w:p>
    <w:p>
      <w:pPr>
        <w:spacing w:after="0" w:line="18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with a Value of $150,000, which shall vest in full upon the earlier of (i) the first anniversary of the date of grant or (ii) the date of the next Annual Meeting; provided, however, that all vesting shall cease if the director resigns from the Board of Directors or otherwise ceases to serve as a director of the Company, unless the Board of Directors determines that the circumstances warrant continuation of vesting. Such Annual Award shall expire ten years from the date of grant, and shall have a per share exercise price equal to the Fair Market Value (as defined in the Company’s 2021 Stock Option and Incentive Plan) of the Company’s common stock on the date of grant.</w:t>
      </w:r>
    </w:p>
    <w:p>
      <w:pPr>
        <w:spacing w:after="0" w:line="189"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For purposes of this Policy, “Value” means with respect to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w:t>
      </w:r>
    </w:p>
    <w:p>
      <w:pPr>
        <w:spacing w:after="0" w:line="176" w:lineRule="exact"/>
        <w:rPr>
          <w:sz w:val="20"/>
          <w:szCs w:val="20"/>
          <w:color w:val="auto"/>
        </w:rPr>
      </w:pPr>
    </w:p>
    <w:p>
      <w:pPr>
        <w:ind w:left="440" w:right="740"/>
        <w:spacing w:after="0" w:line="282" w:lineRule="auto"/>
        <w:rPr>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All outstanding Initial Awards and Annual Awards held by an Outside Director shall become fully vested and exercisable or nonforfeitable upon a Sale Event (as defined in the Company’s 2021 Stock Option and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left="440" w:right="340"/>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non-employee directors in attending meetings of the Board of Directors or any committee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Annual Compensation</w:t>
      </w:r>
    </w:p>
    <w:p>
      <w:pPr>
        <w:spacing w:after="0" w:line="121" w:lineRule="exact"/>
        <w:rPr>
          <w:sz w:val="20"/>
          <w:szCs w:val="20"/>
          <w:color w:val="auto"/>
        </w:rPr>
      </w:pPr>
    </w:p>
    <w:p>
      <w:pPr>
        <w:ind w:left="440" w:right="180"/>
        <w:spacing w:after="0" w:line="255"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by the Company to any Outside Director in a calendar year for services as an Outside Director period shall not exceed $500,000; provided, however, that such amount shall be $750,000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99" w:name="page800"/>
    <w:bookmarkEnd w:id="7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December 16, 2020.</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70" w:right="1440" w:bottom="1440" w:gutter="0" w:footer="0" w:header="0"/>
        </w:sectPr>
      </w:pPr>
    </w:p>
    <w:bookmarkStart w:id="800" w:name="page801"/>
    <w:bookmarkEnd w:id="8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Oncology,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2020</w:t>
      </w:r>
    </w:p>
    <w:p>
      <w:pPr>
        <w:sectPr>
          <w:pgSz w:w="11900" w:h="16838" w:orient="portrait"/>
          <w:cols w:equalWidth="0" w:num="1">
            <w:col w:w="11020"/>
          </w:cols>
          <w:pgMar w:left="440" w:top="118" w:right="439" w:bottom="1440" w:gutter="0" w:footer="0" w:header="0"/>
        </w:sectPr>
      </w:pPr>
    </w:p>
    <w:bookmarkStart w:id="801" w:name="page802"/>
    <w:bookmarkEnd w:id="801"/>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6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SUBSIDIARIES</w:t>
            </w:r>
          </w:p>
        </w:tc>
      </w:tr>
      <w:tr>
        <w:trPr>
          <w:trHeight w:val="392"/>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26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91"/>
        </w:trPr>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Cullinan Amber Corp.</w:t>
            </w:r>
          </w:p>
        </w:tc>
        <w:tc>
          <w:tcPr>
            <w:tcW w:w="2260" w:type="dxa"/>
            <w:vAlign w:val="bottom"/>
          </w:tcPr>
          <w:p>
            <w:pPr>
              <w:spacing w:after="0"/>
              <w:rPr>
                <w:sz w:val="16"/>
                <w:szCs w:val="16"/>
                <w:color w:val="auto"/>
              </w:rPr>
            </w:pPr>
          </w:p>
        </w:tc>
        <w:tc>
          <w:tcPr>
            <w:tcW w:w="3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Cullinan Mica Corp.</w:t>
            </w:r>
          </w:p>
        </w:tc>
        <w:tc>
          <w:tcPr>
            <w:tcW w:w="226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Cullinan Florentine Corp.</w:t>
            </w:r>
          </w:p>
        </w:tc>
        <w:tc>
          <w:tcPr>
            <w:tcW w:w="226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Cullinan Pearl Corp.</w:t>
            </w:r>
          </w:p>
        </w:tc>
        <w:tc>
          <w:tcPr>
            <w:tcW w:w="226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Cullinan Apollo Corp.</w:t>
            </w:r>
          </w:p>
        </w:tc>
        <w:tc>
          <w:tcPr>
            <w:tcW w:w="226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Cullinan Management, Inc.</w:t>
            </w:r>
          </w:p>
        </w:tc>
        <w:tc>
          <w:tcPr>
            <w:tcW w:w="226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 w:lineRule="exact"/>
        <w:rPr>
          <w:sz w:val="20"/>
          <w:szCs w:val="20"/>
          <w:color w:val="auto"/>
        </w:rPr>
      </w:pPr>
    </w:p>
    <w:sectPr>
      <w:pgSz w:w="11900" w:h="16838" w:orient="portrait"/>
      <w:cols w:equalWidth="0" w:num="1">
        <w:col w:w="10020"/>
      </w:cols>
      <w:pgMar w:left="1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E5CA53"/>
    <w:multiLevelType w:val="hybridMultilevel"/>
    <w:lvl w:ilvl="0">
      <w:lvlJc w:val="left"/>
      <w:lvlText w:val="(%1)"/>
      <w:numFmt w:val="decimal"/>
      <w:start w:val="1"/>
    </w:lvl>
  </w:abstractNum>
  <w:abstractNum w:abstractNumId="1">
    <w:nsid w:val="29262D1A"/>
    <w:multiLevelType w:val="hybridMultilevel"/>
    <w:lvl w:ilvl="0">
      <w:lvlJc w:val="left"/>
      <w:lvlText w:val="(%1)"/>
      <w:numFmt w:val="decimal"/>
      <w:start w:val="1"/>
    </w:lvl>
  </w:abstractNum>
  <w:abstractNum w:abstractNumId="2">
    <w:nsid w:val="557FB7EE"/>
    <w:multiLevelType w:val="hybridMultilevel"/>
    <w:lvl w:ilvl="0">
      <w:lvlJc w:val="left"/>
      <w:lvlText w:val="•"/>
      <w:numFmt w:val="bullet"/>
      <w:start w:val="1"/>
    </w:lvl>
  </w:abstractNum>
  <w:abstractNum w:abstractNumId="3">
    <w:nsid w:val="436F2BEB"/>
    <w:multiLevelType w:val="hybridMultilevel"/>
    <w:lvl w:ilvl="0">
      <w:lvlJc w:val="left"/>
      <w:lvlText w:val="•"/>
      <w:numFmt w:val="bullet"/>
      <w:start w:val="1"/>
    </w:lvl>
  </w:abstractNum>
  <w:abstractNum w:abstractNumId="4">
    <w:nsid w:val="6C8B4466"/>
    <w:multiLevelType w:val="hybridMultilevel"/>
    <w:lvl w:ilvl="0">
      <w:lvlJc w:val="left"/>
      <w:lvlText w:val="•"/>
      <w:numFmt w:val="bullet"/>
      <w:start w:val="1"/>
    </w:lvl>
  </w:abstractNum>
  <w:abstractNum w:abstractNumId="5">
    <w:nsid w:val="2006E424"/>
    <w:multiLevelType w:val="hybridMultilevel"/>
    <w:lvl w:ilvl="0">
      <w:lvlJc w:val="left"/>
      <w:lvlText w:val="•"/>
      <w:numFmt w:val="bullet"/>
      <w:start w:val="1"/>
    </w:lvl>
  </w:abstractNum>
  <w:abstractNum w:abstractNumId="6">
    <w:nsid w:val="20CC134C"/>
    <w:multiLevelType w:val="hybridMultilevel"/>
    <w:lvl w:ilvl="0">
      <w:lvlJc w:val="left"/>
      <w:lvlText w:val="•"/>
      <w:numFmt w:val="bullet"/>
      <w:start w:val="1"/>
    </w:lvl>
  </w:abstractNum>
  <w:abstractNum w:abstractNumId="7">
    <w:nsid w:val="95FC93B"/>
    <w:multiLevelType w:val="hybridMultilevel"/>
    <w:lvl w:ilvl="0">
      <w:lvlJc w:val="left"/>
      <w:lvlText w:val="(%1)"/>
      <w:numFmt w:val="lowerRoman"/>
      <w:start w:val="3"/>
    </w:lvl>
  </w:abstractNum>
  <w:abstractNum w:abstractNumId="8">
    <w:nsid w:val="41D74679"/>
    <w:multiLevelType w:val="hybridMultilevel"/>
    <w:lvl w:ilvl="0">
      <w:lvlJc w:val="left"/>
      <w:lvlText w:val="(%1)"/>
      <w:numFmt w:val="lowerRoman"/>
      <w:start w:val="1"/>
    </w:lvl>
  </w:abstractNum>
  <w:abstractNum w:abstractNumId="9">
    <w:nsid w:val="71E5621E"/>
    <w:multiLevelType w:val="hybridMultilevel"/>
    <w:lvl w:ilvl="0">
      <w:lvlJc w:val="left"/>
      <w:lvlText w:val="(%1)"/>
      <w:numFmt w:val="lowerRoman"/>
      <w:start w:val="2"/>
    </w:lvl>
  </w:abstractNum>
  <w:abstractNum w:abstractNumId="10">
    <w:nsid w:val="4E42B6A8"/>
    <w:multiLevelType w:val="hybridMultilevel"/>
    <w:lvl w:ilvl="0">
      <w:lvlJc w:val="left"/>
      <w:lvlText w:val="•"/>
      <w:numFmt w:val="bullet"/>
      <w:start w:val="1"/>
    </w:lvl>
  </w:abstractNum>
  <w:abstractNum w:abstractNumId="11">
    <w:nsid w:val="43F8E1AC"/>
    <w:multiLevelType w:val="hybridMultilevel"/>
    <w:lvl w:ilvl="0">
      <w:lvlJc w:val="left"/>
      <w:lvlText w:val="•"/>
      <w:numFmt w:val="bullet"/>
      <w:start w:val="1"/>
    </w:lvl>
  </w:abstractNum>
  <w:abstractNum w:abstractNumId="12">
    <w:nsid w:val="69215DFB"/>
    <w:multiLevelType w:val="hybridMultilevel"/>
    <w:lvl w:ilvl="0">
      <w:lvlJc w:val="left"/>
      <w:lvlText w:val="$"/>
      <w:numFmt w:val="bullet"/>
      <w:start w:val="1"/>
    </w:lvl>
  </w:abstractNum>
  <w:abstractNum w:abstractNumId="13">
    <w:nsid w:val="7ABF196A"/>
    <w:multiLevelType w:val="hybridMultilevel"/>
    <w:lvl w:ilvl="0">
      <w:lvlJc w:val="left"/>
      <w:lvlText w:val="•"/>
      <w:numFmt w:val="bullet"/>
      <w:start w:val="1"/>
    </w:lvl>
  </w:abstractNum>
  <w:abstractNum w:abstractNumId="14">
    <w:nsid w:val="5E4DB968"/>
    <w:multiLevelType w:val="hybridMultilevel"/>
    <w:lvl w:ilvl="0">
      <w:lvlJc w:val="left"/>
      <w:lvlText w:val="(%1)"/>
      <w:numFmt w:val="decimal"/>
      <w:start w:val="1"/>
    </w:lvl>
  </w:abstractNum>
  <w:abstractNum w:abstractNumId="15">
    <w:nsid w:val="2C06DCF3"/>
    <w:multiLevelType w:val="hybridMultilevel"/>
    <w:lvl w:ilvl="0">
      <w:lvlJc w:val="left"/>
      <w:lvlText w:val="(%1)"/>
      <w:numFmt w:val="decimal"/>
      <w:start w:val="1"/>
    </w:lvl>
  </w:abstractNum>
  <w:abstractNum w:abstractNumId="16">
    <w:nsid w:val="2E129658"/>
    <w:multiLevelType w:val="hybridMultilevel"/>
    <w:lvl w:ilvl="0">
      <w:lvlJc w:val="left"/>
      <w:lvlText w:val="(%1)"/>
      <w:numFmt w:val="decimal"/>
      <w:start w:val="3"/>
    </w:lvl>
  </w:abstractNum>
  <w:abstractNum w:abstractNumId="17">
    <w:nsid w:val="59F0446"/>
    <w:multiLevelType w:val="hybridMultilevel"/>
    <w:lvl w:ilvl="0">
      <w:lvlJc w:val="left"/>
      <w:lvlText w:val="•"/>
      <w:numFmt w:val="bullet"/>
      <w:start w:val="1"/>
    </w:lvl>
  </w:abstractNum>
  <w:abstractNum w:abstractNumId="18">
    <w:nsid w:val="30DF306"/>
    <w:multiLevelType w:val="hybridMultilevel"/>
    <w:lvl w:ilvl="0">
      <w:lvlJc w:val="left"/>
      <w:lvlText w:val="•"/>
      <w:numFmt w:val="bullet"/>
      <w:start w:val="1"/>
    </w:lvl>
  </w:abstractNum>
  <w:abstractNum w:abstractNumId="19">
    <w:nsid w:val="A65647"/>
    <w:multiLevelType w:val="hybridMultilevel"/>
    <w:lvl w:ilvl="0">
      <w:lvlJc w:val="left"/>
      <w:lvlText w:val="•"/>
      <w:numFmt w:val="bullet"/>
      <w:start w:val="1"/>
    </w:lvl>
  </w:abstractNum>
  <w:abstractNum w:abstractNumId="20">
    <w:nsid w:val="3E5E582B"/>
    <w:multiLevelType w:val="hybridMultilevel"/>
    <w:lvl w:ilvl="0">
      <w:lvlJc w:val="left"/>
      <w:lvlText w:val="•"/>
      <w:numFmt w:val="bullet"/>
      <w:start w:val="1"/>
    </w:lvl>
  </w:abstractNum>
  <w:abstractNum w:abstractNumId="21">
    <w:nsid w:val="257D4626"/>
    <w:multiLevelType w:val="hybridMultilevel"/>
    <w:lvl w:ilvl="0">
      <w:lvlJc w:val="left"/>
      <w:lvlText w:val="•"/>
      <w:numFmt w:val="bullet"/>
      <w:start w:val="1"/>
    </w:lvl>
  </w:abstractNum>
  <w:abstractNum w:abstractNumId="22">
    <w:nsid w:val="5AA8580E"/>
    <w:multiLevelType w:val="hybridMultilevel"/>
    <w:lvl w:ilvl="0">
      <w:lvlJc w:val="left"/>
      <w:lvlText w:val="•"/>
      <w:numFmt w:val="bullet"/>
      <w:start w:val="1"/>
    </w:lvl>
  </w:abstractNum>
  <w:abstractNum w:abstractNumId="23">
    <w:nsid w:val="68FA8D0D"/>
    <w:multiLevelType w:val="hybridMultilevel"/>
    <w:lvl w:ilvl="0">
      <w:lvlJc w:val="left"/>
      <w:lvlText w:val="•"/>
      <w:numFmt w:val="bullet"/>
      <w:start w:val="1"/>
    </w:lvl>
  </w:abstractNum>
  <w:abstractNum w:abstractNumId="24">
    <w:nsid w:val="40F2CBD2"/>
    <w:multiLevelType w:val="hybridMultilevel"/>
    <w:lvl w:ilvl="0">
      <w:lvlJc w:val="left"/>
      <w:lvlText w:val="•"/>
      <w:numFmt w:val="bullet"/>
      <w:start w:val="1"/>
    </w:lvl>
  </w:abstractNum>
  <w:abstractNum w:abstractNumId="25">
    <w:nsid w:val="3BD615EB"/>
    <w:multiLevelType w:val="hybridMultilevel"/>
    <w:lvl w:ilvl="0">
      <w:lvlJc w:val="left"/>
      <w:lvlText w:val="•"/>
      <w:numFmt w:val="bullet"/>
      <w:start w:val="1"/>
    </w:lvl>
  </w:abstractNum>
  <w:abstractNum w:abstractNumId="26">
    <w:nsid w:val="A045AB2"/>
    <w:multiLevelType w:val="hybridMultilevel"/>
    <w:lvl w:ilvl="0">
      <w:lvlJc w:val="left"/>
      <w:lvlText w:val="•"/>
      <w:numFmt w:val="bullet"/>
      <w:start w:val="1"/>
    </w:lvl>
  </w:abstractNum>
  <w:abstractNum w:abstractNumId="27">
    <w:nsid w:val="1872261F"/>
    <w:multiLevelType w:val="hybridMultilevel"/>
    <w:lvl w:ilvl="0">
      <w:lvlJc w:val="left"/>
      <w:lvlText w:val="•"/>
      <w:numFmt w:val="bullet"/>
      <w:start w:val="1"/>
    </w:lvl>
  </w:abstractNum>
  <w:abstractNum w:abstractNumId="28">
    <w:nsid w:val="3DE8306C"/>
    <w:multiLevelType w:val="hybridMultilevel"/>
    <w:lvl w:ilvl="0">
      <w:lvlJc w:val="left"/>
      <w:lvlText w:val="•"/>
      <w:numFmt w:val="bullet"/>
      <w:start w:val="1"/>
    </w:lvl>
  </w:abstractNum>
  <w:abstractNum w:abstractNumId="29">
    <w:nsid w:val="7631573A"/>
    <w:multiLevelType w:val="hybridMultilevel"/>
    <w:lvl w:ilvl="0">
      <w:lvlJc w:val="left"/>
      <w:lvlText w:val="•"/>
      <w:numFmt w:val="bullet"/>
      <w:start w:val="1"/>
    </w:lvl>
  </w:abstractNum>
  <w:abstractNum w:abstractNumId="30">
    <w:nsid w:val="58DF53B"/>
    <w:multiLevelType w:val="hybridMultilevel"/>
    <w:lvl w:ilvl="0">
      <w:lvlJc w:val="left"/>
      <w:lvlText w:val="•"/>
      <w:numFmt w:val="bullet"/>
      <w:start w:val="1"/>
    </w:lvl>
  </w:abstractNum>
  <w:abstractNum w:abstractNumId="31">
    <w:nsid w:val="ACDFAC0"/>
    <w:multiLevelType w:val="hybridMultilevel"/>
    <w:lvl w:ilvl="0">
      <w:lvlJc w:val="left"/>
      <w:lvlText w:val="•"/>
      <w:numFmt w:val="bullet"/>
      <w:start w:val="1"/>
    </w:lvl>
  </w:abstractNum>
  <w:abstractNum w:abstractNumId="32">
    <w:nsid w:val="1F578454"/>
    <w:multiLevelType w:val="hybridMultilevel"/>
    <w:lvl w:ilvl="0">
      <w:lvlJc w:val="left"/>
      <w:lvlText w:val="•"/>
      <w:numFmt w:val="bullet"/>
      <w:start w:val="1"/>
    </w:lvl>
  </w:abstractNum>
  <w:abstractNum w:abstractNumId="33">
    <w:nsid w:val="5B0DAD2A"/>
    <w:multiLevelType w:val="hybridMultilevel"/>
    <w:lvl w:ilvl="0">
      <w:lvlJc w:val="left"/>
      <w:lvlText w:val="(%1)"/>
      <w:numFmt w:val="decimal"/>
      <w:start w:val="3"/>
    </w:lvl>
  </w:abstractNum>
  <w:abstractNum w:abstractNumId="34">
    <w:nsid w:val="4E3D26AB"/>
    <w:multiLevelType w:val="hybridMultilevel"/>
    <w:lvl w:ilvl="0">
      <w:lvlJc w:val="left"/>
      <w:lvlText w:val="•"/>
      <w:numFmt w:val="bullet"/>
      <w:start w:val="1"/>
    </w:lvl>
  </w:abstractNum>
  <w:abstractNum w:abstractNumId="35">
    <w:nsid w:val="BE2C8BA"/>
    <w:multiLevelType w:val="hybridMultilevel"/>
    <w:lvl w:ilvl="0">
      <w:lvlJc w:val="left"/>
      <w:lvlText w:val="•"/>
      <w:numFmt w:val="bullet"/>
      <w:start w:val="1"/>
    </w:lvl>
  </w:abstractNum>
  <w:abstractNum w:abstractNumId="36">
    <w:nsid w:val="7B14914E"/>
    <w:multiLevelType w:val="hybridMultilevel"/>
    <w:lvl w:ilvl="0">
      <w:lvlJc w:val="left"/>
      <w:lvlText w:val="•"/>
      <w:numFmt w:val="bullet"/>
      <w:start w:val="1"/>
    </w:lvl>
  </w:abstractNum>
  <w:abstractNum w:abstractNumId="37">
    <w:nsid w:val="6F0939F8"/>
    <w:multiLevelType w:val="hybridMultilevel"/>
    <w:lvl w:ilvl="0">
      <w:lvlJc w:val="left"/>
      <w:lvlText w:val="•"/>
      <w:numFmt w:val="bullet"/>
      <w:start w:val="1"/>
    </w:lvl>
  </w:abstractNum>
  <w:abstractNum w:abstractNumId="38">
    <w:nsid w:val="154291F6"/>
    <w:multiLevelType w:val="hybridMultilevel"/>
    <w:lvl w:ilvl="0">
      <w:lvlJc w:val="left"/>
      <w:lvlText w:val="•"/>
      <w:numFmt w:val="bullet"/>
      <w:start w:val="1"/>
    </w:lvl>
  </w:abstractNum>
  <w:abstractNum w:abstractNumId="39">
    <w:nsid w:val="3CEBD7C7"/>
    <w:multiLevelType w:val="hybridMultilevel"/>
    <w:lvl w:ilvl="0">
      <w:lvlJc w:val="left"/>
      <w:lvlText w:val="•"/>
      <w:numFmt w:val="bullet"/>
      <w:start w:val="1"/>
    </w:lvl>
  </w:abstractNum>
  <w:abstractNum w:abstractNumId="40">
    <w:nsid w:val="60EE9C16"/>
    <w:multiLevelType w:val="hybridMultilevel"/>
    <w:lvl w:ilvl="0">
      <w:lvlJc w:val="left"/>
      <w:lvlText w:val="•"/>
      <w:numFmt w:val="bullet"/>
      <w:start w:val="1"/>
    </w:lvl>
  </w:abstractNum>
  <w:abstractNum w:abstractNumId="41">
    <w:nsid w:val="6385489E"/>
    <w:multiLevelType w:val="hybridMultilevel"/>
    <w:lvl w:ilvl="0">
      <w:lvlJc w:val="left"/>
      <w:lvlText w:val="•"/>
      <w:numFmt w:val="bullet"/>
      <w:start w:val="1"/>
    </w:lvl>
  </w:abstractNum>
  <w:abstractNum w:abstractNumId="42">
    <w:nsid w:val="E4B973"/>
    <w:multiLevelType w:val="hybridMultilevel"/>
    <w:lvl w:ilvl="0">
      <w:lvlJc w:val="left"/>
      <w:lvlText w:val="•"/>
      <w:numFmt w:val="bullet"/>
      <w:start w:val="1"/>
    </w:lvl>
  </w:abstractNum>
  <w:abstractNum w:abstractNumId="43">
    <w:nsid w:val="4A0FFA11"/>
    <w:multiLevelType w:val="hybridMultilevel"/>
    <w:lvl w:ilvl="0">
      <w:lvlJc w:val="left"/>
      <w:lvlText w:val="•"/>
      <w:numFmt w:val="bullet"/>
      <w:start w:val="1"/>
    </w:lvl>
  </w:abstractNum>
  <w:abstractNum w:abstractNumId="44">
    <w:nsid w:val="5E446208"/>
    <w:multiLevelType w:val="hybridMultilevel"/>
    <w:lvl w:ilvl="0">
      <w:lvlJc w:val="left"/>
      <w:lvlText w:val="•"/>
      <w:numFmt w:val="bullet"/>
      <w:start w:val="1"/>
    </w:lvl>
  </w:abstractNum>
  <w:abstractNum w:abstractNumId="45">
    <w:nsid w:val="5F3272DB"/>
    <w:multiLevelType w:val="hybridMultilevel"/>
    <w:lvl w:ilvl="0">
      <w:lvlJc w:val="left"/>
      <w:lvlText w:val="•"/>
      <w:numFmt w:val="bullet"/>
      <w:start w:val="1"/>
    </w:lvl>
  </w:abstractNum>
  <w:abstractNum w:abstractNumId="46">
    <w:nsid w:val="7616D704"/>
    <w:multiLevelType w:val="hybridMultilevel"/>
    <w:lvl w:ilvl="0">
      <w:lvlJc w:val="left"/>
      <w:lvlText w:val="•"/>
      <w:numFmt w:val="bullet"/>
      <w:start w:val="1"/>
    </w:lvl>
  </w:abstractNum>
  <w:abstractNum w:abstractNumId="47">
    <w:nsid w:val="C56F860"/>
    <w:multiLevelType w:val="hybridMultilevel"/>
    <w:lvl w:ilvl="0">
      <w:lvlJc w:val="left"/>
      <w:lvlText w:val="•"/>
      <w:numFmt w:val="bullet"/>
      <w:start w:val="1"/>
    </w:lvl>
  </w:abstractNum>
  <w:abstractNum w:abstractNumId="48">
    <w:nsid w:val="64D17722"/>
    <w:multiLevelType w:val="hybridMultilevel"/>
    <w:lvl w:ilvl="0">
      <w:lvlJc w:val="left"/>
      <w:lvlText w:val="•"/>
      <w:numFmt w:val="bullet"/>
      <w:start w:val="1"/>
    </w:lvl>
  </w:abstractNum>
  <w:abstractNum w:abstractNumId="49">
    <w:nsid w:val="7924CA0A"/>
    <w:multiLevelType w:val="hybridMultilevel"/>
    <w:lvl w:ilvl="0">
      <w:lvlJc w:val="left"/>
      <w:lvlText w:val="•"/>
      <w:numFmt w:val="bullet"/>
      <w:start w:val="1"/>
    </w:lvl>
  </w:abstractNum>
  <w:abstractNum w:abstractNumId="50">
    <w:nsid w:val="CFD4EA7"/>
    <w:multiLevelType w:val="hybridMultilevel"/>
    <w:lvl w:ilvl="0">
      <w:lvlJc w:val="left"/>
      <w:lvlText w:val="•"/>
      <w:numFmt w:val="bullet"/>
      <w:start w:val="1"/>
    </w:lvl>
  </w:abstractNum>
  <w:abstractNum w:abstractNumId="51">
    <w:nsid w:val="232FCF4D"/>
    <w:multiLevelType w:val="hybridMultilevel"/>
    <w:lvl w:ilvl="0">
      <w:lvlJc w:val="left"/>
      <w:lvlText w:val="•"/>
      <w:numFmt w:val="bullet"/>
      <w:start w:val="1"/>
    </w:lvl>
  </w:abstractNum>
  <w:abstractNum w:abstractNumId="52">
    <w:nsid w:val="1EA21031"/>
    <w:multiLevelType w:val="hybridMultilevel"/>
    <w:lvl w:ilvl="0">
      <w:lvlJc w:val="left"/>
      <w:lvlText w:val="•"/>
      <w:numFmt w:val="bullet"/>
      <w:start w:val="1"/>
    </w:lvl>
  </w:abstractNum>
  <w:abstractNum w:abstractNumId="53">
    <w:nsid w:val="67A5A6B5"/>
    <w:multiLevelType w:val="hybridMultilevel"/>
    <w:lvl w:ilvl="0">
      <w:lvlJc w:val="left"/>
      <w:lvlText w:val="•"/>
      <w:numFmt w:val="bullet"/>
      <w:start w:val="1"/>
    </w:lvl>
  </w:abstractNum>
  <w:abstractNum w:abstractNumId="54">
    <w:nsid w:val="C2A5C5B"/>
    <w:multiLevelType w:val="hybridMultilevel"/>
    <w:lvl w:ilvl="0">
      <w:lvlJc w:val="left"/>
      <w:lvlText w:val="$"/>
      <w:numFmt w:val="bullet"/>
      <w:start w:val="1"/>
    </w:lvl>
  </w:abstractNum>
  <w:abstractNum w:abstractNumId="55">
    <w:nsid w:val="5F94DC03"/>
    <w:multiLevelType w:val="hybridMultilevel"/>
    <w:lvl w:ilvl="0">
      <w:lvlJc w:val="left"/>
      <w:lvlText w:val="•"/>
      <w:numFmt w:val="bullet"/>
      <w:start w:val="1"/>
    </w:lvl>
  </w:abstractNum>
  <w:abstractNum w:abstractNumId="56">
    <w:nsid w:val="237BBCA0"/>
    <w:multiLevelType w:val="hybridMultilevel"/>
    <w:lvl w:ilvl="0">
      <w:lvlJc w:val="left"/>
      <w:lvlText w:val="•"/>
      <w:numFmt w:val="bullet"/>
      <w:start w:val="1"/>
    </w:lvl>
  </w:abstractNum>
  <w:abstractNum w:abstractNumId="57">
    <w:nsid w:val="162EB70D"/>
    <w:multiLevelType w:val="hybridMultilevel"/>
    <w:lvl w:ilvl="0">
      <w:lvlJc w:val="left"/>
      <w:lvlText w:val="•"/>
      <w:numFmt w:val="bullet"/>
      <w:start w:val="1"/>
    </w:lvl>
  </w:abstractNum>
  <w:abstractNum w:abstractNumId="58">
    <w:nsid w:val="78070222"/>
    <w:multiLevelType w:val="hybridMultilevel"/>
    <w:lvl w:ilvl="0">
      <w:lvlJc w:val="left"/>
      <w:lvlText w:val="•"/>
      <w:numFmt w:val="bullet"/>
      <w:start w:val="1"/>
    </w:lvl>
  </w:abstractNum>
  <w:abstractNum w:abstractNumId="59">
    <w:nsid w:val="6163ED0D"/>
    <w:multiLevelType w:val="hybridMultilevel"/>
    <w:lvl w:ilvl="0">
      <w:lvlJc w:val="left"/>
      <w:lvlText w:val="•"/>
      <w:numFmt w:val="bullet"/>
      <w:start w:val="1"/>
    </w:lvl>
  </w:abstractNum>
  <w:abstractNum w:abstractNumId="60">
    <w:nsid w:val="C600E47"/>
    <w:multiLevelType w:val="hybridMultilevel"/>
    <w:lvl w:ilvl="0">
      <w:lvlJc w:val="left"/>
      <w:lvlText w:val="•"/>
      <w:numFmt w:val="bullet"/>
      <w:start w:val="1"/>
    </w:lvl>
  </w:abstractNum>
  <w:abstractNum w:abstractNumId="61">
    <w:nsid w:val="7D94F75D"/>
    <w:multiLevelType w:val="hybridMultilevel"/>
    <w:lvl w:ilvl="0">
      <w:lvlJc w:val="left"/>
      <w:lvlText w:val="•"/>
      <w:numFmt w:val="bullet"/>
      <w:start w:val="1"/>
    </w:lvl>
  </w:abstractNum>
  <w:abstractNum w:abstractNumId="62">
    <w:nsid w:val="6C31E7CD"/>
    <w:multiLevelType w:val="hybridMultilevel"/>
    <w:lvl w:ilvl="0">
      <w:lvlJc w:val="left"/>
      <w:lvlText w:val="•"/>
      <w:numFmt w:val="bullet"/>
      <w:start w:val="1"/>
    </w:lvl>
    <w:lvl w:ilvl="1">
      <w:lvlJc w:val="left"/>
      <w:lvlText w:val="•"/>
      <w:numFmt w:val="bullet"/>
      <w:start w:val="1"/>
    </w:lvl>
  </w:abstractNum>
  <w:abstractNum w:abstractNumId="63">
    <w:nsid w:val="2BB7929B"/>
    <w:multiLevelType w:val="hybridMultilevel"/>
    <w:lvl w:ilvl="0">
      <w:lvlJc w:val="left"/>
      <w:lvlText w:val="•"/>
      <w:numFmt w:val="bullet"/>
      <w:start w:val="1"/>
    </w:lvl>
  </w:abstractNum>
  <w:abstractNum w:abstractNumId="64">
    <w:nsid w:val="58A2A487"/>
    <w:multiLevelType w:val="hybridMultilevel"/>
    <w:lvl w:ilvl="0">
      <w:lvlJc w:val="left"/>
      <w:lvlText w:val="$"/>
      <w:numFmt w:val="bullet"/>
      <w:start w:val="1"/>
    </w:lvl>
  </w:abstractNum>
  <w:abstractNum w:abstractNumId="65">
    <w:nsid w:val="3A6F0E78"/>
    <w:multiLevelType w:val="hybridMultilevel"/>
    <w:lvl w:ilvl="0">
      <w:lvlJc w:val="left"/>
      <w:lvlText w:val="•"/>
      <w:numFmt w:val="bullet"/>
      <w:start w:val="1"/>
    </w:lvl>
  </w:abstractNum>
  <w:abstractNum w:abstractNumId="66">
    <w:nsid w:val="379A5B56"/>
    <w:multiLevelType w:val="hybridMultilevel"/>
    <w:lvl w:ilvl="0">
      <w:lvlJc w:val="left"/>
      <w:lvlText w:val="(%1)"/>
      <w:numFmt w:val="decimal"/>
      <w:start w:val="1"/>
    </w:lvl>
  </w:abstractNum>
  <w:abstractNum w:abstractNumId="67">
    <w:nsid w:val="53B735D5"/>
    <w:multiLevelType w:val="hybridMultilevel"/>
    <w:lvl w:ilvl="0">
      <w:lvlJc w:val="left"/>
      <w:lvlText w:val="(%1)"/>
      <w:numFmt w:val="decimal"/>
      <w:start w:val="1"/>
    </w:lvl>
  </w:abstractNum>
  <w:abstractNum w:abstractNumId="68">
    <w:nsid w:val="29784870"/>
    <w:multiLevelType w:val="hybridMultilevel"/>
    <w:lvl w:ilvl="0">
      <w:lvlJc w:val="left"/>
      <w:lvlText w:val="(%1)"/>
      <w:numFmt w:val="decimal"/>
      <w:start w:val="1"/>
    </w:lvl>
  </w:abstractNum>
  <w:abstractNum w:abstractNumId="69">
    <w:nsid w:val="4CDCED4C"/>
    <w:multiLevelType w:val="hybridMultilevel"/>
    <w:lvl w:ilvl="0">
      <w:lvlJc w:val="left"/>
      <w:lvlText w:val="•"/>
      <w:numFmt w:val="bullet"/>
      <w:start w:val="1"/>
    </w:lvl>
  </w:abstractNum>
  <w:abstractNum w:abstractNumId="70">
    <w:nsid w:val="10A30D9C"/>
    <w:multiLevelType w:val="hybridMultilevel"/>
    <w:lvl w:ilvl="0">
      <w:lvlJc w:val="left"/>
      <w:lvlText w:val="•"/>
      <w:numFmt w:val="bullet"/>
      <w:start w:val="1"/>
    </w:lvl>
  </w:abstractNum>
  <w:abstractNum w:abstractNumId="71">
    <w:nsid w:val="A66E486"/>
    <w:multiLevelType w:val="hybridMultilevel"/>
    <w:lvl w:ilvl="0">
      <w:lvlJc w:val="left"/>
      <w:lvlText w:val="•"/>
      <w:numFmt w:val="bullet"/>
      <w:start w:val="1"/>
    </w:lvl>
  </w:abstractNum>
  <w:abstractNum w:abstractNumId="72">
    <w:nsid w:val="306235EA"/>
    <w:multiLevelType w:val="hybridMultilevel"/>
    <w:lvl w:ilvl="0">
      <w:lvlJc w:val="left"/>
      <w:lvlText w:val="•"/>
      <w:numFmt w:val="bullet"/>
      <w:start w:val="1"/>
    </w:lvl>
  </w:abstractNum>
  <w:abstractNum w:abstractNumId="73">
    <w:nsid w:val="1187C70F"/>
    <w:multiLevelType w:val="hybridMultilevel"/>
    <w:lvl w:ilvl="0">
      <w:lvlJc w:val="left"/>
      <w:lvlText w:val="•"/>
      <w:numFmt w:val="bullet"/>
      <w:start w:val="1"/>
    </w:lvl>
  </w:abstractNum>
  <w:abstractNum w:abstractNumId="74">
    <w:nsid w:val="5476DE98"/>
    <w:multiLevelType w:val="hybridMultilevel"/>
    <w:lvl w:ilvl="0">
      <w:lvlJc w:val="left"/>
      <w:lvlText w:val="•"/>
      <w:numFmt w:val="bullet"/>
      <w:start w:val="1"/>
    </w:lvl>
  </w:abstractNum>
  <w:abstractNum w:abstractNumId="75">
    <w:nsid w:val="EA697F2"/>
    <w:multiLevelType w:val="hybridMultilevel"/>
    <w:lvl w:ilvl="0">
      <w:lvlJc w:val="left"/>
      <w:lvlText w:val="•"/>
      <w:numFmt w:val="bullet"/>
      <w:start w:val="1"/>
    </w:lvl>
  </w:abstractNum>
  <w:abstractNum w:abstractNumId="76">
    <w:nsid w:val="70BA39EB"/>
    <w:multiLevelType w:val="hybridMultilevel"/>
    <w:lvl w:ilvl="0">
      <w:lvlJc w:val="left"/>
      <w:lvlText w:val="•"/>
      <w:numFmt w:val="bullet"/>
      <w:start w:val="1"/>
    </w:lvl>
  </w:abstractNum>
  <w:abstractNum w:abstractNumId="77">
    <w:nsid w:val="4A8DB59C"/>
    <w:multiLevelType w:val="hybridMultilevel"/>
    <w:lvl w:ilvl="0">
      <w:lvlJc w:val="left"/>
      <w:lvlText w:val="•"/>
      <w:numFmt w:val="bullet"/>
      <w:start w:val="1"/>
    </w:lvl>
  </w:abstractNum>
  <w:abstractNum w:abstractNumId="78">
    <w:nsid w:val="1AFD9053"/>
    <w:multiLevelType w:val="hybridMultilevel"/>
    <w:lvl w:ilvl="0">
      <w:lvlJc w:val="left"/>
      <w:lvlText w:val="•"/>
      <w:numFmt w:val="bullet"/>
      <w:start w:val="1"/>
    </w:lvl>
  </w:abstractNum>
  <w:abstractNum w:abstractNumId="79">
    <w:nsid w:val="558BB10D"/>
    <w:multiLevelType w:val="hybridMultilevel"/>
    <w:lvl w:ilvl="0">
      <w:lvlJc w:val="left"/>
      <w:lvlText w:val="•"/>
      <w:numFmt w:val="bullet"/>
      <w:start w:val="1"/>
    </w:lvl>
  </w:abstractNum>
  <w:abstractNum w:abstractNumId="80">
    <w:nsid w:val="43B27FA7"/>
    <w:multiLevelType w:val="hybridMultilevel"/>
    <w:lvl w:ilvl="0">
      <w:lvlJc w:val="left"/>
      <w:lvlText w:val="•"/>
      <w:numFmt w:val="bullet"/>
      <w:start w:val="1"/>
    </w:lvl>
  </w:abstractNum>
  <w:abstractNum w:abstractNumId="81">
    <w:nsid w:val="27FADEFA"/>
    <w:multiLevelType w:val="hybridMultilevel"/>
    <w:lvl w:ilvl="0">
      <w:lvlJc w:val="left"/>
      <w:lvlText w:val="•"/>
      <w:numFmt w:val="bullet"/>
      <w:start w:val="1"/>
    </w:lvl>
  </w:abstractNum>
  <w:abstractNum w:abstractNumId="82">
    <w:nsid w:val="78BB805A"/>
    <w:multiLevelType w:val="hybridMultilevel"/>
    <w:lvl w:ilvl="0">
      <w:lvlJc w:val="left"/>
      <w:lvlText w:val="•"/>
      <w:numFmt w:val="bullet"/>
      <w:start w:val="1"/>
    </w:lvl>
  </w:abstractNum>
  <w:abstractNum w:abstractNumId="83">
    <w:nsid w:val="62548FD8"/>
    <w:multiLevelType w:val="hybridMultilevel"/>
    <w:lvl w:ilvl="0">
      <w:lvlJc w:val="left"/>
      <w:lvlText w:val="•"/>
      <w:numFmt w:val="bullet"/>
      <w:start w:val="1"/>
    </w:lvl>
  </w:abstractNum>
  <w:abstractNum w:abstractNumId="84">
    <w:nsid w:val="FA085B0"/>
    <w:multiLevelType w:val="hybridMultilevel"/>
    <w:lvl w:ilvl="0">
      <w:lvlJc w:val="left"/>
      <w:lvlText w:val="(%1)"/>
      <w:numFmt w:val="lowerLetter"/>
      <w:start w:val="1"/>
    </w:lvl>
  </w:abstractNum>
  <w:abstractNum w:abstractNumId="85">
    <w:nsid w:val="4E5DCB5"/>
    <w:multiLevelType w:val="hybridMultilevel"/>
    <w:lvl w:ilvl="0">
      <w:lvlJc w:val="left"/>
      <w:lvlText w:val="•"/>
      <w:numFmt w:val="bullet"/>
      <w:start w:val="1"/>
    </w:lvl>
  </w:abstractNum>
  <w:abstractNum w:abstractNumId="86">
    <w:nsid w:val="41E96BDB"/>
    <w:multiLevelType w:val="hybridMultilevel"/>
    <w:lvl w:ilvl="0">
      <w:lvlJc w:val="left"/>
      <w:lvlText w:val="•"/>
      <w:numFmt w:val="bullet"/>
      <w:start w:val="1"/>
    </w:lvl>
  </w:abstractNum>
  <w:abstractNum w:abstractNumId="87">
    <w:nsid w:val="331C4250"/>
    <w:multiLevelType w:val="hybridMultilevel"/>
    <w:lvl w:ilvl="0">
      <w:lvlJc w:val="left"/>
      <w:lvlText w:val="•"/>
      <w:numFmt w:val="bullet"/>
      <w:start w:val="1"/>
    </w:lvl>
  </w:abstractNum>
  <w:abstractNum w:abstractNumId="88">
    <w:nsid w:val="1B1493C2"/>
    <w:multiLevelType w:val="hybridMultilevel"/>
    <w:lvl w:ilvl="0">
      <w:lvlJc w:val="left"/>
      <w:lvlText w:val="•"/>
      <w:numFmt w:val="bullet"/>
      <w:start w:val="1"/>
    </w:lvl>
  </w:abstractNum>
  <w:abstractNum w:abstractNumId="89">
    <w:nsid w:val="39F06DFD"/>
    <w:multiLevelType w:val="hybridMultilevel"/>
    <w:lvl w:ilvl="0">
      <w:lvlJc w:val="left"/>
      <w:lvlText w:val="•"/>
      <w:numFmt w:val="bullet"/>
      <w:start w:val="1"/>
    </w:lvl>
  </w:abstractNum>
  <w:abstractNum w:abstractNumId="90">
    <w:nsid w:val="14802F5D"/>
    <w:multiLevelType w:val="hybridMultilevel"/>
    <w:lvl w:ilvl="0">
      <w:lvlJc w:val="left"/>
      <w:lvlText w:val="•"/>
      <w:numFmt w:val="bullet"/>
      <w:start w:val="1"/>
    </w:lvl>
  </w:abstractNum>
  <w:abstractNum w:abstractNumId="91">
    <w:nsid w:val="2774A209"/>
    <w:multiLevelType w:val="hybridMultilevel"/>
    <w:lvl w:ilvl="0">
      <w:lvlJc w:val="left"/>
      <w:lvlText w:val="•"/>
      <w:numFmt w:val="bullet"/>
      <w:start w:val="1"/>
    </w:lvl>
  </w:abstractNum>
  <w:abstractNum w:abstractNumId="92">
    <w:nsid w:val="3785655A"/>
    <w:multiLevelType w:val="hybridMultilevel"/>
    <w:lvl w:ilvl="0">
      <w:lvlJc w:val="left"/>
      <w:lvlText w:val="•"/>
      <w:numFmt w:val="bullet"/>
      <w:start w:val="1"/>
    </w:lvl>
  </w:abstractNum>
  <w:abstractNum w:abstractNumId="93">
    <w:nsid w:val="B2172A"/>
    <w:multiLevelType w:val="hybridMultilevel"/>
    <w:lvl w:ilvl="0">
      <w:lvlJc w:val="left"/>
      <w:lvlText w:val="•"/>
      <w:numFmt w:val="bullet"/>
      <w:start w:val="1"/>
    </w:lvl>
  </w:abstractNum>
  <w:abstractNum w:abstractNumId="94">
    <w:nsid w:val="532C34A5"/>
    <w:multiLevelType w:val="hybridMultilevel"/>
    <w:lvl w:ilvl="0">
      <w:lvlJc w:val="left"/>
      <w:lvlText w:val="(%1)"/>
      <w:numFmt w:val="lowerRoman"/>
      <w:start w:val="1"/>
    </w:lvl>
  </w:abstractNum>
  <w:abstractNum w:abstractNumId="95">
    <w:nsid w:val="102809E2"/>
    <w:multiLevelType w:val="hybridMultilevel"/>
    <w:lvl w:ilvl="0">
      <w:lvlJc w:val="left"/>
      <w:lvlText w:val="•"/>
      <w:numFmt w:val="bullet"/>
      <w:start w:val="1"/>
    </w:lvl>
  </w:abstractNum>
  <w:abstractNum w:abstractNumId="96">
    <w:nsid w:val="3B2125A3"/>
    <w:multiLevelType w:val="hybridMultilevel"/>
    <w:lvl w:ilvl="0">
      <w:lvlJc w:val="left"/>
      <w:lvlText w:val="(%1)"/>
      <w:numFmt w:val="decimal"/>
      <w:start w:val="1"/>
    </w:lvl>
  </w:abstractNum>
  <w:abstractNum w:abstractNumId="97">
    <w:nsid w:val="AC68FFB"/>
    <w:multiLevelType w:val="hybridMultilevel"/>
    <w:lvl w:ilvl="0">
      <w:lvlJc w:val="left"/>
      <w:lvlText w:val="•"/>
      <w:numFmt w:val="bullet"/>
      <w:start w:val="1"/>
    </w:lvl>
  </w:abstractNum>
  <w:abstractNum w:abstractNumId="98">
    <w:nsid w:val="63DF3FB7"/>
    <w:multiLevelType w:val="hybridMultilevel"/>
    <w:lvl w:ilvl="0">
      <w:lvlJc w:val="left"/>
      <w:lvlText w:val="•"/>
      <w:numFmt w:val="bullet"/>
      <w:start w:val="1"/>
    </w:lvl>
  </w:abstractNum>
  <w:abstractNum w:abstractNumId="99">
    <w:nsid w:val="64996E13"/>
    <w:multiLevelType w:val="hybridMultilevel"/>
    <w:lvl w:ilvl="0">
      <w:lvlJc w:val="left"/>
      <w:lvlText w:val="•"/>
      <w:numFmt w:val="bullet"/>
      <w:start w:val="1"/>
    </w:lvl>
  </w:abstractNum>
  <w:abstractNum w:abstractNumId="100">
    <w:nsid w:val="57A37D47"/>
    <w:multiLevelType w:val="hybridMultilevel"/>
    <w:lvl w:ilvl="0">
      <w:lvlJc w:val="left"/>
      <w:lvlText w:val="•"/>
      <w:numFmt w:val="bullet"/>
      <w:start w:val="1"/>
    </w:lvl>
  </w:abstractNum>
  <w:abstractNum w:abstractNumId="101">
    <w:nsid w:val="74824D54"/>
    <w:multiLevelType w:val="hybridMultilevel"/>
    <w:lvl w:ilvl="0">
      <w:lvlJc w:val="left"/>
      <w:lvlText w:val="•"/>
      <w:numFmt w:val="bullet"/>
      <w:start w:val="1"/>
    </w:lvl>
  </w:abstractNum>
  <w:abstractNum w:abstractNumId="102">
    <w:nsid w:val="6F00529A"/>
    <w:multiLevelType w:val="hybridMultilevel"/>
    <w:lvl w:ilvl="0">
      <w:lvlJc w:val="left"/>
      <w:lvlText w:val="•"/>
      <w:numFmt w:val="bullet"/>
      <w:start w:val="1"/>
    </w:lvl>
  </w:abstractNum>
  <w:abstractNum w:abstractNumId="103">
    <w:nsid w:val="805B331"/>
    <w:multiLevelType w:val="hybridMultilevel"/>
    <w:lvl w:ilvl="0">
      <w:lvlJc w:val="left"/>
      <w:lvlText w:val="•"/>
      <w:numFmt w:val="bullet"/>
      <w:start w:val="1"/>
    </w:lvl>
  </w:abstractNum>
  <w:abstractNum w:abstractNumId="104">
    <w:nsid w:val="60A1463"/>
    <w:multiLevelType w:val="hybridMultilevel"/>
    <w:lvl w:ilvl="0">
      <w:lvlJc w:val="left"/>
      <w:lvlText w:val="•"/>
      <w:numFmt w:val="bullet"/>
      <w:start w:val="1"/>
    </w:lvl>
  </w:abstractNum>
  <w:abstractNum w:abstractNumId="105">
    <w:nsid w:val="43773132"/>
    <w:multiLevelType w:val="hybridMultilevel"/>
    <w:lvl w:ilvl="0">
      <w:lvlJc w:val="left"/>
      <w:lvlText w:val="(%1)"/>
      <w:numFmt w:val="decimal"/>
      <w:start w:val="1"/>
    </w:lvl>
  </w:abstractNum>
  <w:abstractNum w:abstractNumId="106">
    <w:nsid w:val="16AC4B23"/>
    <w:multiLevelType w:val="hybridMultilevel"/>
    <w:lvl w:ilvl="0">
      <w:lvlJc w:val="left"/>
      <w:lvlText w:val="(%1)"/>
      <w:numFmt w:val="decimal"/>
      <w:start w:val="1"/>
    </w:lvl>
  </w:abstractNum>
  <w:abstractNum w:abstractNumId="107">
    <w:nsid w:val="76C44E4E"/>
    <w:multiLevelType w:val="hybridMultilevel"/>
    <w:lvl w:ilvl="0">
      <w:lvlJc w:val="left"/>
      <w:lvlText w:val="(%1)"/>
      <w:numFmt w:val="decimal"/>
      <w:start w:val="2"/>
    </w:lvl>
  </w:abstractNum>
  <w:abstractNum w:abstractNumId="108">
    <w:nsid w:val="E04E6CE"/>
    <w:multiLevelType w:val="hybridMultilevel"/>
    <w:lvl w:ilvl="0">
      <w:lvlJc w:val="left"/>
      <w:lvlText w:val="(%1)"/>
      <w:numFmt w:val="decimal"/>
      <w:start w:val="1"/>
    </w:lvl>
  </w:abstractNum>
  <w:abstractNum w:abstractNumId="109">
    <w:nsid w:val="31A9DB76"/>
    <w:multiLevelType w:val="hybridMultilevel"/>
    <w:lvl w:ilvl="0">
      <w:lvlJc w:val="left"/>
      <w:lvlText w:val="•"/>
      <w:numFmt w:val="bullet"/>
      <w:start w:val="1"/>
    </w:lvl>
  </w:abstractNum>
  <w:abstractNum w:abstractNumId="110">
    <w:nsid w:val="4C4FFF5B"/>
    <w:multiLevelType w:val="hybridMultilevel"/>
    <w:lvl w:ilvl="0">
      <w:lvlJc w:val="left"/>
      <w:lvlText w:val="(%1)"/>
      <w:numFmt w:val="decimal"/>
      <w:start w:val="1"/>
    </w:lvl>
  </w:abstractNum>
  <w:abstractNum w:abstractNumId="111">
    <w:nsid w:val="51B76675"/>
    <w:multiLevelType w:val="hybridMultilevel"/>
    <w:lvl w:ilvl="0">
      <w:lvlJc w:val="left"/>
      <w:lvlText w:val="(%1)"/>
      <w:numFmt w:val="decimal"/>
      <w:start w:val="1"/>
    </w:lvl>
  </w:abstractNum>
  <w:abstractNum w:abstractNumId="112">
    <w:nsid w:val="59A4BA71"/>
    <w:multiLevelType w:val="hybridMultilevel"/>
    <w:lvl w:ilvl="0">
      <w:lvlJc w:val="left"/>
      <w:lvlText w:val="(%1)"/>
      <w:numFmt w:val="decimal"/>
      <w:start w:val="1"/>
    </w:lvl>
  </w:abstractNum>
  <w:abstractNum w:abstractNumId="113">
    <w:nsid w:val="450B7FB6"/>
    <w:multiLevelType w:val="hybridMultilevel"/>
    <w:lvl w:ilvl="0">
      <w:lvlJc w:val="left"/>
      <w:lvlText w:val="•"/>
      <w:numFmt w:val="bullet"/>
      <w:start w:val="1"/>
    </w:lvl>
  </w:abstractNum>
  <w:abstractNum w:abstractNumId="114">
    <w:nsid w:val="340BF64D"/>
    <w:multiLevelType w:val="hybridMultilevel"/>
    <w:lvl w:ilvl="0">
      <w:lvlJc w:val="left"/>
      <w:lvlText w:val="*"/>
      <w:numFmt w:val="bullet"/>
      <w:start w:val="1"/>
    </w:lvl>
  </w:abstractNum>
  <w:abstractNum w:abstractNumId="115">
    <w:nsid w:val="69454021"/>
    <w:multiLevelType w:val="hybridMultilevel"/>
    <w:lvl w:ilvl="0">
      <w:lvlJc w:val="left"/>
      <w:lvlText w:val="(%1)"/>
      <w:numFmt w:val="decimal"/>
      <w:start w:val="2"/>
    </w:lvl>
  </w:abstractNum>
  <w:abstractNum w:abstractNumId="116">
    <w:nsid w:val="49F15C6B"/>
    <w:multiLevelType w:val="hybridMultilevel"/>
    <w:lvl w:ilvl="0">
      <w:lvlJc w:val="left"/>
      <w:lvlText w:val="•"/>
      <w:numFmt w:val="bullet"/>
      <w:start w:val="1"/>
    </w:lvl>
  </w:abstractNum>
  <w:abstractNum w:abstractNumId="117">
    <w:nsid w:val="75F56228"/>
    <w:multiLevelType w:val="hybridMultilevel"/>
    <w:lvl w:ilvl="0">
      <w:lvlJc w:val="left"/>
      <w:lvlText w:val="•"/>
      <w:numFmt w:val="bullet"/>
      <w:start w:val="1"/>
    </w:lvl>
  </w:abstractNum>
  <w:abstractNum w:abstractNumId="118">
    <w:nsid w:val="1C618271"/>
    <w:multiLevelType w:val="hybridMultilevel"/>
    <w:lvl w:ilvl="0">
      <w:lvlJc w:val="left"/>
      <w:lvlText w:val="•"/>
      <w:numFmt w:val="bullet"/>
      <w:start w:val="1"/>
    </w:lvl>
  </w:abstractNum>
  <w:abstractNum w:abstractNumId="119">
    <w:nsid w:val="6505F02E"/>
    <w:multiLevelType w:val="hybridMultilevel"/>
    <w:lvl w:ilvl="0">
      <w:lvlJc w:val="left"/>
      <w:lvlText w:val="•"/>
      <w:numFmt w:val="bullet"/>
      <w:start w:val="1"/>
    </w:lvl>
  </w:abstractNum>
  <w:abstractNum w:abstractNumId="120">
    <w:nsid w:val="2FE5D025"/>
    <w:multiLevelType w:val="hybridMultilevel"/>
    <w:lvl w:ilvl="0">
      <w:lvlJc w:val="left"/>
      <w:lvlText w:val="•"/>
      <w:numFmt w:val="bullet"/>
      <w:start w:val="1"/>
    </w:lvl>
  </w:abstractNum>
  <w:abstractNum w:abstractNumId="121">
    <w:nsid w:val="30E1B1CF"/>
    <w:multiLevelType w:val="hybridMultilevel"/>
    <w:lvl w:ilvl="0">
      <w:lvlJc w:val="left"/>
      <w:lvlText w:val="•"/>
      <w:numFmt w:val="bullet"/>
      <w:start w:val="1"/>
    </w:lvl>
  </w:abstractNum>
  <w:abstractNum w:abstractNumId="122">
    <w:nsid w:val="C7A9237"/>
    <w:multiLevelType w:val="hybridMultilevel"/>
    <w:lvl w:ilvl="0">
      <w:lvlJc w:val="left"/>
      <w:lvlText w:val="•"/>
      <w:numFmt w:val="bullet"/>
      <w:start w:val="1"/>
    </w:lvl>
  </w:abstractNum>
  <w:abstractNum w:abstractNumId="123">
    <w:nsid w:val="676B3580"/>
    <w:multiLevelType w:val="hybridMultilevel"/>
    <w:lvl w:ilvl="0">
      <w:lvlJc w:val="left"/>
      <w:lvlText w:val="•"/>
      <w:numFmt w:val="bullet"/>
      <w:start w:val="1"/>
    </w:lvl>
  </w:abstractNum>
  <w:abstractNum w:abstractNumId="124">
    <w:nsid w:val="3193C8F9"/>
    <w:multiLevelType w:val="hybridMultilevel"/>
    <w:lvl w:ilvl="0">
      <w:lvlJc w:val="left"/>
      <w:lvlText w:val="(%1)"/>
      <w:numFmt w:val="decimal"/>
      <w:start w:val="1"/>
    </w:lvl>
  </w:abstractNum>
  <w:abstractNum w:abstractNumId="125">
    <w:nsid w:val="5FA6C6DC"/>
    <w:multiLevelType w:val="hybridMultilevel"/>
    <w:lvl w:ilvl="0">
      <w:lvlJc w:val="left"/>
      <w:lvlText w:val="(%1)"/>
      <w:numFmt w:val="lowerLetter"/>
      <w:start w:val="1"/>
    </w:lvl>
  </w:abstractNum>
  <w:abstractNum w:abstractNumId="126">
    <w:nsid w:val="77933F62"/>
    <w:multiLevelType w:val="hybridMultilevel"/>
    <w:lvl w:ilvl="0">
      <w:lvlJc w:val="left"/>
      <w:lvlText w:val="(%1)"/>
      <w:numFmt w:val="lowerLetter"/>
      <w:start w:val="5"/>
    </w:lvl>
  </w:abstractNum>
  <w:abstractNum w:abstractNumId="127">
    <w:nsid w:val="6CB4EE9C"/>
    <w:multiLevelType w:val="hybridMultilevel"/>
    <w:lvl w:ilvl="0">
      <w:lvlJc w:val="left"/>
      <w:lvlText w:val="(%1)"/>
      <w:numFmt w:val="lowerRoman"/>
      <w:start w:val="2"/>
    </w:lvl>
  </w:abstractNum>
  <w:abstractNum w:abstractNumId="128">
    <w:nsid w:val="6A6D56D7"/>
    <w:multiLevelType w:val="hybridMultilevel"/>
    <w:lvl w:ilvl="0">
      <w:lvlJc w:val="left"/>
      <w:lvlText w:val="(%1)"/>
      <w:numFmt w:val="lowerLetter"/>
      <w:start w:val="1"/>
    </w:lvl>
  </w:abstractNum>
  <w:abstractNum w:abstractNumId="129">
    <w:nsid w:val="5B727F19"/>
    <w:multiLevelType w:val="hybridMultilevel"/>
    <w:lvl w:ilvl="0">
      <w:lvlJc w:val="left"/>
      <w:lvlText w:val="(%1)"/>
      <w:numFmt w:val="lowerLetter"/>
      <w:start w:val="3"/>
    </w:lvl>
  </w:abstractNum>
  <w:abstractNum w:abstractNumId="130">
    <w:nsid w:val="514E5CB0"/>
    <w:multiLevelType w:val="hybridMultilevel"/>
    <w:lvl w:ilvl="0">
      <w:lvlJc w:val="left"/>
      <w:lvlText w:val="(%1)"/>
      <w:numFmt w:val="lowerLetter"/>
      <w:start w:val="1"/>
    </w:lvl>
    <w:lvl w:ilvl="1">
      <w:lvlJc w:val="left"/>
      <w:lvlText w:val="(%2)"/>
      <w:numFmt w:val="lowerRoman"/>
      <w:start w:val="1"/>
    </w:lvl>
  </w:abstractNum>
  <w:abstractNum w:abstractNumId="131">
    <w:nsid w:val="4210D41E"/>
    <w:multiLevelType w:val="hybridMultilevel"/>
    <w:lvl w:ilvl="0">
      <w:lvlJc w:val="left"/>
      <w:lvlText w:val="(%1)"/>
      <w:numFmt w:val="lowerLetter"/>
      <w:start w:val="1"/>
    </w:lvl>
  </w:abstractNum>
  <w:abstractNum w:abstractNumId="132">
    <w:nsid w:val="4FF4CC6D"/>
    <w:multiLevelType w:val="hybridMultilevel"/>
    <w:lvl w:ilvl="0">
      <w:lvlJc w:val="left"/>
      <w:lvlText w:val="%1)"/>
      <w:numFmt w:val="decimal"/>
      <w:start w:val="1"/>
    </w:lvl>
  </w:abstractNum>
  <w:abstractNum w:abstractNumId="133">
    <w:nsid w:val="404EAF4A"/>
    <w:multiLevelType w:val="hybridMultilevel"/>
    <w:lvl w:ilvl="0">
      <w:lvlJc w:val="left"/>
      <w:lvlText w:val="(%1)"/>
      <w:numFmt w:val="decimal"/>
      <w:start w:val="5"/>
    </w:lvl>
  </w:abstractNum>
  <w:abstractNum w:abstractNumId="134">
    <w:nsid w:val="4A16874F"/>
    <w:multiLevelType w:val="hybridMultilevel"/>
    <w:lvl w:ilvl="0">
      <w:lvlJc w:val="left"/>
      <w:lvlText w:val="•"/>
      <w:numFmt w:val="bullet"/>
      <w:start w:val="1"/>
    </w:lvl>
  </w:abstractNum>
  <w:abstractNum w:abstractNumId="135">
    <w:nsid w:val="55FEE0D1"/>
    <w:multiLevelType w:val="hybridMultilevel"/>
    <w:lvl w:ilvl="0">
      <w:lvlJc w:val="left"/>
      <w:lvlText w:val="•"/>
      <w:numFmt w:val="bullet"/>
      <w:start w:val="1"/>
    </w:lvl>
  </w:abstractNum>
  <w:abstractNum w:abstractNumId="136">
    <w:nsid w:val="3C5E07C"/>
    <w:multiLevelType w:val="hybridMultilevel"/>
    <w:lvl w:ilvl="0">
      <w:lvlJc w:val="left"/>
      <w:lvlText w:val="•"/>
      <w:numFmt w:val="bullet"/>
      <w:start w:val="1"/>
    </w:lvl>
  </w:abstractNum>
  <w:abstractNum w:abstractNumId="137">
    <w:nsid w:val="60C2D273"/>
    <w:multiLevelType w:val="hybridMultilevel"/>
    <w:lvl w:ilvl="0">
      <w:lvlJc w:val="left"/>
      <w:lvlText w:val="%1"/>
      <w:numFmt w:val="decimal"/>
      <w:start w:val="24"/>
    </w:lvl>
  </w:abstractNum>
  <w:abstractNum w:abstractNumId="138">
    <w:nsid w:val="4CC32F1F"/>
    <w:multiLevelType w:val="hybridMultilevel"/>
    <w:lvl w:ilvl="0">
      <w:lvlJc w:val="left"/>
      <w:lvlText w:val="*"/>
      <w:numFmt w:val="bullet"/>
      <w:start w:val="1"/>
    </w:lvl>
  </w:abstractNum>
  <w:abstractNum w:abstractNumId="139">
    <w:nsid w:val="11CAC74A"/>
    <w:multiLevelType w:val="hybridMultilevel"/>
    <w:lvl w:ilvl="0">
      <w:lvlJc w:val="left"/>
      <w:lvlText w:val="#"/>
      <w:numFmt w:val="bullet"/>
      <w:start w:val="1"/>
    </w:lvl>
  </w:abstractNum>
  <w:abstractNum w:abstractNumId="140">
    <w:nsid w:val="126CADE9"/>
    <w:multiLevelType w:val="hybridMultilevel"/>
    <w:lvl w:ilvl="0">
      <w:lvlJc w:val="left"/>
      <w:lvlText w:val="†"/>
      <w:numFmt w:val="bullet"/>
      <w:start w:val="1"/>
    </w:lvl>
  </w:abstractNum>
  <w:abstractNum w:abstractNumId="141">
    <w:nsid w:val="19132E7B"/>
    <w:multiLevelType w:val="hybridMultilevel"/>
    <w:lvl w:ilvl="0">
      <w:lvlJc w:val="left"/>
      <w:lvlText w:val="(%1)"/>
      <w:numFmt w:val="lowerLetter"/>
      <w:start w:val="1"/>
    </w:lvl>
  </w:abstractNum>
  <w:abstractNum w:abstractNumId="142">
    <w:nsid w:val="63822DC0"/>
    <w:multiLevelType w:val="hybridMultilevel"/>
    <w:lvl w:ilvl="0">
      <w:lvlJc w:val="left"/>
      <w:lvlText w:val="(%1)"/>
      <w:numFmt w:val="lowerRoman"/>
      <w:start w:val="2"/>
    </w:lvl>
  </w:abstractNum>
  <w:abstractNum w:abstractNumId="143">
    <w:nsid w:val="6C11685A"/>
    <w:multiLevelType w:val="hybridMultilevel"/>
    <w:lvl w:ilvl="0">
      <w:lvlJc w:val="left"/>
      <w:lvlText w:val="%1."/>
      <w:numFmt w:val="decimal"/>
      <w:start w:val="1"/>
    </w:lvl>
    <w:lvl w:ilvl="1">
      <w:lvlJc w:val="left"/>
      <w:lvlText w:val="(%2)"/>
      <w:numFmt w:val="lowerLetter"/>
      <w:start w:val="1"/>
    </w:lvl>
  </w:abstractNum>
  <w:abstractNum w:abstractNumId="144">
    <w:nsid w:val="5E1EAE31"/>
    <w:multiLevelType w:val="hybridMultilevel"/>
    <w:lvl w:ilvl="0">
      <w:lvlJc w:val="left"/>
      <w:lvlText w:val="%1"/>
      <w:numFmt w:val="lowerLetter"/>
      <w:start w:val="1"/>
    </w:lvl>
    <w:lvl w:ilvl="1">
      <w:lvlJc w:val="left"/>
      <w:lvlText w:val="(%2)"/>
      <w:numFmt w:val="lowerLetter"/>
      <w:start w:val="4"/>
    </w:lvl>
  </w:abstractNum>
  <w:abstractNum w:abstractNumId="145">
    <w:nsid w:val="178E240D"/>
    <w:multiLevelType w:val="hybridMultilevel"/>
    <w:lvl w:ilvl="0">
      <w:lvlJc w:val="left"/>
      <w:lvlText w:val="(%1)"/>
      <w:numFmt w:val="lowerLetter"/>
      <w:start w:val="61"/>
    </w:lvl>
    <w:lvl w:ilvl="1">
      <w:lvlJc w:val="left"/>
      <w:lvlText w:val="%2"/>
      <w:numFmt w:val="lowerLetter"/>
      <w:start w:val="1"/>
    </w:lvl>
  </w:abstractNum>
  <w:abstractNum w:abstractNumId="146">
    <w:nsid w:val="5556A87B"/>
    <w:multiLevelType w:val="hybridMultilevel"/>
    <w:lvl w:ilvl="0">
      <w:lvlJc w:val="left"/>
      <w:lvlText w:val="%1"/>
      <w:numFmt w:val="decimal"/>
      <w:start w:val="1"/>
    </w:lvl>
    <w:lvl w:ilvl="1">
      <w:lvlJc w:val="left"/>
      <w:lvlText w:val="(%2)"/>
      <w:numFmt w:val="lowerLetter"/>
      <w:start w:val="9"/>
    </w:lvl>
  </w:abstractNum>
  <w:abstractNum w:abstractNumId="147">
    <w:nsid w:val="28100A9C"/>
    <w:multiLevelType w:val="hybridMultilevel"/>
    <w:lvl w:ilvl="0">
      <w:lvlJc w:val="left"/>
      <w:lvlText w:val="%1."/>
      <w:numFmt w:val="decimal"/>
      <w:start w:val="2"/>
    </w:lvl>
    <w:lvl w:ilvl="1">
      <w:lvlJc w:val="left"/>
      <w:lvlText w:val="(%2)"/>
      <w:numFmt w:val="lowerLetter"/>
      <w:start w:val="1"/>
    </w:lvl>
  </w:abstractNum>
  <w:abstractNum w:abstractNumId="148">
    <w:nsid w:val="D838636"/>
    <w:multiLevelType w:val="hybridMultilevel"/>
    <w:lvl w:ilvl="0">
      <w:lvlJc w:val="left"/>
      <w:lvlText w:val="(%1)"/>
      <w:numFmt w:val="lowerLetter"/>
      <w:start w:val="3"/>
    </w:lvl>
  </w:abstractNum>
  <w:abstractNum w:abstractNumId="149">
    <w:nsid w:val="71B82AED"/>
    <w:multiLevelType w:val="hybridMultilevel"/>
    <w:lvl w:ilvl="0">
      <w:lvlJc w:val="left"/>
      <w:lvlText w:val="(%1)"/>
      <w:numFmt w:val="lowerLetter"/>
      <w:start w:val="10"/>
    </w:lvl>
  </w:abstractNum>
  <w:abstractNum w:abstractNumId="150">
    <w:nsid w:val="D15FACA"/>
    <w:multiLevelType w:val="hybridMultilevel"/>
    <w:lvl w:ilvl="0">
      <w:lvlJc w:val="left"/>
      <w:lvlText w:val="%1."/>
      <w:numFmt w:val="decimal"/>
      <w:start w:val="3"/>
    </w:lvl>
    <w:lvl w:ilvl="1">
      <w:lvlJc w:val="left"/>
      <w:lvlText w:val="(%2)"/>
      <w:numFmt w:val="lowerLetter"/>
      <w:start w:val="1"/>
    </w:lvl>
  </w:abstractNum>
  <w:abstractNum w:abstractNumId="151">
    <w:nsid w:val="3D69565B"/>
    <w:multiLevelType w:val="hybridMultilevel"/>
    <w:lvl w:ilvl="0">
      <w:lvlJc w:val="left"/>
      <w:lvlText w:val="(%1)"/>
      <w:numFmt w:val="lowerLetter"/>
      <w:start w:val="2"/>
    </w:lvl>
  </w:abstractNum>
  <w:abstractNum w:abstractNumId="152">
    <w:nsid w:val="2299DCBC"/>
    <w:multiLevelType w:val="hybridMultilevel"/>
    <w:lvl w:ilvl="0">
      <w:lvlJc w:val="left"/>
      <w:lvlText w:val="(%1)"/>
      <w:numFmt w:val="lowerLetter"/>
      <w:start w:val="8"/>
    </w:lvl>
  </w:abstractNum>
  <w:abstractNum w:abstractNumId="153">
    <w:nsid w:val="19908D02"/>
    <w:multiLevelType w:val="hybridMultilevel"/>
    <w:lvl w:ilvl="0">
      <w:lvlJc w:val="left"/>
      <w:lvlText w:val="(%1)"/>
      <w:numFmt w:val="lowerLetter"/>
      <w:start w:val="10"/>
    </w:lvl>
  </w:abstractNum>
  <w:abstractNum w:abstractNumId="154">
    <w:nsid w:val="24D48BDB"/>
    <w:multiLevelType w:val="hybridMultilevel"/>
    <w:lvl w:ilvl="0">
      <w:lvlJc w:val="left"/>
      <w:lvlText w:val="(%1)"/>
      <w:numFmt w:val="lowerLetter"/>
      <w:start w:val="12"/>
    </w:lvl>
  </w:abstractNum>
  <w:abstractNum w:abstractNumId="155">
    <w:nsid w:val="542DA5B5"/>
    <w:multiLevelType w:val="hybridMultilevel"/>
    <w:lvl w:ilvl="0">
      <w:lvlJc w:val="left"/>
      <w:lvlText w:val="%1"/>
      <w:numFmt w:val="decimal"/>
      <w:start w:val="1"/>
    </w:lvl>
    <w:lvl w:ilvl="1">
      <w:lvlJc w:val="left"/>
      <w:lvlText w:val="(%2)"/>
      <w:numFmt w:val="lowerLetter"/>
      <w:start w:val="13"/>
    </w:lvl>
  </w:abstractNum>
  <w:abstractNum w:abstractNumId="156">
    <w:nsid w:val="793753DE"/>
    <w:multiLevelType w:val="hybridMultilevel"/>
    <w:lvl w:ilvl="0">
      <w:lvlJc w:val="left"/>
      <w:lvlText w:val="%1."/>
      <w:numFmt w:val="decimal"/>
      <w:start w:val="4"/>
    </w:lvl>
    <w:lvl w:ilvl="1">
      <w:lvlJc w:val="left"/>
      <w:lvlText w:val="(%2)"/>
      <w:numFmt w:val="lowerLetter"/>
      <w:start w:val="1"/>
    </w:lvl>
  </w:abstractNum>
  <w:abstractNum w:abstractNumId="157">
    <w:nsid w:val="1C67CB3D"/>
    <w:multiLevelType w:val="hybridMultilevel"/>
    <w:lvl w:ilvl="0">
      <w:lvlJc w:val="left"/>
      <w:lvlText w:val="(%1)"/>
      <w:numFmt w:val="lowerLetter"/>
      <w:start w:val="2"/>
    </w:lvl>
  </w:abstractNum>
  <w:abstractNum w:abstractNumId="158">
    <w:nsid w:val="40E29452"/>
    <w:multiLevelType w:val="hybridMultilevel"/>
    <w:lvl w:ilvl="0">
      <w:lvlJc w:val="left"/>
      <w:lvlText w:val="(%1)"/>
      <w:numFmt w:val="lowerLetter"/>
      <w:start w:val="4"/>
    </w:lvl>
  </w:abstractNum>
  <w:abstractNum w:abstractNumId="159">
    <w:nsid w:val="63A4AAB6"/>
    <w:multiLevelType w:val="hybridMultilevel"/>
    <w:lvl w:ilvl="0">
      <w:lvlJc w:val="left"/>
      <w:lvlText w:val="(%1)"/>
      <w:numFmt w:val="lowerLetter"/>
      <w:start w:val="5"/>
    </w:lvl>
  </w:abstractNum>
  <w:abstractNum w:abstractNumId="160">
    <w:nsid w:val="77DA4A5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1">
    <w:nsid w:val="1230F102"/>
    <w:multiLevelType w:val="hybridMultilevel"/>
    <w:lvl w:ilvl="0">
      <w:lvlJc w:val="left"/>
      <w:lvlText w:val="%1"/>
      <w:numFmt w:val="lowerLetter"/>
      <w:start w:val="1"/>
    </w:lvl>
    <w:lvl w:ilvl="1">
      <w:lvlJc w:val="left"/>
      <w:lvlText w:val="(%2)"/>
      <w:numFmt w:val="lowerRoman"/>
      <w:start w:val="7"/>
    </w:lvl>
  </w:abstractNum>
  <w:abstractNum w:abstractNumId="162">
    <w:nsid w:val="25B57ED4"/>
    <w:multiLevelType w:val="hybridMultilevel"/>
    <w:lvl w:ilvl="0">
      <w:lvlJc w:val="left"/>
      <w:lvlText w:val="(%1)"/>
      <w:numFmt w:val="lowerLetter"/>
      <w:start w:val="2"/>
    </w:lvl>
    <w:lvl w:ilvl="1">
      <w:lvlJc w:val="left"/>
      <w:lvlText w:val="(%2)"/>
      <w:numFmt w:val="lowerRoman"/>
      <w:start w:val="1"/>
    </w:lvl>
  </w:abstractNum>
  <w:abstractNum w:abstractNumId="163">
    <w:nsid w:val="47CF16C4"/>
    <w:multiLevelType w:val="hybridMultilevel"/>
    <w:lvl w:ilvl="0">
      <w:lvlJc w:val="left"/>
      <w:lvlText w:val="%1"/>
      <w:numFmt w:val="lowerLetter"/>
      <w:start w:val="1"/>
    </w:lvl>
    <w:lvl w:ilvl="1">
      <w:lvlJc w:val="left"/>
      <w:lvlText w:val="(%2)"/>
      <w:numFmt w:val="lowerRoman"/>
      <w:start w:val="3"/>
    </w:lvl>
  </w:abstractNum>
  <w:abstractNum w:abstractNumId="164">
    <w:nsid w:val="527FA04C"/>
    <w:multiLevelType w:val="hybridMultilevel"/>
    <w:lvl w:ilvl="0">
      <w:lvlJc w:val="left"/>
      <w:lvlText w:val="(%1)"/>
      <w:numFmt w:val="lowerLetter"/>
      <w:start w:val="3"/>
    </w:lvl>
    <w:lvl w:ilvl="1">
      <w:lvlJc w:val="left"/>
      <w:lvlText w:val="%2"/>
      <w:numFmt w:val="lowerRoman"/>
      <w:start w:val="1"/>
    </w:lvl>
  </w:abstractNum>
  <w:abstractNum w:abstractNumId="165">
    <w:nsid w:val="6FCC0624"/>
    <w:multiLevelType w:val="hybridMultilevel"/>
    <w:lvl w:ilvl="0">
      <w:lvlJc w:val="left"/>
      <w:lvlText w:val="(%1)"/>
      <w:numFmt w:val="lowerLetter"/>
      <w:start w:val="5"/>
    </w:lvl>
    <w:lvl w:ilvl="1">
      <w:lvlJc w:val="left"/>
      <w:lvlText w:val="(%2)"/>
      <w:numFmt w:val="lowerRoman"/>
      <w:start w:val="1"/>
    </w:lvl>
  </w:abstractNum>
  <w:abstractNum w:abstractNumId="166">
    <w:nsid w:val="1DCDF795"/>
    <w:multiLevelType w:val="hybridMultilevel"/>
    <w:lvl w:ilvl="0">
      <w:lvlJc w:val="left"/>
      <w:lvlText w:val="%1"/>
      <w:numFmt w:val="lowerLetter"/>
      <w:start w:val="1"/>
    </w:lvl>
    <w:lvl w:ilvl="1">
      <w:lvlJc w:val="left"/>
      <w:lvlText w:val="(%2)"/>
      <w:numFmt w:val="lowerLetter"/>
      <w:start w:val="35"/>
    </w:lvl>
  </w:abstractNum>
  <w:abstractNum w:abstractNumId="167">
    <w:nsid w:val="564580C8"/>
    <w:multiLevelType w:val="hybridMultilevel"/>
    <w:lvl w:ilvl="0">
      <w:lvlJc w:val="left"/>
      <w:lvlText w:val="(%1)"/>
      <w:numFmt w:val="lowerLetter"/>
      <w:start w:val="7"/>
    </w:lvl>
    <w:lvl w:ilvl="1">
      <w:lvlJc w:val="left"/>
      <w:lvlText w:val="(%2)"/>
      <w:numFmt w:val="lowerLetter"/>
      <w:start w:val="9"/>
    </w:lvl>
  </w:abstractNum>
  <w:abstractNum w:abstractNumId="168">
    <w:nsid w:val="508ED897"/>
    <w:multiLevelType w:val="hybridMultilevel"/>
    <w:lvl w:ilvl="0">
      <w:lvlJc w:val="left"/>
      <w:lvlText w:val="(%1)"/>
      <w:numFmt w:val="lowerRoman"/>
      <w:start w:val="2"/>
    </w:lvl>
  </w:abstractNum>
  <w:abstractNum w:abstractNumId="169">
    <w:nsid w:val="6A9126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70">
    <w:nsid w:val="68104812"/>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71">
    <w:nsid w:val="62FB868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72">
    <w:nsid w:val="3A45530"/>
    <w:multiLevelType w:val="hybridMultilevel"/>
    <w:lvl w:ilvl="0">
      <w:lvlJc w:val="left"/>
      <w:lvlText w:val="(%1)"/>
      <w:numFmt w:val="lowerLetter"/>
      <w:start w:val="4"/>
    </w:lvl>
  </w:abstractNum>
  <w:abstractNum w:abstractNumId="173">
    <w:nsid w:val="4B9275D2"/>
    <w:multiLevelType w:val="hybridMultilevel"/>
    <w:lvl w:ilvl="0">
      <w:lvlJc w:val="left"/>
      <w:lvlText w:val="(%1)"/>
      <w:numFmt w:val="lowerLetter"/>
      <w:start w:val="4"/>
    </w:lvl>
  </w:abstractNum>
  <w:abstractNum w:abstractNumId="174">
    <w:nsid w:val="4F0CEEDB"/>
    <w:multiLevelType w:val="hybridMultilevel"/>
    <w:lvl w:ilvl="0">
      <w:lvlJc w:val="left"/>
      <w:lvlText w:val="(%1)"/>
      <w:numFmt w:val="lowerLetter"/>
      <w:start w:val="1"/>
    </w:lvl>
  </w:abstractNum>
  <w:abstractNum w:abstractNumId="175">
    <w:nsid w:val="61C30361"/>
    <w:multiLevelType w:val="hybridMultilevel"/>
    <w:lvl w:ilvl="0">
      <w:lvlJc w:val="left"/>
      <w:lvlText w:val="(%1)"/>
      <w:numFmt w:val="lowerLetter"/>
      <w:start w:val="3"/>
    </w:lvl>
  </w:abstractNum>
  <w:abstractNum w:abstractNumId="176">
    <w:nsid w:val="632099E0"/>
    <w:multiLevelType w:val="hybridMultilevel"/>
    <w:lvl w:ilvl="0">
      <w:lvlJc w:val="left"/>
      <w:lvlText w:val="(%1)"/>
      <w:numFmt w:val="lowerLetter"/>
      <w:start w:val="1"/>
    </w:lvl>
    <w:lvl w:ilvl="1">
      <w:lvlJc w:val="left"/>
      <w:lvlText w:val="(%2)"/>
      <w:numFmt w:val="lowerRoman"/>
      <w:start w:val="1"/>
    </w:lvl>
  </w:abstractNum>
  <w:abstractNum w:abstractNumId="177">
    <w:nsid w:val="24639756"/>
    <w:multiLevelType w:val="hybridMultilevel"/>
    <w:lvl w:ilvl="0">
      <w:lvlJc w:val="left"/>
      <w:lvlText w:val="(%1)"/>
      <w:numFmt w:val="lowerRoman"/>
      <w:start w:val="5"/>
    </w:lvl>
  </w:abstractNum>
  <w:abstractNum w:abstractNumId="178">
    <w:nsid w:val="9D30DFD"/>
    <w:multiLevelType w:val="hybridMultilevel"/>
    <w:lvl w:ilvl="0">
      <w:lvlJc w:val="left"/>
      <w:lvlText w:val="(%1)"/>
      <w:numFmt w:val="lowerLetter"/>
      <w:start w:val="3"/>
    </w:lvl>
  </w:abstractNum>
  <w:abstractNum w:abstractNumId="179">
    <w:nsid w:val="70A42016"/>
    <w:multiLevelType w:val="hybridMultilevel"/>
    <w:lvl w:ilvl="0">
      <w:lvlJc w:val="left"/>
      <w:lvlText w:val="(%1)"/>
      <w:numFmt w:val="lowerLetter"/>
      <w:start w:val="1"/>
    </w:lvl>
  </w:abstractNum>
  <w:abstractNum w:abstractNumId="180">
    <w:nsid w:val="161BC243"/>
    <w:multiLevelType w:val="hybridMultilevel"/>
    <w:lvl w:ilvl="0">
      <w:lvlJc w:val="left"/>
      <w:lvlText w:val="(%1)"/>
      <w:numFmt w:val="lowerLetter"/>
      <w:start w:val="2"/>
    </w:lvl>
  </w:abstractNum>
  <w:abstractNum w:abstractNumId="181">
    <w:nsid w:val="16E908C8"/>
    <w:multiLevelType w:val="hybridMultilevel"/>
    <w:lvl w:ilvl="0">
      <w:lvlJc w:val="left"/>
      <w:lvlText w:val="%1"/>
      <w:numFmt w:val="lowerLetter"/>
      <w:start w:val="1"/>
    </w:lvl>
    <w:lvl w:ilvl="1">
      <w:lvlJc w:val="left"/>
      <w:lvlText w:val="(%2)"/>
      <w:numFmt w:val="lowerLetter"/>
      <w:start w:val="1"/>
    </w:lvl>
  </w:abstractNum>
  <w:abstractNum w:abstractNumId="182">
    <w:nsid w:val="2E0D7671"/>
    <w:multiLevelType w:val="hybridMultilevel"/>
    <w:lvl w:ilvl="0">
      <w:lvlJc w:val="left"/>
      <w:lvlText w:val="(%1)"/>
      <w:numFmt w:val="lowerLetter"/>
      <w:start w:val="35"/>
    </w:lvl>
    <w:lvl w:ilvl="1">
      <w:lvlJc w:val="left"/>
      <w:lvlText w:val="(%2)"/>
      <w:numFmt w:val="lowerLetter"/>
      <w:start w:val="3"/>
    </w:lvl>
  </w:abstractNum>
  <w:abstractNum w:abstractNumId="183">
    <w:nsid w:val="38B59EFF"/>
    <w:multiLevelType w:val="hybridMultilevel"/>
    <w:lvl w:ilvl="0">
      <w:lvlJc w:val="left"/>
      <w:lvlText w:val="(%1)"/>
      <w:numFmt w:val="lowerLetter"/>
      <w:start w:val="4"/>
    </w:lvl>
  </w:abstractNum>
  <w:abstractNum w:abstractNumId="184">
    <w:nsid w:val="307995CA"/>
    <w:multiLevelType w:val="hybridMultilevel"/>
    <w:lvl w:ilvl="0">
      <w:lvlJc w:val="left"/>
      <w:lvlText w:val="(%1)"/>
      <w:numFmt w:val="lowerLetter"/>
      <w:start w:val="7"/>
    </w:lvl>
  </w:abstractNum>
  <w:abstractNum w:abstractNumId="185">
    <w:nsid w:val="52E2024D"/>
    <w:multiLevelType w:val="hybridMultilevel"/>
    <w:lvl w:ilvl="0">
      <w:lvlJc w:val="left"/>
      <w:lvlText w:val="(%1)"/>
      <w:numFmt w:val="lowerLetter"/>
      <w:start w:val="1"/>
    </w:lvl>
    <w:lvl w:ilvl="1">
      <w:lvlJc w:val="left"/>
      <w:lvlText w:val="(%2)"/>
      <w:numFmt w:val="lowerRoman"/>
      <w:start w:val="1"/>
    </w:lvl>
  </w:abstractNum>
  <w:abstractNum w:abstractNumId="186">
    <w:nsid w:val="CE344B5"/>
    <w:multiLevelType w:val="hybridMultilevel"/>
    <w:lvl w:ilvl="0">
      <w:lvlJc w:val="left"/>
      <w:lvlText w:val="%1"/>
      <w:numFmt w:val="lowerLetter"/>
      <w:start w:val="1"/>
    </w:lvl>
    <w:lvl w:ilvl="1">
      <w:lvlJc w:val="left"/>
      <w:lvlText w:val="(%2)"/>
      <w:numFmt w:val="lowerRoman"/>
      <w:start w:val="4"/>
    </w:lvl>
  </w:abstractNum>
  <w:abstractNum w:abstractNumId="187">
    <w:nsid w:val="29B0E9A8"/>
    <w:multiLevelType w:val="hybridMultilevel"/>
    <w:lvl w:ilvl="0">
      <w:lvlJc w:val="left"/>
      <w:lvlText w:val="(%1)"/>
      <w:numFmt w:val="lowerLetter"/>
      <w:start w:val="2"/>
    </w:lvl>
    <w:lvl w:ilvl="1">
      <w:lvlJc w:val="left"/>
      <w:lvlText w:val="%2"/>
      <w:numFmt w:val="lowerRoman"/>
      <w:start w:val="1"/>
    </w:lvl>
  </w:abstractNum>
  <w:abstractNum w:abstractNumId="188">
    <w:nsid w:val="6F49CD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9">
    <w:nsid w:val="4DC5D907"/>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90">
    <w:nsid w:val="D55945E"/>
    <w:multiLevelType w:val="hybridMultilevel"/>
    <w:lvl w:ilvl="0">
      <w:lvlJc w:val="left"/>
      <w:lvlText w:val="%1"/>
      <w:numFmt w:val="lowerLetter"/>
      <w:start w:val="1"/>
    </w:lvl>
    <w:lvl w:ilvl="1">
      <w:lvlJc w:val="left"/>
      <w:lvlText w:val="(%2)"/>
      <w:numFmt w:val="upperLetter"/>
      <w:start w:val="3"/>
    </w:lvl>
  </w:abstractNum>
  <w:abstractNum w:abstractNumId="191">
    <w:nsid w:val="672417E1"/>
    <w:multiLevelType w:val="hybridMultilevel"/>
    <w:lvl w:ilvl="0">
      <w:lvlJc w:val="left"/>
      <w:lvlText w:val="(%1)"/>
      <w:numFmt w:val="lowerLetter"/>
      <w:start w:val="4"/>
    </w:lvl>
    <w:lvl w:ilvl="1">
      <w:lvlJc w:val="left"/>
      <w:lvlText w:val="%2"/>
      <w:numFmt w:val="upperLetter"/>
      <w:start w:val="1"/>
    </w:lvl>
  </w:abstractNum>
  <w:abstractNum w:abstractNumId="192">
    <w:nsid w:val="5FF6CA09"/>
    <w:multiLevelType w:val="hybridMultilevel"/>
    <w:lvl w:ilvl="0">
      <w:lvlJc w:val="left"/>
      <w:lvlText w:val="(%1)"/>
      <w:numFmt w:val="decimal"/>
      <w:start w:val="10"/>
    </w:lvl>
  </w:abstractNum>
  <w:abstractNum w:abstractNumId="193">
    <w:nsid w:val="330B13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4">
    <w:nsid w:val="2EF32E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5">
    <w:nsid w:val="32766A55"/>
    <w:multiLevelType w:val="hybridMultilevel"/>
    <w:lvl w:ilvl="0">
      <w:lvlJc w:val="left"/>
      <w:lvlText w:val="%1"/>
      <w:numFmt w:val="lowerLetter"/>
      <w:start w:val="1"/>
    </w:lvl>
    <w:lvl w:ilvl="1">
      <w:lvlJc w:val="left"/>
      <w:lvlText w:val="(%2)"/>
      <w:numFmt w:val="lowerRoman"/>
      <w:start w:val="3"/>
    </w:lvl>
  </w:abstractNum>
  <w:abstractNum w:abstractNumId="196">
    <w:nsid w:val="22D71957"/>
    <w:multiLevelType w:val="hybridMultilevel"/>
    <w:lvl w:ilvl="0">
      <w:lvlJc w:val="left"/>
      <w:lvlText w:val="(%1)"/>
      <w:numFmt w:val="lowerLetter"/>
      <w:start w:val="3"/>
    </w:lvl>
    <w:lvl w:ilvl="1">
      <w:lvlJc w:val="left"/>
      <w:lvlText w:val="%2"/>
      <w:numFmt w:val="lowerRoman"/>
      <w:start w:val="1"/>
    </w:lvl>
  </w:abstractNum>
  <w:abstractNum w:abstractNumId="197">
    <w:nsid w:val="4CC1263B"/>
    <w:multiLevelType w:val="hybridMultilevel"/>
    <w:lvl w:ilvl="0">
      <w:lvlJc w:val="left"/>
      <w:lvlText w:val="(%1)"/>
      <w:numFmt w:val="lowerLetter"/>
      <w:start w:val="1"/>
    </w:lvl>
    <w:lvl w:ilvl="1">
      <w:lvlJc w:val="left"/>
      <w:lvlText w:val="(%2)"/>
      <w:numFmt w:val="lowerRoman"/>
      <w:start w:val="1"/>
    </w:lvl>
  </w:abstractNum>
  <w:abstractNum w:abstractNumId="198">
    <w:nsid w:val="8BBEB1D"/>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abstractNum>
  <w:abstractNum w:abstractNumId="199">
    <w:nsid w:val="7365F1E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00">
    <w:nsid w:val="37524CF0"/>
    <w:multiLevelType w:val="hybridMultilevel"/>
    <w:lvl w:ilvl="0">
      <w:lvlJc w:val="left"/>
      <w:lvlText w:val="(%1)"/>
      <w:numFmt w:val="lowerRoman"/>
      <w:start w:val="9"/>
    </w:lvl>
  </w:abstractNum>
  <w:abstractNum w:abstractNumId="201">
    <w:nsid w:val="70CC332F"/>
    <w:multiLevelType w:val="hybridMultilevel"/>
    <w:lvl w:ilvl="0">
      <w:lvlJc w:val="left"/>
      <w:lvlText w:val="(%1)"/>
      <w:numFmt w:val="lowerLetter"/>
      <w:start w:val="1"/>
    </w:lvl>
    <w:lvl w:ilvl="1">
      <w:lvlJc w:val="left"/>
      <w:lvlText w:val="(%2)"/>
      <w:numFmt w:val="lowerRoman"/>
      <w:start w:val="1"/>
    </w:lvl>
  </w:abstractNum>
  <w:abstractNum w:abstractNumId="202">
    <w:nsid w:val="5661786E"/>
    <w:multiLevelType w:val="hybridMultilevel"/>
    <w:lvl w:ilvl="0">
      <w:lvlJc w:val="left"/>
      <w:lvlText w:val="%1"/>
      <w:numFmt w:val="lowerLetter"/>
      <w:start w:val="1"/>
    </w:lvl>
    <w:lvl w:ilvl="1">
      <w:lvlJc w:val="left"/>
      <w:lvlText w:val="(%2)"/>
      <w:numFmt w:val="lowerRoman"/>
      <w:start w:val="6"/>
    </w:lvl>
  </w:abstractNum>
  <w:abstractNum w:abstractNumId="203">
    <w:nsid w:val="3AF6A220"/>
    <w:multiLevelType w:val="hybridMultilevel"/>
    <w:lvl w:ilvl="0">
      <w:lvlJc w:val="left"/>
      <w:lvlText w:val="(%1)"/>
      <w:numFmt w:val="lowerLetter"/>
      <w:start w:val="2"/>
    </w:lvl>
    <w:lvl w:ilvl="1">
      <w:lvlJc w:val="left"/>
      <w:lvlText w:val="(%2)"/>
      <w:numFmt w:val="lowerRoman"/>
      <w:start w:val="1"/>
    </w:lvl>
  </w:abstractNum>
  <w:abstractNum w:abstractNumId="204">
    <w:nsid w:val="3C5EA902"/>
    <w:multiLevelType w:val="hybridMultilevel"/>
    <w:lvl w:ilvl="0">
      <w:lvlJc w:val="left"/>
      <w:lvlText w:val="%1"/>
      <w:numFmt w:val="lowerLetter"/>
      <w:start w:val="1"/>
    </w:lvl>
    <w:lvl w:ilvl="1">
      <w:lvlJc w:val="left"/>
      <w:lvlText w:val="(%2)"/>
      <w:numFmt w:val="lowerRoman"/>
      <w:start w:val="4"/>
    </w:lvl>
  </w:abstractNum>
  <w:abstractNum w:abstractNumId="205">
    <w:nsid w:val="256E6749"/>
    <w:multiLevelType w:val="hybridMultilevel"/>
    <w:lvl w:ilvl="0">
      <w:lvlJc w:val="left"/>
      <w:lvlText w:val="(%1)"/>
      <w:numFmt w:val="lowerLetter"/>
      <w:start w:val="3"/>
    </w:lvl>
    <w:lvl w:ilvl="1">
      <w:lvlJc w:val="left"/>
      <w:lvlText w:val="(%2)"/>
      <w:numFmt w:val="lowerRoman"/>
      <w:start w:val="1"/>
    </w:lvl>
  </w:abstractNum>
  <w:abstractNum w:abstractNumId="206">
    <w:nsid w:val="1CB9A581"/>
    <w:multiLevelType w:val="hybridMultilevel"/>
    <w:lvl w:ilvl="0">
      <w:lvlJc w:val="left"/>
      <w:lvlText w:val="(%1)"/>
      <w:numFmt w:val="lowerRoman"/>
      <w:start w:val="5"/>
    </w:lvl>
  </w:abstractNum>
  <w:abstractNum w:abstractNumId="207">
    <w:nsid w:val="1F7F42E2"/>
    <w:multiLevelType w:val="hybridMultilevel"/>
    <w:lvl w:ilvl="0">
      <w:lvlJc w:val="left"/>
      <w:lvlText w:val="(%1)"/>
      <w:numFmt w:val="lowerLetter"/>
      <w:start w:val="1"/>
    </w:lvl>
  </w:abstractNum>
  <w:abstractNum w:abstractNumId="208">
    <w:nsid w:val="49D1FEA0"/>
    <w:multiLevelType w:val="hybridMultilevel"/>
    <w:lvl w:ilvl="0">
      <w:lvlJc w:val="left"/>
      <w:lvlText w:val="%1"/>
      <w:numFmt w:val="decimal"/>
      <w:start w:val="1"/>
    </w:lvl>
    <w:lvl w:ilvl="1">
      <w:lvlJc w:val="left"/>
      <w:lvlText w:val="(%2)"/>
      <w:numFmt w:val="lowerLetter"/>
      <w:start w:val="3"/>
    </w:lvl>
  </w:abstractNum>
  <w:abstractNum w:abstractNumId="209">
    <w:nsid w:val="268CB37F"/>
    <w:multiLevelType w:val="hybridMultilevel"/>
    <w:lvl w:ilvl="0">
      <w:lvlJc w:val="left"/>
      <w:lvlText w:val="(%1)"/>
      <w:numFmt w:val="decimal"/>
      <w:start w:val="24"/>
    </w:lvl>
    <w:lvl w:ilvl="1">
      <w:lvlJc w:val="left"/>
      <w:lvlText w:val="(%2)"/>
      <w:numFmt w:val="lowerLetter"/>
      <w:start w:val="4"/>
    </w:lvl>
  </w:abstractNum>
  <w:abstractNum w:abstractNumId="210">
    <w:nsid w:val="102362F8"/>
    <w:multiLevelType w:val="hybridMultilevel"/>
    <w:lvl w:ilvl="0">
      <w:lvlJc w:val="left"/>
      <w:lvlText w:val="(%1)"/>
      <w:numFmt w:val="lowerLetter"/>
      <w:start w:val="1"/>
    </w:lvl>
  </w:abstractNum>
  <w:abstractNum w:abstractNumId="211">
    <w:nsid w:val="5FEDC0E3"/>
    <w:multiLevelType w:val="hybridMultilevel"/>
    <w:lvl w:ilvl="0">
      <w:lvlJc w:val="left"/>
      <w:lvlText w:val="(%1)"/>
      <w:numFmt w:val="lowerLetter"/>
      <w:start w:val="1"/>
    </w:lvl>
  </w:abstractNum>
  <w:abstractNum w:abstractNumId="212">
    <w:nsid w:val="3D75BC47"/>
    <w:multiLevelType w:val="hybridMultilevel"/>
    <w:lvl w:ilvl="0">
      <w:lvlJc w:val="left"/>
      <w:lvlText w:val="(%1)"/>
      <w:numFmt w:val="lowerLetter"/>
      <w:start w:val="2"/>
    </w:lvl>
  </w:abstractNum>
  <w:abstractNum w:abstractNumId="213">
    <w:nsid w:val="3E30D969"/>
    <w:multiLevelType w:val="hybridMultilevel"/>
    <w:lvl w:ilvl="0">
      <w:lvlJc w:val="left"/>
      <w:lvlText w:val="(%1)"/>
      <w:numFmt w:val="lowerLetter"/>
      <w:start w:val="1"/>
    </w:lvl>
  </w:abstractNum>
  <w:abstractNum w:abstractNumId="214">
    <w:nsid w:val="18A35FE3"/>
    <w:multiLevelType w:val="hybridMultilevel"/>
    <w:lvl w:ilvl="0">
      <w:lvlJc w:val="left"/>
      <w:lvlText w:val="(%1)"/>
      <w:numFmt w:val="lowerLetter"/>
      <w:start w:val="2"/>
    </w:lvl>
  </w:abstractNum>
  <w:abstractNum w:abstractNumId="215">
    <w:nsid w:val="6DEF5211"/>
    <w:multiLevelType w:val="hybridMultilevel"/>
    <w:lvl w:ilvl="0">
      <w:lvlJc w:val="left"/>
      <w:lvlText w:val="(%1)"/>
      <w:numFmt w:val="lowerLetter"/>
      <w:start w:val="1"/>
    </w:lvl>
  </w:abstractNum>
  <w:abstractNum w:abstractNumId="216">
    <w:nsid w:val="1112DBB6"/>
    <w:multiLevelType w:val="hybridMultilevel"/>
    <w:lvl w:ilvl="0">
      <w:lvlJc w:val="left"/>
      <w:lvlText w:val="%1"/>
      <w:numFmt w:val="lowerLetter"/>
      <w:start w:val="1"/>
    </w:lvl>
    <w:lvl w:ilvl="1">
      <w:lvlJc w:val="left"/>
      <w:lvlText w:val="(%2)"/>
      <w:numFmt w:val="lowerLetter"/>
      <w:start w:val="1"/>
    </w:lvl>
  </w:abstractNum>
  <w:abstractNum w:abstractNumId="217">
    <w:nsid w:val="2586A498"/>
    <w:multiLevelType w:val="hybridMultilevel"/>
    <w:lvl w:ilvl="0">
      <w:lvlJc w:val="left"/>
      <w:lvlText w:val="(%1)"/>
      <w:numFmt w:val="lowerLetter"/>
      <w:start w:val="9"/>
    </w:lvl>
    <w:lvl w:ilvl="1">
      <w:lvlJc w:val="left"/>
      <w:lvlText w:val="(%2)"/>
      <w:numFmt w:val="lowerLetter"/>
      <w:start w:val="2"/>
    </w:lvl>
  </w:abstractNum>
  <w:abstractNum w:abstractNumId="218">
    <w:nsid w:val="17A03BB9"/>
    <w:multiLevelType w:val="hybridMultilevel"/>
    <w:lvl w:ilvl="0">
      <w:lvlJc w:val="left"/>
      <w:lvlText w:val="(%1)"/>
      <w:numFmt w:val="lowerLetter"/>
      <w:start w:val="1"/>
    </w:lvl>
  </w:abstractNum>
  <w:abstractNum w:abstractNumId="219">
    <w:nsid w:val="5CA941"/>
    <w:multiLevelType w:val="hybridMultilevel"/>
    <w:lvl w:ilvl="0">
      <w:lvlJc w:val="left"/>
      <w:lvlText w:val="(%1)"/>
      <w:numFmt w:val="lowerLetter"/>
      <w:start w:val="1"/>
    </w:lvl>
  </w:abstractNum>
  <w:abstractNum w:abstractNumId="220">
    <w:nsid w:val="734C7D9F"/>
    <w:multiLevelType w:val="hybridMultilevel"/>
    <w:lvl w:ilvl="0">
      <w:lvlJc w:val="left"/>
      <w:lvlText w:val="(%1)"/>
      <w:numFmt w:val="lowerLetter"/>
      <w:start w:val="4"/>
    </w:lvl>
  </w:abstractNum>
  <w:abstractNum w:abstractNumId="221">
    <w:nsid w:val="24F5D018"/>
    <w:multiLevelType w:val="hybridMultilevel"/>
    <w:lvl w:ilvl="0">
      <w:lvlJc w:val="left"/>
      <w:lvlText w:val="(%1)"/>
      <w:numFmt w:val="lowerLetter"/>
      <w:start w:val="1"/>
    </w:lvl>
  </w:abstractNum>
  <w:abstractNum w:abstractNumId="222">
    <w:nsid w:val="6780C122"/>
    <w:multiLevelType w:val="hybridMultilevel"/>
    <w:lvl w:ilvl="0">
      <w:lvlJc w:val="left"/>
      <w:lvlText w:val="(%1)"/>
      <w:numFmt w:val="lowerLetter"/>
      <w:start w:val="5"/>
    </w:lvl>
  </w:abstractNum>
  <w:abstractNum w:abstractNumId="223">
    <w:nsid w:val="534347A8"/>
    <w:multiLevelType w:val="hybridMultilevel"/>
    <w:lvl w:ilvl="0">
      <w:lvlJc w:val="left"/>
      <w:lvlText w:val="(%1)"/>
      <w:numFmt w:val="lowerLetter"/>
      <w:start w:val="1"/>
    </w:lvl>
  </w:abstractNum>
  <w:abstractNum w:abstractNumId="224">
    <w:nsid w:val="5800E34B"/>
    <w:multiLevelType w:val="hybridMultilevel"/>
    <w:lvl w:ilvl="0">
      <w:lvlJc w:val="left"/>
      <w:lvlText w:val="(%1)"/>
      <w:numFmt w:val="lowerLetter"/>
      <w:start w:val="2"/>
    </w:lvl>
    <w:lvl w:ilvl="1">
      <w:lvlJc w:val="left"/>
      <w:lvlText w:val="(%2)"/>
      <w:numFmt w:val="lowerRoman"/>
      <w:start w:val="1"/>
    </w:lvl>
  </w:abstractNum>
  <w:abstractNum w:abstractNumId="225">
    <w:nsid w:val="1673EFC8"/>
    <w:multiLevelType w:val="hybridMultilevel"/>
    <w:lvl w:ilvl="0">
      <w:lvlJc w:val="left"/>
      <w:lvlText w:val="%1"/>
      <w:numFmt w:val="lowerLetter"/>
      <w:start w:val="1"/>
    </w:lvl>
    <w:lvl w:ilvl="1">
      <w:lvlJc w:val="left"/>
      <w:lvlText w:val="(%2)"/>
      <w:numFmt w:val="lowerRoman"/>
      <w:start w:val="6"/>
    </w:lvl>
  </w:abstractNum>
  <w:abstractNum w:abstractNumId="226">
    <w:nsid w:val="5B9B1FD"/>
    <w:multiLevelType w:val="hybridMultilevel"/>
    <w:lvl w:ilvl="0">
      <w:lvlJc w:val="left"/>
      <w:lvlText w:val="(%1)"/>
      <w:numFmt w:val="lowerLetter"/>
      <w:start w:val="3"/>
    </w:lvl>
    <w:lvl w:ilvl="1">
      <w:lvlJc w:val="left"/>
      <w:lvlText w:val="%2"/>
      <w:numFmt w:val="lowerRoman"/>
      <w:start w:val="1"/>
    </w:lvl>
  </w:abstractNum>
  <w:abstractNum w:abstractNumId="227">
    <w:nsid w:val="7AD7FCA2"/>
    <w:multiLevelType w:val="hybridMultilevel"/>
    <w:lvl w:ilvl="0">
      <w:lvlJc w:val="left"/>
      <w:lvlText w:val="(%1)"/>
      <w:numFmt w:val="lowerLetter"/>
      <w:start w:val="1"/>
    </w:lvl>
  </w:abstractNum>
  <w:abstractNum w:abstractNumId="228">
    <w:nsid w:val="63351604"/>
    <w:multiLevelType w:val="hybridMultilevel"/>
    <w:lvl w:ilvl="0">
      <w:lvlJc w:val="left"/>
      <w:lvlText w:val="%1"/>
      <w:numFmt w:val="lowerLetter"/>
      <w:start w:val="1"/>
    </w:lvl>
    <w:lvl w:ilvl="1">
      <w:lvlJc w:val="left"/>
      <w:lvlText w:val="(%2)"/>
      <w:numFmt w:val="lowerLetter"/>
      <w:start w:val="1"/>
    </w:lvl>
  </w:abstractNum>
  <w:abstractNum w:abstractNumId="229">
    <w:nsid w:val="E759D1A"/>
    <w:multiLevelType w:val="hybridMultilevel"/>
    <w:lvl w:ilvl="0">
      <w:lvlJc w:val="left"/>
      <w:lvlText w:val="(%1)"/>
      <w:numFmt w:val="lowerLetter"/>
      <w:start w:val="35"/>
    </w:lvl>
    <w:lvl w:ilvl="1">
      <w:lvlJc w:val="left"/>
      <w:lvlText w:val="%2"/>
      <w:numFmt w:val="lowerLetter"/>
      <w:start w:val="1"/>
    </w:lvl>
  </w:abstractNum>
  <w:abstractNum w:abstractNumId="230">
    <w:nsid w:val="6E3DEE90"/>
    <w:multiLevelType w:val="hybridMultilevel"/>
    <w:lvl w:ilvl="0">
      <w:lvlJc w:val="left"/>
      <w:lvlText w:val="(%1)"/>
      <w:numFmt w:val="lowerLetter"/>
      <w:start w:val="1"/>
    </w:lvl>
  </w:abstractNum>
  <w:abstractNum w:abstractNumId="231">
    <w:nsid w:val="1A8762F4"/>
    <w:multiLevelType w:val="hybridMultilevel"/>
    <w:lvl w:ilvl="0">
      <w:lvlJc w:val="left"/>
      <w:lvlText w:val="(%1)"/>
      <w:numFmt w:val="lowerLetter"/>
      <w:start w:val="2"/>
    </w:lvl>
  </w:abstractNum>
  <w:abstractNum w:abstractNumId="232">
    <w:nsid w:val="7F41D049"/>
    <w:multiLevelType w:val="hybridMultilevel"/>
    <w:lvl w:ilvl="0">
      <w:lvlJc w:val="left"/>
      <w:lvlText w:val="(%1)"/>
      <w:numFmt w:val="lowerLetter"/>
      <w:start w:val="1"/>
    </w:lvl>
  </w:abstractNum>
  <w:abstractNum w:abstractNumId="233">
    <w:nsid w:val="449F66FE"/>
    <w:multiLevelType w:val="hybridMultilevel"/>
    <w:lvl w:ilvl="0">
      <w:lvlJc w:val="left"/>
      <w:lvlText w:val="(%1)"/>
      <w:numFmt w:val="lowerLetter"/>
      <w:start w:val="3"/>
    </w:lvl>
  </w:abstractNum>
  <w:abstractNum w:abstractNumId="234">
    <w:nsid w:val="557E0515"/>
    <w:multiLevelType w:val="hybridMultilevel"/>
    <w:lvl w:ilvl="0">
      <w:lvlJc w:val="left"/>
      <w:lvlText w:val="(%1)"/>
      <w:numFmt w:val="lowerLetter"/>
      <w:start w:val="1"/>
    </w:lvl>
    <w:lvl w:ilvl="1">
      <w:lvlJc w:val="left"/>
      <w:lvlText w:val="(%2)"/>
      <w:numFmt w:val="lowerRoman"/>
      <w:start w:val="1"/>
    </w:lvl>
  </w:abstractNum>
  <w:abstractNum w:abstractNumId="235">
    <w:nsid w:val="3BA0794B"/>
    <w:multiLevelType w:val="hybridMultilevel"/>
    <w:lvl w:ilvl="0">
      <w:lvlJc w:val="left"/>
      <w:lvlText w:val="(%1)"/>
      <w:numFmt w:val="lowerLetter"/>
      <w:start w:val="1"/>
    </w:lvl>
  </w:abstractNum>
  <w:abstractNum w:abstractNumId="236">
    <w:nsid w:val="6A0DCE48"/>
    <w:multiLevelType w:val="hybridMultilevel"/>
    <w:lvl w:ilvl="0">
      <w:lvlJc w:val="left"/>
      <w:lvlText w:val="(%1)"/>
      <w:numFmt w:val="lowerLetter"/>
      <w:start w:val="5"/>
    </w:lvl>
  </w:abstractNum>
  <w:abstractNum w:abstractNumId="237">
    <w:nsid w:val="7237AA96"/>
    <w:multiLevelType w:val="hybridMultilevel"/>
    <w:lvl w:ilvl="0">
      <w:lvlJc w:val="left"/>
      <w:lvlText w:val="(%1)"/>
      <w:numFmt w:val="lowerLetter"/>
      <w:start w:val="2"/>
    </w:lvl>
  </w:abstractNum>
  <w:abstractNum w:abstractNumId="238">
    <w:nsid w:val="5B1FBC2D"/>
    <w:multiLevelType w:val="hybridMultilevel"/>
    <w:lvl w:ilvl="0">
      <w:lvlJc w:val="left"/>
      <w:lvlText w:val="(%1)"/>
      <w:numFmt w:val="lowerLetter"/>
      <w:start w:val="4"/>
    </w:lvl>
  </w:abstractNum>
  <w:abstractNum w:abstractNumId="239">
    <w:nsid w:val="33DFCCE8"/>
    <w:multiLevelType w:val="hybridMultilevel"/>
    <w:lvl w:ilvl="0">
      <w:lvlJc w:val="left"/>
      <w:lvlText w:val="(%1)"/>
      <w:numFmt w:val="lowerLetter"/>
      <w:start w:val="1"/>
    </w:lvl>
  </w:abstractNum>
  <w:abstractNum w:abstractNumId="240">
    <w:nsid w:val="18C45E15"/>
    <w:multiLevelType w:val="hybridMultilevel"/>
    <w:lvl w:ilvl="0">
      <w:lvlJc w:val="left"/>
      <w:lvlText w:val="(%1)"/>
      <w:numFmt w:val="lowerLetter"/>
      <w:start w:val="1"/>
    </w:lvl>
    <w:lvl w:ilvl="1">
      <w:lvlJc w:val="left"/>
      <w:lvlText w:val="(%2)"/>
      <w:numFmt w:val="lowerRoman"/>
      <w:start w:val="1"/>
    </w:lvl>
  </w:abstractNum>
  <w:abstractNum w:abstractNumId="241">
    <w:nsid w:val="6B431F25"/>
    <w:multiLevelType w:val="hybridMultilevel"/>
    <w:lvl w:ilvl="0">
      <w:lvlJc w:val="left"/>
      <w:lvlText w:val="(%1)"/>
      <w:numFmt w:val="lowerRoman"/>
      <w:start w:val="4"/>
    </w:lvl>
  </w:abstractNum>
  <w:abstractNum w:abstractNumId="242">
    <w:nsid w:val="13CD8DCB"/>
    <w:multiLevelType w:val="hybridMultilevel"/>
    <w:lvl w:ilvl="0">
      <w:lvlJc w:val="left"/>
      <w:lvlText w:val="(%1)"/>
      <w:numFmt w:val="lowerLetter"/>
      <w:start w:val="3"/>
    </w:lvl>
  </w:abstractNum>
  <w:abstractNum w:abstractNumId="243">
    <w:nsid w:val="563A1A5C"/>
    <w:multiLevelType w:val="hybridMultilevel"/>
    <w:lvl w:ilvl="0">
      <w:lvlJc w:val="left"/>
      <w:lvlText w:val="%1"/>
      <w:numFmt w:val="upperLetter"/>
      <w:start w:val="1"/>
    </w:lvl>
    <w:lvl w:ilvl="1">
      <w:lvlJc w:val="left"/>
      <w:lvlText w:val="(%2)"/>
      <w:numFmt w:val="lowerRoman"/>
      <w:start w:val="1"/>
    </w:lvl>
  </w:abstractNum>
  <w:abstractNum w:abstractNumId="244">
    <w:nsid w:val="2973F88F"/>
    <w:multiLevelType w:val="hybridMultilevel"/>
    <w:lvl w:ilvl="0">
      <w:lvlJc w:val="left"/>
      <w:lvlText w:val="(%1)"/>
      <w:numFmt w:val="upperLetter"/>
      <w:start w:val="3"/>
    </w:lvl>
    <w:lvl w:ilvl="1">
      <w:lvlJc w:val="left"/>
      <w:lvlText w:val="(%2)"/>
      <w:numFmt w:val="lowerRoman"/>
      <w:start w:val="2"/>
    </w:lvl>
  </w:abstractNum>
  <w:abstractNum w:abstractNumId="245">
    <w:nsid w:val="2C70EDAE"/>
    <w:multiLevelType w:val="hybridMultilevel"/>
    <w:lvl w:ilvl="0">
      <w:lvlJc w:val="left"/>
      <w:lvlText w:val="(%1)"/>
      <w:numFmt w:val="lowerRoman"/>
      <w:start w:val="3"/>
    </w:lvl>
  </w:abstractNum>
  <w:abstractNum w:abstractNumId="246">
    <w:nsid w:val="44296C6D"/>
    <w:multiLevelType w:val="hybridMultilevel"/>
    <w:lvl w:ilvl="0">
      <w:lvlJc w:val="left"/>
      <w:lvlText w:val="(%1)"/>
      <w:numFmt w:val="lowerLetter"/>
      <w:start w:val="4"/>
    </w:lvl>
  </w:abstractNum>
  <w:abstractNum w:abstractNumId="247">
    <w:nsid w:val="3A86D445"/>
    <w:multiLevelType w:val="hybridMultilevel"/>
    <w:lvl w:ilvl="0">
      <w:lvlJc w:val="left"/>
      <w:lvlText w:val="(%1)"/>
      <w:numFmt w:val="lowerLetter"/>
      <w:start w:val="5"/>
    </w:lvl>
  </w:abstractNum>
  <w:abstractNum w:abstractNumId="248">
    <w:nsid w:val="51F79246"/>
    <w:multiLevelType w:val="hybridMultilevel"/>
    <w:lvl w:ilvl="0">
      <w:lvlJc w:val="left"/>
      <w:lvlText w:val="(%1)"/>
      <w:numFmt w:val="lowerLetter"/>
      <w:start w:val="1"/>
    </w:lvl>
  </w:abstractNum>
  <w:abstractNum w:abstractNumId="249">
    <w:nsid w:val="5BC9A827"/>
    <w:multiLevelType w:val="hybridMultilevel"/>
    <w:lvl w:ilvl="0">
      <w:lvlJc w:val="left"/>
      <w:lvlText w:val="(%1)"/>
      <w:numFmt w:val="lowerLetter"/>
      <w:start w:val="3"/>
    </w:lvl>
  </w:abstractNum>
  <w:abstractNum w:abstractNumId="250">
    <w:nsid w:val="3AE37D86"/>
    <w:multiLevelType w:val="hybridMultilevel"/>
    <w:lvl w:ilvl="0">
      <w:lvlJc w:val="left"/>
      <w:lvlText w:val="(%1)"/>
      <w:numFmt w:val="lowerLetter"/>
      <w:start w:val="1"/>
    </w:lvl>
  </w:abstractNum>
  <w:abstractNum w:abstractNumId="251">
    <w:nsid w:val="45440FE5"/>
    <w:multiLevelType w:val="hybridMultilevel"/>
    <w:lvl w:ilvl="0">
      <w:lvlJc w:val="left"/>
      <w:lvlText w:val="(%1)"/>
      <w:numFmt w:val="lowerLetter"/>
      <w:start w:val="2"/>
    </w:lvl>
  </w:abstractNum>
  <w:abstractNum w:abstractNumId="252">
    <w:nsid w:val="BF783F"/>
    <w:multiLevelType w:val="hybridMultilevel"/>
    <w:lvl w:ilvl="0">
      <w:lvlJc w:val="left"/>
      <w:lvlText w:val="(%1)"/>
      <w:numFmt w:val="lowerLetter"/>
      <w:start w:val="1"/>
    </w:lvl>
  </w:abstractNum>
  <w:abstractNum w:abstractNumId="253">
    <w:nsid w:val="22643EA9"/>
    <w:multiLevelType w:val="hybridMultilevel"/>
    <w:lvl w:ilvl="0">
      <w:lvlJc w:val="left"/>
      <w:lvlText w:val="(%1)"/>
      <w:numFmt w:val="lowerLetter"/>
      <w:start w:val="2"/>
    </w:lvl>
  </w:abstractNum>
  <w:abstractNum w:abstractNumId="254">
    <w:nsid w:val="1887578D"/>
    <w:multiLevelType w:val="hybridMultilevel"/>
    <w:lvl w:ilvl="0">
      <w:lvlJc w:val="left"/>
      <w:lvlText w:val="(%1)"/>
      <w:numFmt w:val="lowerLetter"/>
      <w:start w:val="1"/>
    </w:lvl>
  </w:abstractNum>
  <w:abstractNum w:abstractNumId="255">
    <w:nsid w:val="58C05B8A"/>
    <w:multiLevelType w:val="hybridMultilevel"/>
    <w:lvl w:ilvl="0">
      <w:lvlJc w:val="left"/>
      <w:lvlText w:val="(%1)"/>
      <w:numFmt w:val="lowerLetter"/>
      <w:start w:val="2"/>
    </w:lvl>
  </w:abstractNum>
  <w:abstractNum w:abstractNumId="256">
    <w:nsid w:val="38D82E71"/>
    <w:multiLevelType w:val="hybridMultilevel"/>
    <w:lvl w:ilvl="0">
      <w:lvlJc w:val="left"/>
      <w:lvlText w:val="(%1)"/>
      <w:numFmt w:val="lowerLetter"/>
      <w:start w:val="1"/>
    </w:lvl>
  </w:abstractNum>
  <w:abstractNum w:abstractNumId="257">
    <w:nsid w:val="1E41098A"/>
    <w:multiLevelType w:val="hybridMultilevel"/>
    <w:lvl w:ilvl="0">
      <w:lvlJc w:val="left"/>
      <w:lvlText w:val="(%1)"/>
      <w:numFmt w:val="lowerLetter"/>
      <w:start w:val="4"/>
    </w:lvl>
  </w:abstractNum>
  <w:abstractNum w:abstractNumId="258">
    <w:nsid w:val="5398582C"/>
    <w:multiLevelType w:val="hybridMultilevel"/>
    <w:lvl w:ilvl="0">
      <w:lvlJc w:val="left"/>
      <w:lvlText w:val="(%1)"/>
      <w:numFmt w:val="lowerLetter"/>
      <w:start w:val="2"/>
    </w:lvl>
  </w:abstractNum>
  <w:abstractNum w:abstractNumId="259">
    <w:nsid w:val="1C0D4475"/>
    <w:multiLevelType w:val="hybridMultilevel"/>
    <w:lvl w:ilvl="0">
      <w:lvlJc w:val="left"/>
      <w:lvlText w:val="(%1)"/>
      <w:numFmt w:val="lowerLetter"/>
      <w:start w:val="1"/>
    </w:lvl>
  </w:abstractNum>
  <w:abstractNum w:abstractNumId="260">
    <w:nsid w:val="2CB6A6A4"/>
    <w:multiLevelType w:val="hybridMultilevel"/>
    <w:lvl w:ilvl="0">
      <w:lvlJc w:val="left"/>
      <w:lvlText w:val="%1."/>
      <w:numFmt w:val="decimal"/>
      <w:start w:val="1"/>
    </w:lvl>
  </w:abstractNum>
  <w:abstractNum w:abstractNumId="261">
    <w:nsid w:val="41D646BC"/>
    <w:multiLevelType w:val="hybridMultilevel"/>
    <w:lvl w:ilvl="0">
      <w:lvlJc w:val="left"/>
      <w:lvlText w:val="%1."/>
      <w:numFmt w:val="decimal"/>
      <w:start w:val="2"/>
    </w:lvl>
  </w:abstractNum>
  <w:abstractNum w:abstractNumId="262">
    <w:nsid w:val="3694A76A"/>
    <w:multiLevelType w:val="hybridMultilevel"/>
    <w:lvl w:ilvl="0">
      <w:lvlJc w:val="left"/>
      <w:lvlText w:val="%1."/>
      <w:numFmt w:val="decimal"/>
      <w:start w:val="3"/>
    </w:lvl>
    <w:lvl w:ilvl="1">
      <w:lvlJc w:val="left"/>
      <w:lvlText w:val="(%2)"/>
      <w:numFmt w:val="lowerLetter"/>
      <w:start w:val="1"/>
    </w:lvl>
  </w:abstractNum>
  <w:abstractNum w:abstractNumId="263">
    <w:nsid w:val="2BF876EE"/>
    <w:multiLevelType w:val="hybridMultilevel"/>
    <w:lvl w:ilvl="0">
      <w:lvlJc w:val="left"/>
      <w:lvlText w:val="%1"/>
      <w:numFmt w:val="decimal"/>
      <w:start w:val="1"/>
    </w:lvl>
    <w:lvl w:ilvl="1">
      <w:lvlJc w:val="left"/>
      <w:lvlText w:val="(%2)"/>
      <w:numFmt w:val="lowerLetter"/>
      <w:start w:val="2"/>
    </w:lvl>
  </w:abstractNum>
  <w:abstractNum w:abstractNumId="264">
    <w:nsid w:val="675ADBA"/>
    <w:multiLevelType w:val="hybridMultilevel"/>
    <w:lvl w:ilvl="0">
      <w:lvlJc w:val="left"/>
      <w:lvlText w:val="%1."/>
      <w:numFmt w:val="decimal"/>
      <w:start w:val="5"/>
    </w:lvl>
    <w:lvl w:ilvl="1">
      <w:lvlJc w:val="left"/>
      <w:lvlText w:val="(%2)"/>
      <w:numFmt w:val="lowerLetter"/>
      <w:start w:val="1"/>
    </w:lvl>
  </w:abstractNum>
  <w:abstractNum w:abstractNumId="265">
    <w:nsid w:val="C12AC7F"/>
    <w:multiLevelType w:val="hybridMultilevel"/>
    <w:lvl w:ilvl="0">
      <w:lvlJc w:val="left"/>
      <w:lvlText w:val="%1"/>
      <w:numFmt w:val="decimal"/>
      <w:start w:val="1"/>
    </w:lvl>
    <w:lvl w:ilvl="1">
      <w:lvlJc w:val="left"/>
      <w:lvlText w:val="(%2)"/>
      <w:numFmt w:val="lowerLetter"/>
      <w:start w:val="2"/>
    </w:lvl>
  </w:abstractNum>
  <w:abstractNum w:abstractNumId="266">
    <w:nsid w:val="6798F039"/>
    <w:multiLevelType w:val="hybridMultilevel"/>
    <w:lvl w:ilvl="0">
      <w:lvlJc w:val="left"/>
      <w:lvlText w:val="%1."/>
      <w:numFmt w:val="decimal"/>
      <w:start w:val="6"/>
    </w:lvl>
    <w:lvl w:ilvl="1">
      <w:lvlJc w:val="left"/>
      <w:lvlText w:val="%2"/>
      <w:numFmt w:val="lowerLetter"/>
      <w:start w:val="1"/>
    </w:lvl>
  </w:abstractNum>
  <w:abstractNum w:abstractNumId="267">
    <w:nsid w:val="70837C02"/>
    <w:multiLevelType w:val="hybridMultilevel"/>
    <w:lvl w:ilvl="0">
      <w:lvlJc w:val="left"/>
      <w:lvlText w:val="(%1)"/>
      <w:numFmt w:val="lowerLetter"/>
      <w:start w:val="1"/>
    </w:lvl>
    <w:lvl w:ilvl="1">
      <w:lvlJc w:val="left"/>
      <w:lvlText w:val="(%2)"/>
      <w:numFmt w:val="lowerRoman"/>
      <w:start w:val="1"/>
    </w:lvl>
  </w:abstractNum>
  <w:abstractNum w:abstractNumId="268">
    <w:nsid w:val="7E4A5715"/>
    <w:multiLevelType w:val="hybridMultilevel"/>
    <w:lvl w:ilvl="0">
      <w:lvlJc w:val="left"/>
      <w:lvlText w:val="(%1)"/>
      <w:numFmt w:val="lowerRoman"/>
      <w:start w:val="4"/>
    </w:lvl>
  </w:abstractNum>
  <w:abstractNum w:abstractNumId="269">
    <w:nsid w:val="42B8AC67"/>
    <w:multiLevelType w:val="hybridMultilevel"/>
    <w:lvl w:ilvl="0">
      <w:lvlJc w:val="left"/>
      <w:lvlText w:val="(%1)"/>
      <w:numFmt w:val="lowerRoman"/>
      <w:start w:val="1"/>
    </w:lvl>
  </w:abstractNum>
  <w:abstractNum w:abstractNumId="270">
    <w:nsid w:val="246348EA"/>
    <w:multiLevelType w:val="hybridMultilevel"/>
    <w:lvl w:ilvl="0">
      <w:lvlJc w:val="left"/>
      <w:lvlText w:val="%1"/>
      <w:numFmt w:val="lowerLetter"/>
      <w:start w:val="1"/>
    </w:lvl>
    <w:lvl w:ilvl="1">
      <w:lvlJc w:val="left"/>
      <w:lvlText w:val="(%2)"/>
      <w:numFmt w:val="lowerRoman"/>
      <w:start w:val="4"/>
    </w:lvl>
  </w:abstractNum>
  <w:abstractNum w:abstractNumId="271">
    <w:nsid w:val="170EB52B"/>
    <w:multiLevelType w:val="hybridMultilevel"/>
    <w:lvl w:ilvl="0">
      <w:lvlJc w:val="left"/>
      <w:lvlText w:val="(%1)"/>
      <w:numFmt w:val="lowerLetter"/>
      <w:start w:val="4"/>
    </w:lvl>
    <w:lvl w:ilvl="1">
      <w:lvlJc w:val="left"/>
      <w:lvlText w:val="%2"/>
      <w:numFmt w:val="lowerRoman"/>
      <w:start w:val="1"/>
    </w:lvl>
  </w:abstractNum>
  <w:abstractNum w:abstractNumId="272">
    <w:nsid w:val="2DFBCB8C"/>
    <w:multiLevelType w:val="hybridMultilevel"/>
    <w:lvl w:ilvl="0">
      <w:lvlJc w:val="left"/>
      <w:lvlText w:val="(%1)"/>
      <w:numFmt w:val="lowerLetter"/>
      <w:start w:val="9"/>
    </w:lvl>
  </w:abstractNum>
  <w:abstractNum w:abstractNumId="273">
    <w:nsid w:val="3830D6B6"/>
    <w:multiLevelType w:val="hybridMultilevel"/>
    <w:lvl w:ilvl="0">
      <w:lvlJc w:val="left"/>
      <w:lvlText w:val="(%1)"/>
      <w:numFmt w:val="lowerLetter"/>
      <w:start w:val="1"/>
    </w:lvl>
  </w:abstractNum>
  <w:abstractNum w:abstractNumId="274">
    <w:nsid w:val="6D48CF87"/>
    <w:multiLevelType w:val="hybridMultilevel"/>
    <w:lvl w:ilvl="0">
      <w:lvlJc w:val="left"/>
      <w:lvlText w:val="%1"/>
      <w:numFmt w:val="lowerLetter"/>
      <w:start w:val="1"/>
    </w:lvl>
    <w:lvl w:ilvl="1">
      <w:lvlJc w:val="left"/>
      <w:lvlText w:val="(%2)"/>
      <w:numFmt w:val="lowerLetter"/>
      <w:start w:val="3"/>
    </w:lvl>
  </w:abstractNum>
  <w:abstractNum w:abstractNumId="275">
    <w:nsid w:val="576FC41B"/>
    <w:multiLevelType w:val="hybridMultilevel"/>
    <w:lvl w:ilvl="0">
      <w:lvlJc w:val="left"/>
      <w:lvlText w:val="(%1)"/>
      <w:numFmt w:val="lowerLetter"/>
      <w:start w:val="35"/>
    </w:lvl>
    <w:lvl w:ilvl="1">
      <w:lvlJc w:val="left"/>
      <w:lvlText w:val="(%2)"/>
      <w:numFmt w:val="lowerLetter"/>
      <w:start w:val="4"/>
    </w:lvl>
  </w:abstractNum>
  <w:abstractNum w:abstractNumId="276">
    <w:nsid w:val="64A1C464"/>
    <w:multiLevelType w:val="hybridMultilevel"/>
    <w:lvl w:ilvl="0">
      <w:lvlJc w:val="left"/>
      <w:lvlText w:val="(%1)"/>
      <w:numFmt w:val="lowerLetter"/>
      <w:start w:val="1"/>
    </w:lvl>
  </w:abstractNum>
  <w:abstractNum w:abstractNumId="277">
    <w:nsid w:val="31723BF5"/>
    <w:multiLevelType w:val="hybridMultilevel"/>
    <w:lvl w:ilvl="0">
      <w:lvlJc w:val="left"/>
      <w:lvlText w:val="%1"/>
      <w:numFmt w:val="upperLetter"/>
      <w:start w:val="1"/>
    </w:lvl>
    <w:lvl w:ilvl="1">
      <w:lvlJc w:val="left"/>
      <w:lvlText w:val="(%2)"/>
      <w:numFmt w:val="lowerLetter"/>
      <w:start w:val="2"/>
    </w:lvl>
  </w:abstractNum>
  <w:abstractNum w:abstractNumId="278">
    <w:nsid w:val="11F69861"/>
    <w:multiLevelType w:val="hybridMultilevel"/>
    <w:lvl w:ilvl="0">
      <w:lvlJc w:val="left"/>
      <w:lvlText w:val="(%1)"/>
      <w:numFmt w:val="upperLetter"/>
      <w:start w:val="2"/>
    </w:lvl>
    <w:lvl w:ilvl="1">
      <w:lvlJc w:val="left"/>
      <w:lvlText w:val="(%2)"/>
      <w:numFmt w:val="lowerLetter"/>
      <w:start w:val="3"/>
    </w:lvl>
  </w:abstractNum>
  <w:abstractNum w:abstractNumId="279">
    <w:nsid w:val="369956AB"/>
    <w:multiLevelType w:val="hybridMultilevel"/>
    <w:lvl w:ilvl="0">
      <w:lvlJc w:val="left"/>
      <w:lvlText w:val="(%1)"/>
      <w:numFmt w:val="lowerLetter"/>
      <w:start w:val="1"/>
    </w:lvl>
  </w:abstractNum>
  <w:abstractNum w:abstractNumId="280">
    <w:nsid w:val="D3BE41C"/>
    <w:multiLevelType w:val="hybridMultilevel"/>
    <w:lvl w:ilvl="0">
      <w:lvlJc w:val="left"/>
      <w:lvlText w:val="%1"/>
      <w:numFmt w:val="lowerLetter"/>
      <w:start w:val="1"/>
    </w:lvl>
    <w:lvl w:ilvl="1">
      <w:lvlJc w:val="left"/>
      <w:lvlText w:val="(%2)"/>
      <w:numFmt w:val="lowerLetter"/>
      <w:start w:val="2"/>
    </w:lvl>
  </w:abstractNum>
  <w:abstractNum w:abstractNumId="281">
    <w:nsid w:val="4CDA15E7"/>
    <w:multiLevelType w:val="hybridMultilevel"/>
    <w:lvl w:ilvl="0">
      <w:lvlJc w:val="left"/>
      <w:lvlText w:val="(%1)"/>
      <w:numFmt w:val="lowerLetter"/>
      <w:start w:val="9"/>
    </w:lvl>
    <w:lvl w:ilvl="1">
      <w:lvlJc w:val="left"/>
      <w:lvlText w:val="%2"/>
      <w:numFmt w:val="lowerLetter"/>
      <w:start w:val="1"/>
    </w:lvl>
  </w:abstractNum>
  <w:abstractNum w:abstractNumId="282">
    <w:nsid w:val="7BDD6690"/>
    <w:multiLevelType w:val="hybridMultilevel"/>
    <w:lvl w:ilvl="0">
      <w:lvlJc w:val="left"/>
      <w:lvlText w:val="(%1)"/>
      <w:numFmt w:val="lowerLetter"/>
      <w:start w:val="3"/>
    </w:lvl>
  </w:abstractNum>
  <w:abstractNum w:abstractNumId="283">
    <w:nsid w:val="DFB5C5B"/>
    <w:multiLevelType w:val="hybridMultilevel"/>
    <w:lvl w:ilvl="0">
      <w:lvlJc w:val="left"/>
      <w:lvlText w:val="(%1)"/>
      <w:numFmt w:val="lowerLetter"/>
      <w:start w:val="1"/>
    </w:lvl>
  </w:abstractNum>
  <w:abstractNum w:abstractNumId="284">
    <w:nsid w:val="6F3E5490"/>
    <w:multiLevelType w:val="hybridMultilevel"/>
    <w:lvl w:ilvl="0">
      <w:lvlJc w:val="left"/>
      <w:lvlText w:val="(%1)"/>
      <w:numFmt w:val="lowerLetter"/>
      <w:start w:val="1"/>
    </w:lvl>
  </w:abstractNum>
  <w:abstractNum w:abstractNumId="285">
    <w:nsid w:val="1464BE1E"/>
    <w:multiLevelType w:val="hybridMultilevel"/>
    <w:lvl w:ilvl="0">
      <w:lvlJc w:val="left"/>
      <w:lvlText w:val="(%1)"/>
      <w:numFmt w:val="lowerLetter"/>
      <w:start w:val="6"/>
    </w:lvl>
  </w:abstractNum>
  <w:abstractNum w:abstractNumId="286">
    <w:nsid w:val="66BBB7E5"/>
    <w:multiLevelType w:val="hybridMultilevel"/>
    <w:lvl w:ilvl="0">
      <w:lvlJc w:val="left"/>
      <w:lvlText w:val="%1"/>
      <w:numFmt w:val="lowerLetter"/>
      <w:start w:val="1"/>
    </w:lvl>
    <w:lvl w:ilvl="1">
      <w:lvlJc w:val="left"/>
      <w:lvlText w:val="(%2)"/>
      <w:numFmt w:val="lowerLetter"/>
      <w:start w:val="1"/>
    </w:lvl>
  </w:abstractNum>
  <w:abstractNum w:abstractNumId="287">
    <w:nsid w:val="28168302"/>
    <w:multiLevelType w:val="hybridMultilevel"/>
    <w:lvl w:ilvl="0">
      <w:lvlJc w:val="left"/>
      <w:lvlText w:val="(%1)"/>
      <w:numFmt w:val="lowerLetter"/>
      <w:start w:val="9"/>
    </w:lvl>
    <w:lvl w:ilvl="1">
      <w:lvlJc w:val="left"/>
      <w:lvlText w:val="%2"/>
      <w:numFmt w:val="lowerLetter"/>
      <w:start w:val="1"/>
    </w:lvl>
  </w:abstractNum>
  <w:abstractNum w:abstractNumId="288">
    <w:nsid w:val="32A5C7A8"/>
    <w:multiLevelType w:val="hybridMultilevel"/>
    <w:lvl w:ilvl="0">
      <w:lvlJc w:val="left"/>
      <w:lvlText w:val="(%1)"/>
      <w:numFmt w:val="lowerLetter"/>
      <w:start w:val="3"/>
    </w:lvl>
  </w:abstractNum>
  <w:abstractNum w:abstractNumId="289">
    <w:nsid w:val="3A541011"/>
    <w:multiLevelType w:val="hybridMultilevel"/>
    <w:lvl w:ilvl="0">
      <w:lvlJc w:val="left"/>
      <w:lvlText w:val="(%1)"/>
      <w:numFmt w:val="lowerLetter"/>
      <w:start w:val="3"/>
    </w:lvl>
  </w:abstractNum>
  <w:abstractNum w:abstractNumId="290">
    <w:nsid w:val="4423C777"/>
    <w:multiLevelType w:val="hybridMultilevel"/>
    <w:lvl w:ilvl="0">
      <w:lvlJc w:val="left"/>
      <w:lvlText w:val="(%1)"/>
      <w:numFmt w:val="lowerLetter"/>
      <w:start w:val="1"/>
    </w:lvl>
  </w:abstractNum>
  <w:abstractNum w:abstractNumId="291">
    <w:nsid w:val="5F5C6E4D"/>
    <w:multiLevelType w:val="hybridMultilevel"/>
    <w:lvl w:ilvl="0">
      <w:lvlJc w:val="left"/>
      <w:lvlText w:val="(%1)"/>
      <w:numFmt w:val="lowerLetter"/>
      <w:start w:val="1"/>
    </w:lvl>
  </w:abstractNum>
  <w:abstractNum w:abstractNumId="292">
    <w:nsid w:val="7C2A56CD"/>
    <w:multiLevelType w:val="hybridMultilevel"/>
    <w:lvl w:ilvl="0">
      <w:lvlJc w:val="left"/>
      <w:lvlText w:val="(%1)"/>
      <w:numFmt w:val="lowerLetter"/>
      <w:start w:val="1"/>
    </w:lvl>
    <w:lvl w:ilvl="1">
      <w:lvlJc w:val="left"/>
      <w:lvlText w:val="(%2)"/>
      <w:numFmt w:val="lowerRoman"/>
      <w:start w:val="1"/>
    </w:lvl>
  </w:abstractNum>
  <w:abstractNum w:abstractNumId="293">
    <w:nsid w:val="7AB86EE1"/>
    <w:multiLevelType w:val="hybridMultilevel"/>
    <w:lvl w:ilvl="0">
      <w:lvlJc w:val="left"/>
      <w:lvlText w:val="%1"/>
      <w:numFmt w:val="lowerLetter"/>
      <w:start w:val="1"/>
    </w:lvl>
    <w:lvl w:ilvl="1">
      <w:lvlJc w:val="left"/>
      <w:lvlText w:val="(%2)"/>
      <w:numFmt w:val="lowerLetter"/>
      <w:start w:val="22"/>
    </w:lvl>
  </w:abstractNum>
  <w:abstractNum w:abstractNumId="294">
    <w:nsid w:val="B54E53B"/>
    <w:multiLevelType w:val="hybridMultilevel"/>
    <w:lvl w:ilvl="0">
      <w:lvlJc w:val="left"/>
      <w:lvlText w:val="(%1)"/>
      <w:numFmt w:val="lowerLetter"/>
      <w:start w:val="3"/>
    </w:lvl>
    <w:lvl w:ilvl="1">
      <w:lvlJc w:val="left"/>
      <w:lvlText w:val="(%2)"/>
      <w:numFmt w:val="lowerLetter"/>
      <w:start w:val="9"/>
    </w:lvl>
  </w:abstractNum>
  <w:abstractNum w:abstractNumId="295">
    <w:nsid w:val="2A00487"/>
    <w:multiLevelType w:val="hybridMultilevel"/>
    <w:lvl w:ilvl="0">
      <w:lvlJc w:val="left"/>
      <w:lvlText w:val="(%1)"/>
      <w:numFmt w:val="lowerRoman"/>
      <w:start w:val="2"/>
    </w:lvl>
  </w:abstractNum>
  <w:abstractNum w:abstractNumId="296">
    <w:nsid w:val="6CB1B60"/>
    <w:multiLevelType w:val="hybridMultilevel"/>
    <w:lvl w:ilvl="0">
      <w:lvlJc w:val="left"/>
      <w:lvlText w:val="1"/>
      <w:numFmt w:val="bullet"/>
      <w:start w:val="1"/>
    </w:lvl>
  </w:abstractNum>
  <w:abstractNum w:abstractNumId="297">
    <w:nsid w:val="72EDD574"/>
    <w:multiLevelType w:val="hybridMultilevel"/>
    <w:lvl w:ilvl="0">
      <w:lvlJc w:val="left"/>
      <w:lvlText w:val="2"/>
      <w:numFmt w:val="bullet"/>
      <w:start w:val="1"/>
    </w:lvl>
  </w:abstractNum>
  <w:abstractNum w:abstractNumId="298">
    <w:nsid w:val="7323808A"/>
    <w:multiLevelType w:val="hybridMultilevel"/>
    <w:lvl w:ilvl="0">
      <w:lvlJc w:val="left"/>
      <w:lvlText w:val="%1"/>
      <w:numFmt w:val="lowerLetter"/>
      <w:start w:val="1"/>
    </w:lvl>
    <w:lvl w:ilvl="1">
      <w:lvlJc w:val="left"/>
      <w:lvlText w:val="(%2)"/>
      <w:numFmt w:val="lowerRoman"/>
      <w:start w:val="4"/>
    </w:lvl>
  </w:abstractNum>
  <w:abstractNum w:abstractNumId="299">
    <w:nsid w:val="5157276"/>
    <w:multiLevelType w:val="hybridMultilevel"/>
    <w:lvl w:ilvl="0">
      <w:lvlJc w:val="left"/>
      <w:lvlText w:val="(%1)"/>
      <w:numFmt w:val="lowerLetter"/>
      <w:start w:val="4"/>
    </w:lvl>
    <w:lvl w:ilvl="1">
      <w:lvlJc w:val="left"/>
      <w:lvlText w:val="%2"/>
      <w:numFmt w:val="lowerRoman"/>
      <w:start w:val="1"/>
    </w:lvl>
  </w:abstractNum>
  <w:abstractNum w:abstractNumId="300">
    <w:nsid w:val="35A681DB"/>
    <w:multiLevelType w:val="hybridMultilevel"/>
    <w:lvl w:ilvl="0">
      <w:lvlJc w:val="left"/>
      <w:lvlText w:val="3"/>
      <w:numFmt w:val="bullet"/>
      <w:start w:val="1"/>
    </w:lvl>
  </w:abstractNum>
  <w:abstractNum w:abstractNumId="301">
    <w:nsid w:val="1786C974"/>
    <w:multiLevelType w:val="hybridMultilevel"/>
    <w:lvl w:ilvl="0">
      <w:lvlJc w:val="left"/>
      <w:lvlText w:val="(%1)"/>
      <w:numFmt w:val="lowerLetter"/>
      <w:start w:val="9"/>
    </w:lvl>
  </w:abstractNum>
  <w:abstractNum w:abstractNumId="302">
    <w:nsid w:val="1C2427A1"/>
    <w:multiLevelType w:val="hybridMultilevel"/>
    <w:lvl w:ilvl="0">
      <w:lvlJc w:val="left"/>
      <w:lvlText w:val="(%1)"/>
      <w:numFmt w:val="lowerLetter"/>
      <w:start w:val="1"/>
    </w:lvl>
  </w:abstractNum>
  <w:abstractNum w:abstractNumId="303">
    <w:nsid w:val="63A24D68"/>
    <w:multiLevelType w:val="hybridMultilevel"/>
    <w:lvl w:ilvl="0">
      <w:lvlJc w:val="left"/>
      <w:lvlText w:val="%1"/>
      <w:numFmt w:val="lowerLetter"/>
      <w:start w:val="1"/>
    </w:lvl>
    <w:lvl w:ilvl="1">
      <w:lvlJc w:val="left"/>
      <w:lvlText w:val="(%2)"/>
      <w:numFmt w:val="lowerLetter"/>
      <w:start w:val="3"/>
    </w:lvl>
  </w:abstractNum>
  <w:abstractNum w:abstractNumId="304">
    <w:nsid w:val="4FB7A02A"/>
    <w:multiLevelType w:val="hybridMultilevel"/>
    <w:lvl w:ilvl="0">
      <w:lvlJc w:val="left"/>
      <w:lvlText w:val="(%1)"/>
      <w:numFmt w:val="lowerLetter"/>
      <w:start w:val="35"/>
    </w:lvl>
    <w:lvl w:ilvl="1">
      <w:lvlJc w:val="left"/>
      <w:lvlText w:val="(%2)"/>
      <w:numFmt w:val="lowerLetter"/>
      <w:start w:val="5"/>
    </w:lvl>
  </w:abstractNum>
  <w:abstractNum w:abstractNumId="305">
    <w:nsid w:val="96CF728"/>
    <w:multiLevelType w:val="hybridMultilevel"/>
    <w:lvl w:ilvl="0">
      <w:lvlJc w:val="left"/>
      <w:lvlText w:val="%1"/>
      <w:numFmt w:val="upperLetter"/>
      <w:start w:val="1"/>
    </w:lvl>
    <w:lvl w:ilvl="1">
      <w:lvlJc w:val="left"/>
      <w:lvlText w:val="(%2)"/>
      <w:numFmt w:val="lowerLetter"/>
      <w:start w:val="1"/>
    </w:lvl>
  </w:abstractNum>
  <w:abstractNum w:abstractNumId="306">
    <w:nsid w:val="3B121183"/>
    <w:multiLevelType w:val="hybridMultilevel"/>
    <w:lvl w:ilvl="0">
      <w:lvlJc w:val="left"/>
      <w:lvlText w:val="(%1)"/>
      <w:numFmt w:val="upperLetter"/>
      <w:start w:val="2"/>
    </w:lvl>
    <w:lvl w:ilvl="1">
      <w:lvlJc w:val="left"/>
      <w:lvlText w:val="(%2)"/>
      <w:numFmt w:val="lowerLetter"/>
      <w:start w:val="3"/>
    </w:lvl>
  </w:abstractNum>
  <w:abstractNum w:abstractNumId="307">
    <w:nsid w:val="3459648F"/>
    <w:multiLevelType w:val="hybridMultilevel"/>
    <w:lvl w:ilvl="0">
      <w:lvlJc w:val="left"/>
      <w:lvlText w:val="%1"/>
      <w:numFmt w:val="lowerLetter"/>
      <w:start w:val="1"/>
    </w:lvl>
    <w:lvl w:ilvl="1">
      <w:lvlJc w:val="left"/>
      <w:lvlText w:val="(%2)"/>
      <w:numFmt w:val="lowerLetter"/>
      <w:start w:val="1"/>
    </w:lvl>
  </w:abstractNum>
  <w:abstractNum w:abstractNumId="308">
    <w:nsid w:val="3ADF331D"/>
    <w:multiLevelType w:val="hybridMultilevel"/>
    <w:lvl w:ilvl="0">
      <w:lvlJc w:val="left"/>
      <w:lvlText w:val="(%1)"/>
      <w:numFmt w:val="lowerLetter"/>
      <w:start w:val="9"/>
    </w:lvl>
    <w:lvl w:ilvl="1">
      <w:lvlJc w:val="left"/>
      <w:lvlText w:val="%2"/>
      <w:numFmt w:val="lowerLetter"/>
      <w:start w:val="1"/>
    </w:lvl>
  </w:abstractNum>
  <w:abstractNum w:abstractNumId="309">
    <w:nsid w:val="4D08A9E4"/>
    <w:multiLevelType w:val="hybridMultilevel"/>
    <w:lvl w:ilvl="0">
      <w:lvlJc w:val="left"/>
      <w:lvlText w:val="4"/>
      <w:numFmt w:val="bullet"/>
      <w:start w:val="1"/>
    </w:lvl>
  </w:abstractNum>
  <w:abstractNum w:abstractNumId="310">
    <w:nsid w:val="6AF2BB3A"/>
    <w:multiLevelType w:val="hybridMultilevel"/>
    <w:lvl w:ilvl="0">
      <w:lvlJc w:val="left"/>
      <w:lvlText w:val="(%1)"/>
      <w:numFmt w:val="lowerLetter"/>
      <w:start w:val="3"/>
    </w:lvl>
  </w:abstractNum>
  <w:abstractNum w:abstractNumId="311">
    <w:nsid w:val="481B1739"/>
    <w:multiLevelType w:val="hybridMultilevel"/>
    <w:lvl w:ilvl="0">
      <w:lvlJc w:val="left"/>
      <w:lvlText w:val="(%1)"/>
      <w:numFmt w:val="lowerLetter"/>
      <w:start w:val="1"/>
    </w:lvl>
  </w:abstractNum>
  <w:abstractNum w:abstractNumId="312">
    <w:nsid w:val="19E2BFCC"/>
    <w:multiLevelType w:val="hybridMultilevel"/>
    <w:lvl w:ilvl="0">
      <w:lvlJc w:val="left"/>
      <w:lvlText w:val="%1"/>
      <w:numFmt w:val="lowerLetter"/>
      <w:start w:val="1"/>
    </w:lvl>
    <w:lvl w:ilvl="1">
      <w:lvlJc w:val="left"/>
      <w:lvlText w:val="(%2)"/>
      <w:numFmt w:val="lowerLetter"/>
      <w:start w:val="1"/>
    </w:lvl>
  </w:abstractNum>
  <w:abstractNum w:abstractNumId="313">
    <w:nsid w:val="66D021CA"/>
    <w:multiLevelType w:val="hybridMultilevel"/>
    <w:lvl w:ilvl="0">
      <w:lvlJc w:val="left"/>
      <w:lvlText w:val="(%1)"/>
      <w:numFmt w:val="lowerLetter"/>
      <w:start w:val="9"/>
    </w:lvl>
    <w:lvl w:ilvl="1">
      <w:lvlJc w:val="left"/>
      <w:lvlText w:val="%2"/>
      <w:numFmt w:val="lowerLetter"/>
      <w:start w:val="1"/>
    </w:lvl>
  </w:abstractNum>
  <w:abstractNum w:abstractNumId="314">
    <w:nsid w:val="56167394"/>
    <w:multiLevelType w:val="hybridMultilevel"/>
    <w:lvl w:ilvl="0">
      <w:lvlJc w:val="left"/>
      <w:lvlText w:val="(%1)"/>
      <w:numFmt w:val="lowerLetter"/>
      <w:start w:val="3"/>
    </w:lvl>
  </w:abstractNum>
  <w:abstractNum w:abstractNumId="315">
    <w:nsid w:val="921145C"/>
    <w:multiLevelType w:val="hybridMultilevel"/>
    <w:lvl w:ilvl="0">
      <w:lvlJc w:val="left"/>
      <w:lvlText w:val="(%1)"/>
      <w:numFmt w:val="lowerLetter"/>
      <w:start w:val="1"/>
    </w:lvl>
  </w:abstractNum>
  <w:abstractNum w:abstractNumId="316">
    <w:nsid w:val="7B34DFE8"/>
    <w:multiLevelType w:val="hybridMultilevel"/>
    <w:lvl w:ilvl="0">
      <w:lvlJc w:val="left"/>
      <w:lvlText w:val="(%1)"/>
      <w:numFmt w:val="lowerLetter"/>
      <w:start w:val="2"/>
    </w:lvl>
  </w:abstractNum>
  <w:abstractNum w:abstractNumId="317">
    <w:nsid w:val="3CD22B79"/>
    <w:multiLevelType w:val="hybridMultilevel"/>
    <w:lvl w:ilvl="0">
      <w:lvlJc w:val="left"/>
      <w:lvlText w:val="(%1)"/>
      <w:numFmt w:val="lowerLetter"/>
      <w:start w:val="1"/>
    </w:lvl>
  </w:abstractNum>
  <w:abstractNum w:abstractNumId="318">
    <w:nsid w:val="3137975E"/>
    <w:multiLevelType w:val="hybridMultilevel"/>
    <w:lvl w:ilvl="0">
      <w:lvlJc w:val="left"/>
      <w:lvlText w:val="(%1)"/>
      <w:numFmt w:val="lowerRoman"/>
      <w:start w:val="2"/>
    </w:lvl>
  </w:abstractNum>
  <w:abstractNum w:abstractNumId="319">
    <w:nsid w:val="2DDAA791"/>
    <w:multiLevelType w:val="hybridMultilevel"/>
    <w:lvl w:ilvl="0">
      <w:lvlJc w:val="left"/>
      <w:lvlText w:val="(%1)"/>
      <w:numFmt w:val="lowerLetter"/>
      <w:start w:val="1"/>
    </w:lvl>
  </w:abstractNum>
  <w:abstractNum w:abstractNumId="320">
    <w:nsid w:val="77263B8A"/>
    <w:multiLevelType w:val="hybridMultilevel"/>
    <w:lvl w:ilvl="0">
      <w:lvlJc w:val="left"/>
      <w:lvlText w:val="%1."/>
      <w:numFmt w:val="decimal"/>
      <w:start w:val="1"/>
    </w:lvl>
  </w:abstractNum>
  <w:abstractNum w:abstractNumId="321">
    <w:nsid w:val="755B5ED6"/>
    <w:multiLevelType w:val="hybridMultilevel"/>
    <w:lvl w:ilvl="0">
      <w:lvlJc w:val="left"/>
      <w:lvlText w:val="(%1)"/>
      <w:numFmt w:val="lowerRoman"/>
      <w:start w:val="1"/>
    </w:lvl>
  </w:abstractNum>
  <w:abstractNum w:abstractNumId="322">
    <w:nsid w:val="D3715DE"/>
    <w:multiLevelType w:val="hybridMultilevel"/>
    <w:lvl w:ilvl="0">
      <w:lvlJc w:val="left"/>
      <w:lvlText w:val="(%1)"/>
      <w:numFmt w:val="lowerLetter"/>
      <w:start w:val="1"/>
    </w:lvl>
  </w:abstractNum>
  <w:abstractNum w:abstractNumId="323">
    <w:nsid w:val="73509257"/>
    <w:multiLevelType w:val="hybridMultilevel"/>
    <w:lvl w:ilvl="0">
      <w:lvlJc w:val="left"/>
      <w:lvlText w:val="(%1)"/>
      <w:numFmt w:val="lowerLetter"/>
      <w:start w:val="2"/>
    </w:lvl>
  </w:abstractNum>
  <w:abstractNum w:abstractNumId="324">
    <w:nsid w:val="7013CDB7"/>
    <w:multiLevelType w:val="hybridMultilevel"/>
    <w:lvl w:ilvl="0">
      <w:lvlJc w:val="left"/>
      <w:lvlText w:val="(%1)"/>
      <w:numFmt w:val="lowerLetter"/>
      <w:start w:val="1"/>
    </w:lvl>
  </w:abstractNum>
  <w:abstractNum w:abstractNumId="325">
    <w:nsid w:val="188BFB19"/>
    <w:multiLevelType w:val="hybridMultilevel"/>
    <w:lvl w:ilvl="0">
      <w:lvlJc w:val="left"/>
      <w:lvlText w:val="%1."/>
      <w:numFmt w:val="decimal"/>
      <w:start w:val="2"/>
    </w:lvl>
  </w:abstractNum>
  <w:abstractNum w:abstractNumId="326">
    <w:nsid w:val="75F096DF"/>
    <w:multiLevelType w:val="hybridMultilevel"/>
    <w:lvl w:ilvl="0">
      <w:lvlJc w:val="left"/>
      <w:lvlText w:val="(%1)"/>
      <w:numFmt w:val="lowerLetter"/>
      <w:start w:val="1"/>
    </w:lvl>
    <w:lvl w:ilvl="1">
      <w:lvlJc w:val="left"/>
      <w:lvlText w:val="(%2)"/>
      <w:numFmt w:val="lowerRoman"/>
      <w:start w:val="1"/>
    </w:lvl>
  </w:abstractNum>
  <w:abstractNum w:abstractNumId="327">
    <w:nsid w:val="76DEE918"/>
    <w:multiLevelType w:val="hybridMultilevel"/>
    <w:lvl w:ilvl="0">
      <w:lvlJc w:val="left"/>
      <w:lvlText w:val="(%1)"/>
      <w:numFmt w:val="lowerRoman"/>
      <w:start w:val="2"/>
    </w:lvl>
  </w:abstractNum>
  <w:abstractNum w:abstractNumId="328">
    <w:nsid w:val="B79D08D"/>
    <w:multiLevelType w:val="hybridMultilevel"/>
    <w:lvl w:ilvl="0">
      <w:lvlJc w:val="left"/>
      <w:lvlText w:val="(%1)"/>
      <w:numFmt w:val="lowerRoman"/>
      <w:start w:val="5"/>
    </w:lvl>
  </w:abstractNum>
  <w:abstractNum w:abstractNumId="329">
    <w:nsid w:val="69141769"/>
    <w:multiLevelType w:val="hybridMultilevel"/>
    <w:lvl w:ilvl="0">
      <w:lvlJc w:val="left"/>
      <w:lvlText w:val="(%1)"/>
      <w:numFmt w:val="lowerLetter"/>
      <w:start w:val="1"/>
    </w:lvl>
  </w:abstractNum>
  <w:abstractNum w:abstractNumId="330">
    <w:nsid w:val="7BF45B8E"/>
    <w:multiLevelType w:val="hybridMultilevel"/>
    <w:lvl w:ilvl="0">
      <w:lvlJc w:val="left"/>
      <w:lvlText w:val="(%1)"/>
      <w:numFmt w:val="lowerLetter"/>
      <w:start w:val="5"/>
    </w:lvl>
  </w:abstractNum>
  <w:abstractNum w:abstractNumId="331">
    <w:nsid w:val="41205269"/>
    <w:multiLevelType w:val="hybridMultilevel"/>
    <w:lvl w:ilvl="0">
      <w:lvlJc w:val="left"/>
      <w:lvlText w:val="(%1)"/>
      <w:numFmt w:val="lowerLetter"/>
      <w:start w:val="1"/>
    </w:lvl>
  </w:abstractNum>
  <w:abstractNum w:abstractNumId="332">
    <w:nsid w:val="9AE0DD"/>
    <w:multiLevelType w:val="hybridMultilevel"/>
    <w:lvl w:ilvl="0">
      <w:lvlJc w:val="left"/>
      <w:lvlText w:val="%1"/>
      <w:numFmt w:val="decimal"/>
      <w:start w:val="1"/>
    </w:lvl>
    <w:lvl w:ilvl="1">
      <w:lvlJc w:val="left"/>
      <w:lvlText w:val="(%2)"/>
      <w:numFmt w:val="lowerLetter"/>
      <w:start w:val="2"/>
    </w:lvl>
  </w:abstractNum>
  <w:abstractNum w:abstractNumId="333">
    <w:nsid w:val="1818832F"/>
    <w:multiLevelType w:val="hybridMultilevel"/>
    <w:lvl w:ilvl="0">
      <w:lvlJc w:val="left"/>
      <w:lvlText w:val="%1."/>
      <w:numFmt w:val="decimal"/>
      <w:start w:val="3"/>
    </w:lvl>
    <w:lvl w:ilvl="1">
      <w:lvlJc w:val="left"/>
      <w:lvlText w:val="%2"/>
      <w:numFmt w:val="lowerLetter"/>
      <w:start w:val="1"/>
    </w:lvl>
  </w:abstractNum>
  <w:abstractNum w:abstractNumId="334">
    <w:nsid w:val="24C29FD1"/>
    <w:multiLevelType w:val="hybridMultilevel"/>
    <w:lvl w:ilvl="0">
      <w:lvlJc w:val="left"/>
      <w:lvlText w:val="(%1)"/>
      <w:numFmt w:val="lowerLetter"/>
      <w:start w:val="1"/>
    </w:lvl>
  </w:abstractNum>
  <w:abstractNum w:abstractNumId="335">
    <w:nsid w:val="50528108"/>
    <w:multiLevelType w:val="hybridMultilevel"/>
    <w:lvl w:ilvl="0">
      <w:lvlJc w:val="left"/>
      <w:lvlText w:val="%1."/>
      <w:numFmt w:val="decimal"/>
      <w:start w:val="4"/>
    </w:lvl>
  </w:abstractNum>
  <w:abstractNum w:abstractNumId="336">
    <w:nsid w:val="21857A57"/>
    <w:multiLevelType w:val="hybridMultilevel"/>
    <w:lvl w:ilvl="0">
      <w:lvlJc w:val="left"/>
      <w:lvlText w:val="(%1)"/>
      <w:numFmt w:val="lowerLetter"/>
      <w:start w:val="1"/>
    </w:lvl>
    <w:lvl w:ilvl="1">
      <w:lvlJc w:val="left"/>
      <w:lvlText w:val="(%2)"/>
      <w:numFmt w:val="lowerRoman"/>
      <w:start w:val="1"/>
    </w:lvl>
  </w:abstractNum>
  <w:abstractNum w:abstractNumId="337">
    <w:nsid w:val="5FD4B154"/>
    <w:multiLevelType w:val="hybridMultilevel"/>
    <w:lvl w:ilvl="0">
      <w:lvlJc w:val="left"/>
      <w:lvlText w:val="(%1)"/>
      <w:numFmt w:val="lowerLetter"/>
      <w:start w:val="2"/>
    </w:lvl>
  </w:abstractNum>
  <w:abstractNum w:abstractNumId="338">
    <w:nsid w:val="4ABE597"/>
    <w:multiLevelType w:val="hybridMultilevel"/>
    <w:lvl w:ilvl="0">
      <w:lvlJc w:val="left"/>
      <w:lvlText w:val="(%1)"/>
      <w:numFmt w:val="lowerRoman"/>
      <w:start w:val="1"/>
    </w:lvl>
    <w:lvl w:ilvl="1">
      <w:lvlJc w:val="left"/>
      <w:lvlText w:val="(%2)"/>
      <w:numFmt w:val="upperLetter"/>
      <w:start w:val="1"/>
    </w:lvl>
  </w:abstractNum>
  <w:abstractNum w:abstractNumId="339">
    <w:nsid w:val="5C64AD7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40">
    <w:nsid w:val="2CDD5B3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1">
    <w:nsid w:val="6F9EA0D1"/>
    <w:multiLevelType w:val="hybridMultilevel"/>
    <w:lvl w:ilvl="0">
      <w:lvlJc w:val="left"/>
      <w:lvlText w:val="(%1)"/>
      <w:numFmt w:val="lowerLetter"/>
      <w:start w:val="4"/>
    </w:lvl>
  </w:abstractNum>
  <w:abstractNum w:abstractNumId="342">
    <w:nsid w:val="247FC4AE"/>
    <w:multiLevelType w:val="hybridMultilevel"/>
    <w:lvl w:ilvl="0">
      <w:lvlJc w:val="left"/>
      <w:lvlText w:val="*"/>
      <w:numFmt w:val="bullet"/>
      <w:start w:val="1"/>
    </w:lvl>
  </w:abstractNum>
  <w:abstractNum w:abstractNumId="343">
    <w:nsid w:val="46C01B05"/>
    <w:multiLevelType w:val="hybridMultilevel"/>
    <w:lvl w:ilvl="0">
      <w:lvlJc w:val="left"/>
      <w:lvlText w:val="**"/>
      <w:numFmt w:val="bullet"/>
      <w:start w:val="1"/>
    </w:lvl>
  </w:abstractNum>
  <w:abstractNum w:abstractNumId="344">
    <w:nsid w:val="566EC29B"/>
    <w:multiLevelType w:val="hybridMultilevel"/>
    <w:lvl w:ilvl="0">
      <w:lvlJc w:val="left"/>
      <w:lvlText w:val="(%1)"/>
      <w:numFmt w:val="lowerLetter"/>
      <w:start w:val="7"/>
    </w:lvl>
  </w:abstractNum>
  <w:abstractNum w:abstractNumId="345">
    <w:nsid w:val="7A963843"/>
    <w:multiLevelType w:val="hybridMultilevel"/>
    <w:lvl w:ilvl="0">
      <w:lvlJc w:val="left"/>
      <w:lvlText w:val="(%1)"/>
      <w:numFmt w:val="lowerRoman"/>
      <w:start w:val="1"/>
    </w:lvl>
  </w:abstractNum>
  <w:abstractNum w:abstractNumId="346">
    <w:nsid w:val="4FE12F61"/>
    <w:multiLevelType w:val="hybridMultilevel"/>
    <w:lvl w:ilvl="0">
      <w:lvlJc w:val="left"/>
      <w:lvlText w:val="(%1)"/>
      <w:numFmt w:val="upperLetter"/>
      <w:start w:val="1"/>
    </w:lvl>
  </w:abstractNum>
  <w:abstractNum w:abstractNumId="347">
    <w:nsid w:val="51A3A284"/>
    <w:multiLevelType w:val="hybridMultilevel"/>
    <w:lvl w:ilvl="0">
      <w:lvlJc w:val="left"/>
      <w:lvlText w:val="%1"/>
      <w:numFmt w:val="lowerLetter"/>
      <w:start w:val="1"/>
    </w:lvl>
    <w:lvl w:ilvl="1">
      <w:lvlJc w:val="left"/>
      <w:lvlText w:val="(%2)"/>
      <w:numFmt w:val="lowerLetter"/>
      <w:start w:val="8"/>
    </w:lvl>
  </w:abstractNum>
  <w:abstractNum w:abstractNumId="348">
    <w:nsid w:val="376863BC"/>
    <w:multiLevelType w:val="hybridMultilevel"/>
    <w:lvl w:ilvl="0">
      <w:lvlJc w:val="left"/>
      <w:lvlText w:val="(%1)"/>
      <w:numFmt w:val="lowerLetter"/>
      <w:start w:val="35"/>
    </w:lvl>
    <w:lvl w:ilvl="1">
      <w:lvlJc w:val="left"/>
      <w:lvlText w:val="%2"/>
      <w:numFmt w:val="lowerLetter"/>
      <w:start w:val="1"/>
    </w:lvl>
  </w:abstractNum>
  <w:abstractNum w:abstractNumId="349">
    <w:nsid w:val="118C6C0"/>
    <w:multiLevelType w:val="hybridMultilevel"/>
    <w:lvl w:ilvl="0">
      <w:lvlJc w:val="left"/>
      <w:lvlText w:val="(%1)"/>
      <w:numFmt w:val="lowerRoman"/>
      <w:start w:val="1"/>
    </w:lvl>
  </w:abstractNum>
  <w:abstractNum w:abstractNumId="350">
    <w:nsid w:val="7F7E4A15"/>
    <w:multiLevelType w:val="hybridMultilevel"/>
    <w:lvl w:ilvl="0">
      <w:lvlJc w:val="left"/>
      <w:lvlText w:val="(%1)"/>
      <w:numFmt w:val="lowerLetter"/>
      <w:start w:val="1"/>
    </w:lvl>
  </w:abstractNum>
  <w:abstractNum w:abstractNumId="351">
    <w:nsid w:val="2E8E9F47"/>
    <w:multiLevelType w:val="hybridMultilevel"/>
    <w:lvl w:ilvl="0">
      <w:lvlJc w:val="left"/>
      <w:lvlText w:val="(%1)"/>
      <w:numFmt w:val="lowerLetter"/>
      <w:start w:val="2"/>
    </w:lvl>
  </w:abstractNum>
  <w:abstractNum w:abstractNumId="352">
    <w:nsid w:val="76742596"/>
    <w:multiLevelType w:val="hybridMultilevel"/>
    <w:lvl w:ilvl="0">
      <w:lvlJc w:val="left"/>
      <w:lvlText w:val="(%1)"/>
      <w:numFmt w:val="lowerLetter"/>
      <w:start w:val="3"/>
    </w:lvl>
  </w:abstractNum>
  <w:abstractNum w:abstractNumId="353">
    <w:nsid w:val="CB55FF3"/>
    <w:multiLevelType w:val="hybridMultilevel"/>
    <w:lvl w:ilvl="0">
      <w:lvlJc w:val="left"/>
      <w:lvlText w:val="%1"/>
      <w:numFmt w:val="decimal"/>
      <w:start w:val="1"/>
    </w:lvl>
    <w:lvl w:ilvl="1">
      <w:lvlJc w:val="left"/>
      <w:lvlText w:val="(%2)"/>
      <w:numFmt w:val="lowerLetter"/>
      <w:start w:val="4"/>
    </w:lvl>
  </w:abstractNum>
  <w:abstractNum w:abstractNumId="354">
    <w:nsid w:val="21DF319E"/>
    <w:multiLevelType w:val="hybridMultilevel"/>
    <w:lvl w:ilvl="0">
      <w:lvlJc w:val="left"/>
      <w:lvlText w:val="%1."/>
      <w:numFmt w:val="decimal"/>
      <w:start w:val="5"/>
    </w:lvl>
    <w:lvl w:ilvl="1">
      <w:lvlJc w:val="left"/>
      <w:lvlText w:val="%2"/>
      <w:numFmt w:val="lowerLetter"/>
      <w:start w:val="1"/>
    </w:lvl>
  </w:abstractNum>
  <w:abstractNum w:abstractNumId="355">
    <w:nsid w:val="6687F34D"/>
    <w:multiLevelType w:val="hybridMultilevel"/>
    <w:lvl w:ilvl="0">
      <w:lvlJc w:val="left"/>
      <w:lvlText w:val="(%1)"/>
      <w:numFmt w:val="lowerLetter"/>
      <w:start w:val="1"/>
    </w:lvl>
  </w:abstractNum>
  <w:abstractNum w:abstractNumId="356">
    <w:nsid w:val="25415B0C"/>
    <w:multiLevelType w:val="hybridMultilevel"/>
    <w:lvl w:ilvl="0">
      <w:lvlJc w:val="left"/>
      <w:lvlText w:val="(%1)"/>
      <w:numFmt w:val="lowerLetter"/>
      <w:start w:val="1"/>
    </w:lvl>
  </w:abstractNum>
  <w:abstractNum w:abstractNumId="357">
    <w:nsid w:val="17CFC87D"/>
    <w:multiLevelType w:val="hybridMultilevel"/>
    <w:lvl w:ilvl="0">
      <w:lvlJc w:val="left"/>
      <w:lvlText w:val="%1."/>
      <w:numFmt w:val="decimal"/>
      <w:start w:val="6"/>
    </w:lvl>
  </w:abstractNum>
  <w:abstractNum w:abstractNumId="358">
    <w:nsid w:val="5D66DC65"/>
    <w:multiLevelType w:val="hybridMultilevel"/>
    <w:lvl w:ilvl="0">
      <w:lvlJc w:val="left"/>
      <w:lvlText w:val="7"/>
      <w:numFmt w:val="bullet"/>
      <w:start w:val="1"/>
    </w:lvl>
  </w:abstractNum>
  <w:abstractNum w:abstractNumId="359">
    <w:nsid w:val="30BB2B99"/>
    <w:multiLevelType w:val="hybridMultilevel"/>
    <w:lvl w:ilvl="0">
      <w:lvlJc w:val="left"/>
      <w:lvlText w:val="%1."/>
      <w:numFmt w:val="decimal"/>
      <w:start w:val="8"/>
    </w:lvl>
    <w:lvl w:ilvl="1">
      <w:lvlJc w:val="left"/>
      <w:lvlText w:val="(%2)"/>
      <w:numFmt w:val="lowerLetter"/>
      <w:start w:val="1"/>
    </w:lvl>
  </w:abstractNum>
  <w:abstractNum w:abstractNumId="360">
    <w:nsid w:val="E3DFE6"/>
    <w:multiLevelType w:val="hybridMultilevel"/>
    <w:lvl w:ilvl="0">
      <w:lvlJc w:val="left"/>
      <w:lvlText w:val="(%1)"/>
      <w:numFmt w:val="lowerLetter"/>
      <w:start w:val="2"/>
    </w:lvl>
  </w:abstractNum>
  <w:abstractNum w:abstractNumId="361">
    <w:nsid w:val="595B37F3"/>
    <w:multiLevelType w:val="hybridMultilevel"/>
    <w:lvl w:ilvl="0">
      <w:lvlJc w:val="left"/>
      <w:lvlText w:val="(%1)"/>
      <w:numFmt w:val="decimal"/>
      <w:start w:val="1"/>
    </w:lvl>
  </w:abstractNum>
  <w:abstractNum w:abstractNumId="362">
    <w:nsid w:val="71DB7E02"/>
    <w:multiLevelType w:val="hybridMultilevel"/>
    <w:lvl w:ilvl="0">
      <w:lvlJc w:val="left"/>
      <w:lvlText w:val="%1."/>
      <w:numFmt w:val="decimal"/>
      <w:start w:val="9"/>
    </w:lvl>
  </w:abstractNum>
  <w:abstractNum w:abstractNumId="363">
    <w:nsid w:val="17EC0C4"/>
    <w:multiLevelType w:val="hybridMultilevel"/>
    <w:lvl w:ilvl="0">
      <w:lvlJc w:val="left"/>
      <w:lvlText w:val="%1."/>
      <w:numFmt w:val="decimal"/>
      <w:start w:val="10"/>
    </w:lvl>
  </w:abstractNum>
  <w:abstractNum w:abstractNumId="364">
    <w:nsid w:val="7173BB22"/>
    <w:multiLevelType w:val="hybridMultilevel"/>
    <w:lvl w:ilvl="0">
      <w:lvlJc w:val="left"/>
      <w:lvlText w:val="%1."/>
      <w:numFmt w:val="decimal"/>
      <w:start w:val="11"/>
    </w:lvl>
  </w:abstractNum>
  <w:abstractNum w:abstractNumId="365">
    <w:nsid w:val="169E1DD3"/>
    <w:multiLevelType w:val="hybridMultilevel"/>
    <w:lvl w:ilvl="0">
      <w:lvlJc w:val="left"/>
      <w:lvlText w:val="%1."/>
      <w:numFmt w:val="decimal"/>
      <w:start w:val="12"/>
    </w:lvl>
  </w:abstractNum>
  <w:abstractNum w:abstractNumId="366">
    <w:nsid w:val="51D141CC"/>
    <w:multiLevelType w:val="hybridMultilevel"/>
    <w:lvl w:ilvl="0">
      <w:lvlJc w:val="left"/>
      <w:lvlText w:val="(%1)"/>
      <w:numFmt w:val="lowerLetter"/>
      <w:start w:val="1"/>
    </w:lvl>
  </w:abstractNum>
  <w:abstractNum w:abstractNumId="367">
    <w:nsid w:val="12F9357A"/>
    <w:multiLevelType w:val="hybridMultilevel"/>
    <w:lvl w:ilvl="0">
      <w:lvlJc w:val="left"/>
      <w:lvlText w:val="•"/>
      <w:numFmt w:val="bullet"/>
      <w:start w:val="1"/>
    </w:lvl>
  </w:abstractNum>
  <w:abstractNum w:abstractNumId="368">
    <w:nsid w:val="7672CF28"/>
    <w:multiLevelType w:val="hybridMultilevel"/>
    <w:lvl w:ilvl="0">
      <w:lvlJc w:val="left"/>
      <w:lvlText w:val="•"/>
      <w:numFmt w:val="bullet"/>
      <w:start w:val="1"/>
    </w:lvl>
  </w:abstractNum>
  <w:abstractNum w:abstractNumId="369">
    <w:nsid w:val="567D2763"/>
    <w:multiLevelType w:val="hybridMultilevel"/>
    <w:lvl w:ilvl="0">
      <w:lvlJc w:val="left"/>
      <w:lvlText w:val="%1."/>
      <w:numFmt w:val="decimal"/>
      <w:start w:val="13"/>
    </w:lvl>
  </w:abstractNum>
  <w:abstractNum w:abstractNumId="370">
    <w:nsid w:val="6F5DE2EF"/>
    <w:multiLevelType w:val="hybridMultilevel"/>
    <w:lvl w:ilvl="0">
      <w:lvlJc w:val="left"/>
      <w:lvlText w:val="(%1)"/>
      <w:numFmt w:val="lowerLetter"/>
      <w:start w:val="1"/>
    </w:lvl>
  </w:abstractNum>
  <w:abstractNum w:abstractNumId="371">
    <w:nsid w:val="23502A61"/>
    <w:multiLevelType w:val="hybridMultilevel"/>
    <w:lvl w:ilvl="0">
      <w:lvlJc w:val="left"/>
      <w:lvlText w:val="%1."/>
      <w:numFmt w:val="decimal"/>
      <w:start w:val="14"/>
    </w:lvl>
  </w:abstractNum>
  <w:abstractNum w:abstractNumId="372">
    <w:nsid w:val="461BC834"/>
    <w:multiLevelType w:val="hybridMultilevel"/>
    <w:lvl w:ilvl="0">
      <w:lvlJc w:val="left"/>
      <w:lvlText w:val="(%1)"/>
      <w:numFmt w:val="lowerRoman"/>
      <w:start w:val="1"/>
    </w:lvl>
  </w:abstractNum>
  <w:abstractNum w:abstractNumId="373">
    <w:nsid w:val="13DDA79D"/>
    <w:multiLevelType w:val="hybridMultilevel"/>
    <w:lvl w:ilvl="0">
      <w:lvlJc w:val="left"/>
      <w:lvlText w:val="%1."/>
      <w:numFmt w:val="decimal"/>
      <w:start w:val="15"/>
    </w:lvl>
  </w:abstractNum>
  <w:abstractNum w:abstractNumId="374">
    <w:nsid w:val="6A104566"/>
    <w:multiLevelType w:val="hybridMultilevel"/>
    <w:lvl w:ilvl="0">
      <w:lvlJc w:val="left"/>
      <w:lvlText w:val="%1."/>
      <w:numFmt w:val="decimal"/>
      <w:start w:val="1"/>
    </w:lvl>
  </w:abstractNum>
  <w:abstractNum w:abstractNumId="375">
    <w:nsid w:val="1C8A8ACF"/>
    <w:multiLevelType w:val="hybridMultilevel"/>
    <w:lvl w:ilvl="0">
      <w:lvlJc w:val="left"/>
      <w:lvlText w:val="%1."/>
      <w:numFmt w:val="decimal"/>
      <w:start w:val="4"/>
    </w:lvl>
    <w:lvl w:ilvl="1">
      <w:lvlJc w:val="left"/>
      <w:lvlText w:val="(%2)"/>
      <w:numFmt w:val="lowerRoman"/>
      <w:start w:val="1"/>
    </w:lvl>
  </w:abstractNum>
  <w:abstractNum w:abstractNumId="376">
    <w:nsid w:val="E73DFE0"/>
    <w:multiLevelType w:val="hybridMultilevel"/>
    <w:lvl w:ilvl="0">
      <w:lvlJc w:val="left"/>
      <w:lvlText w:val="%1."/>
      <w:numFmt w:val="decimal"/>
      <w:start w:val="1"/>
    </w:lvl>
  </w:abstractNum>
  <w:abstractNum w:abstractNumId="377">
    <w:nsid w:val="39F174C7"/>
    <w:multiLevelType w:val="hybridMultilevel"/>
    <w:lvl w:ilvl="0">
      <w:lvlJc w:val="left"/>
      <w:lvlText w:val="%1."/>
      <w:numFmt w:val="decimal"/>
      <w:start w:val="1"/>
    </w:lvl>
    <w:lvl w:ilvl="1">
      <w:lvlJc w:val="left"/>
      <w:lvlText w:val="(%2)"/>
      <w:numFmt w:val="lowerLetter"/>
      <w:start w:val="1"/>
    </w:lvl>
  </w:abstractNum>
  <w:abstractNum w:abstractNumId="378">
    <w:nsid w:val="6E2E2D53"/>
    <w:multiLevelType w:val="hybridMultilevel"/>
    <w:lvl w:ilvl="0">
      <w:lvlJc w:val="left"/>
      <w:lvlText w:val="%1."/>
      <w:numFmt w:val="decimal"/>
      <w:start w:val="2"/>
    </w:lvl>
    <w:lvl w:ilvl="1">
      <w:lvlJc w:val="left"/>
      <w:lvlText w:val="(%2)"/>
      <w:numFmt w:val="lowerLetter"/>
      <w:start w:val="1"/>
    </w:lvl>
  </w:abstractNum>
  <w:abstractNum w:abstractNumId="379">
    <w:nsid w:val="45DC439D"/>
    <w:multiLevelType w:val="hybridMultilevel"/>
    <w:lvl w:ilvl="0">
      <w:lvlJc w:val="left"/>
      <w:lvlText w:val="(%1)"/>
      <w:numFmt w:val="lowerLetter"/>
      <w:start w:val="1"/>
    </w:lvl>
  </w:abstractNum>
  <w:abstractNum w:abstractNumId="380">
    <w:nsid w:val="3B0A3B87"/>
    <w:multiLevelType w:val="hybridMultilevel"/>
    <w:lvl w:ilvl="0">
      <w:lvlJc w:val="left"/>
      <w:lvlText w:val="(%1)"/>
      <w:numFmt w:val="lowerLetter"/>
      <w:start w:val="1"/>
    </w:lvl>
  </w:abstractNum>
  <w:abstractNum w:abstractNumId="381">
    <w:nsid w:val="6DAC7768"/>
    <w:multiLevelType w:val="hybridMultilevel"/>
    <w:lvl w:ilvl="0">
      <w:lvlJc w:val="left"/>
      <w:lvlText w:val="(%1)"/>
      <w:numFmt w:val="lowerLetter"/>
      <w:start w:val="6"/>
    </w:lvl>
  </w:abstractNum>
  <w:abstractNum w:abstractNumId="382">
    <w:nsid w:val="746AE2E4"/>
    <w:multiLevelType w:val="hybridMultilevel"/>
    <w:lvl w:ilvl="0">
      <w:lvlJc w:val="left"/>
      <w:lvlText w:val="(%1)"/>
      <w:numFmt w:val="lowerLetter"/>
      <w:start w:val="25"/>
    </w:lvl>
  </w:abstractNum>
  <w:abstractNum w:abstractNumId="383">
    <w:nsid w:val="317E611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4">
    <w:nsid w:val="7A61D7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5">
    <w:nsid w:val="164A1482"/>
    <w:multiLevelType w:val="hybridMultilevel"/>
    <w:lvl w:ilvl="0">
      <w:lvlJc w:val="left"/>
      <w:lvlText w:val="(%1)"/>
      <w:numFmt w:val="lowerLetter"/>
      <w:start w:val="1"/>
    </w:lvl>
  </w:abstractNum>
  <w:abstractNum w:abstractNumId="386">
    <w:nsid w:val="1806546B"/>
    <w:multiLevelType w:val="hybridMultilevel"/>
    <w:lvl w:ilvl="0">
      <w:lvlJc w:val="left"/>
      <w:lvlText w:val="(%1)"/>
      <w:numFmt w:val="lowerLetter"/>
      <w:start w:val="3"/>
    </w:lvl>
  </w:abstractNum>
  <w:abstractNum w:abstractNumId="387">
    <w:nsid w:val="1FA33267"/>
    <w:multiLevelType w:val="hybridMultilevel"/>
    <w:lvl w:ilvl="0">
      <w:lvlJc w:val="left"/>
      <w:lvlText w:val="(%1)"/>
      <w:numFmt w:val="lowerLetter"/>
      <w:start w:val="1"/>
    </w:lvl>
  </w:abstractNum>
  <w:abstractNum w:abstractNumId="388">
    <w:nsid w:val="2E19DD00"/>
    <w:multiLevelType w:val="hybridMultilevel"/>
    <w:lvl w:ilvl="0">
      <w:lvlJc w:val="left"/>
      <w:lvlText w:val="(%1)"/>
      <w:numFmt w:val="lowerLetter"/>
      <w:start w:val="2"/>
    </w:lvl>
  </w:abstractNum>
  <w:abstractNum w:abstractNumId="389">
    <w:nsid w:val="756D30D0"/>
    <w:multiLevelType w:val="hybridMultilevel"/>
    <w:lvl w:ilvl="0">
      <w:lvlJc w:val="left"/>
      <w:lvlText w:val="(%1)"/>
      <w:numFmt w:val="lowerLetter"/>
      <w:start w:val="1"/>
    </w:lvl>
  </w:abstractNum>
  <w:abstractNum w:abstractNumId="390">
    <w:nsid w:val="505E5E01"/>
    <w:multiLevelType w:val="hybridMultilevel"/>
    <w:lvl w:ilvl="0">
      <w:lvlJc w:val="left"/>
      <w:lvlText w:val="(%1)"/>
      <w:numFmt w:val="lowerLetter"/>
      <w:start w:val="3"/>
    </w:lvl>
  </w:abstractNum>
  <w:abstractNum w:abstractNumId="391">
    <w:nsid w:val="2EFDBCE6"/>
    <w:multiLevelType w:val="hybridMultilevel"/>
    <w:lvl w:ilvl="0">
      <w:lvlJc w:val="left"/>
      <w:lvlText w:val="(%1)"/>
      <w:numFmt w:val="lowerLetter"/>
      <w:start w:val="1"/>
    </w:lvl>
    <w:lvl w:ilvl="1">
      <w:lvlJc w:val="left"/>
      <w:lvlText w:val="(%2)"/>
      <w:numFmt w:val="lowerLetter"/>
      <w:start w:val="9"/>
    </w:lvl>
  </w:abstractNum>
  <w:abstractNum w:abstractNumId="392">
    <w:nsid w:val="4EC868C4"/>
    <w:multiLevelType w:val="hybridMultilevel"/>
    <w:lvl w:ilvl="0">
      <w:lvlJc w:val="left"/>
      <w:lvlText w:val="(%1)"/>
      <w:numFmt w:val="lowerRoman"/>
      <w:start w:val="2"/>
    </w:lvl>
  </w:abstractNum>
  <w:abstractNum w:abstractNumId="393">
    <w:nsid w:val="4239DC0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394">
    <w:nsid w:val="307C7DA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95">
    <w:nsid w:val="403C23E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96">
    <w:nsid w:val="58D7F9D7"/>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22"/>
    </w:lvl>
  </w:abstractNum>
  <w:abstractNum w:abstractNumId="397">
    <w:nsid w:val="24DBF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98">
    <w:nsid w:val="53355960"/>
    <w:multiLevelType w:val="hybridMultilevel"/>
    <w:lvl w:ilvl="0">
      <w:lvlJc w:val="left"/>
      <w:lvlText w:val="(%1)"/>
      <w:numFmt w:val="lowerRoman"/>
      <w:start w:val="2"/>
    </w:lvl>
  </w:abstractNum>
  <w:abstractNum w:abstractNumId="399">
    <w:nsid w:val="4F4AC8FF"/>
    <w:multiLevelType w:val="hybridMultilevel"/>
    <w:lvl w:ilvl="0">
      <w:lvlJc w:val="left"/>
      <w:lvlText w:val="%1"/>
      <w:numFmt w:val="lowerLetter"/>
      <w:start w:val="1"/>
    </w:lvl>
    <w:lvl w:ilvl="1">
      <w:lvlJc w:val="left"/>
      <w:lvlText w:val="(%2)"/>
      <w:numFmt w:val="lowerLetter"/>
      <w:start w:val="1"/>
    </w:lvl>
  </w:abstractNum>
  <w:abstractNum w:abstractNumId="400">
    <w:nsid w:val="58CAE6D9"/>
    <w:multiLevelType w:val="hybridMultilevel"/>
    <w:lvl w:ilvl="0">
      <w:lvlJc w:val="left"/>
      <w:lvlText w:val="(%1)"/>
      <w:numFmt w:val="lowerLetter"/>
      <w:start w:val="35"/>
    </w:lvl>
    <w:lvl w:ilvl="1">
      <w:lvlJc w:val="left"/>
      <w:lvlText w:val="%2"/>
      <w:numFmt w:val="lowerLetter"/>
      <w:start w:val="1"/>
    </w:lvl>
  </w:abstractNum>
  <w:abstractNum w:abstractNumId="401">
    <w:nsid w:val="42933C4F"/>
    <w:multiLevelType w:val="hybridMultilevel"/>
    <w:lvl w:ilvl="0">
      <w:lvlJc w:val="left"/>
      <w:lvlText w:val="(%1)"/>
      <w:numFmt w:val="lowerLetter"/>
      <w:start w:val="1"/>
    </w:lvl>
  </w:abstractNum>
  <w:abstractNum w:abstractNumId="402">
    <w:nsid w:val="729AF360"/>
    <w:multiLevelType w:val="hybridMultilevel"/>
    <w:lvl w:ilvl="0">
      <w:lvlJc w:val="left"/>
      <w:lvlText w:val="(%1)"/>
      <w:numFmt w:val="lowerLetter"/>
      <w:start w:val="1"/>
    </w:lvl>
  </w:abstractNum>
  <w:abstractNum w:abstractNumId="403">
    <w:nsid w:val="1EE6AF0D"/>
    <w:multiLevelType w:val="hybridMultilevel"/>
    <w:lvl w:ilvl="0">
      <w:lvlJc w:val="left"/>
      <w:lvlText w:val="(%1)"/>
      <w:numFmt w:val="lowerLetter"/>
      <w:start w:val="2"/>
    </w:lvl>
    <w:lvl w:ilvl="1">
      <w:lvlJc w:val="left"/>
      <w:lvlText w:val="(%2)"/>
      <w:numFmt w:val="lowerRoman"/>
      <w:start w:val="1"/>
    </w:lvl>
  </w:abstractNum>
  <w:abstractNum w:abstractNumId="404">
    <w:nsid w:val="5670E3ED"/>
    <w:multiLevelType w:val="hybridMultilevel"/>
    <w:lvl w:ilvl="0">
      <w:lvlJc w:val="left"/>
      <w:lvlText w:val="%1"/>
      <w:numFmt w:val="lowerLetter"/>
      <w:start w:val="1"/>
    </w:lvl>
    <w:lvl w:ilvl="1">
      <w:lvlJc w:val="left"/>
      <w:lvlText w:val="(%2)"/>
      <w:numFmt w:val="lowerLetter"/>
      <w:start w:val="3"/>
    </w:lvl>
  </w:abstractNum>
  <w:abstractNum w:abstractNumId="405">
    <w:nsid w:val="5CAB38C6"/>
    <w:multiLevelType w:val="hybridMultilevel"/>
    <w:lvl w:ilvl="0">
      <w:lvlJc w:val="left"/>
      <w:lvlText w:val="(%1)"/>
      <w:numFmt w:val="lowerLetter"/>
      <w:start w:val="35"/>
    </w:lvl>
    <w:lvl w:ilvl="1">
      <w:lvlJc w:val="left"/>
      <w:lvlText w:val="(%2)"/>
      <w:numFmt w:val="lowerLetter"/>
      <w:start w:val="4"/>
    </w:lvl>
  </w:abstractNum>
  <w:abstractNum w:abstractNumId="406">
    <w:nsid w:val="3B7139DD"/>
    <w:multiLevelType w:val="hybridMultilevel"/>
    <w:lvl w:ilvl="0">
      <w:lvlJc w:val="left"/>
      <w:lvlText w:val="(%1)"/>
      <w:numFmt w:val="lowerLetter"/>
      <w:start w:val="1"/>
    </w:lvl>
  </w:abstractNum>
  <w:abstractNum w:abstractNumId="407">
    <w:nsid w:val="64E4C3CD"/>
    <w:multiLevelType w:val="hybridMultilevel"/>
    <w:lvl w:ilvl="0">
      <w:lvlJc w:val="left"/>
      <w:lvlText w:val="(%1)"/>
      <w:numFmt w:val="lowerLetter"/>
      <w:start w:val="2"/>
    </w:lvl>
  </w:abstractNum>
  <w:abstractNum w:abstractNumId="408">
    <w:nsid w:val="169CAD8D"/>
    <w:multiLevelType w:val="hybridMultilevel"/>
    <w:lvl w:ilvl="0">
      <w:lvlJc w:val="left"/>
      <w:lvlText w:val="(%1)"/>
      <w:numFmt w:val="lowerLetter"/>
      <w:start w:val="5"/>
    </w:lvl>
  </w:abstractNum>
  <w:abstractNum w:abstractNumId="409">
    <w:nsid w:val="299F6730"/>
    <w:multiLevelType w:val="hybridMultilevel"/>
    <w:lvl w:ilvl="0">
      <w:lvlJc w:val="left"/>
      <w:lvlText w:val="(%1)"/>
      <w:numFmt w:val="lowerLetter"/>
      <w:start w:val="1"/>
    </w:lvl>
  </w:abstractNum>
  <w:abstractNum w:abstractNumId="410">
    <w:nsid w:val="2AC1076A"/>
    <w:multiLevelType w:val="hybridMultilevel"/>
    <w:lvl w:ilvl="0">
      <w:lvlJc w:val="left"/>
      <w:lvlText w:val="%1"/>
      <w:numFmt w:val="decimal"/>
      <w:start w:val="1"/>
    </w:lvl>
    <w:lvl w:ilvl="1">
      <w:lvlJc w:val="left"/>
      <w:lvlText w:val="(%2)"/>
      <w:numFmt w:val="lowerLetter"/>
      <w:start w:val="2"/>
    </w:lvl>
  </w:abstractNum>
  <w:abstractNum w:abstractNumId="411">
    <w:nsid w:val="51A6E915"/>
    <w:multiLevelType w:val="hybridMultilevel"/>
    <w:lvl w:ilvl="0">
      <w:lvlJc w:val="left"/>
      <w:lvlText w:val="(%1)"/>
      <w:numFmt w:val="decimal"/>
      <w:start w:val="4"/>
    </w:lvl>
    <w:lvl w:ilvl="1">
      <w:lvlJc w:val="left"/>
      <w:lvlText w:val="%2"/>
      <w:numFmt w:val="lowerLetter"/>
      <w:start w:val="1"/>
    </w:lvl>
  </w:abstractNum>
  <w:abstractNum w:abstractNumId="412">
    <w:nsid w:val="174BDE99"/>
    <w:multiLevelType w:val="hybridMultilevel"/>
    <w:lvl w:ilvl="0">
      <w:lvlJc w:val="left"/>
      <w:lvlText w:val="(%1)"/>
      <w:numFmt w:val="lowerLetter"/>
      <w:start w:val="3"/>
    </w:lvl>
  </w:abstractNum>
  <w:abstractNum w:abstractNumId="413">
    <w:nsid w:val="1F2BEA4E"/>
    <w:multiLevelType w:val="hybridMultilevel"/>
    <w:lvl w:ilvl="0">
      <w:lvlJc w:val="left"/>
      <w:lvlText w:val="(%1)"/>
      <w:numFmt w:val="lowerLetter"/>
      <w:start w:val="1"/>
    </w:lvl>
  </w:abstractNum>
  <w:abstractNum w:abstractNumId="414">
    <w:nsid w:val="3254A32"/>
    <w:multiLevelType w:val="hybridMultilevel"/>
    <w:lvl w:ilvl="0">
      <w:lvlJc w:val="left"/>
      <w:lvlText w:val="(%1)"/>
      <w:numFmt w:val="lowerLetter"/>
      <w:start w:val="4"/>
    </w:lvl>
  </w:abstractNum>
  <w:abstractNum w:abstractNumId="415">
    <w:nsid w:val="11ADB5F4"/>
    <w:multiLevelType w:val="hybridMultilevel"/>
    <w:lvl w:ilvl="0">
      <w:lvlJc w:val="left"/>
      <w:lvlText w:val="(%1)"/>
      <w:numFmt w:val="lowerLetter"/>
      <w:start w:val="1"/>
    </w:lvl>
    <w:lvl w:ilvl="1">
      <w:lvlJc w:val="left"/>
      <w:lvlText w:val="(%2)"/>
      <w:numFmt w:val="lowerRoman"/>
      <w:start w:val="1"/>
    </w:lvl>
  </w:abstractNum>
  <w:abstractNum w:abstractNumId="416">
    <w:nsid w:val="3575FED1"/>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417">
    <w:nsid w:val="1B2B9E9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18">
    <w:nsid w:val="3150E85C"/>
    <w:multiLevelType w:val="hybridMultilevel"/>
    <w:lvl w:ilvl="0">
      <w:lvlJc w:val="left"/>
      <w:lvlText w:val="(%1)"/>
      <w:numFmt w:val="decimal"/>
      <w:start w:val="60"/>
    </w:lvl>
  </w:abstractNum>
  <w:abstractNum w:abstractNumId="419">
    <w:nsid w:val="638FDBD1"/>
    <w:multiLevelType w:val="hybridMultilevel"/>
    <w:lvl w:ilvl="0">
      <w:lvlJc w:val="left"/>
      <w:lvlText w:val="(%1)"/>
      <w:numFmt w:val="lowerLetter"/>
      <w:start w:val="1"/>
    </w:lvl>
    <w:lvl w:ilvl="1">
      <w:lvlJc w:val="left"/>
      <w:lvlText w:val="(%2)"/>
      <w:numFmt w:val="lowerLetter"/>
      <w:start w:val="9"/>
    </w:lvl>
  </w:abstractNum>
  <w:abstractNum w:abstractNumId="420">
    <w:nsid w:val="1098CF6E"/>
    <w:multiLevelType w:val="hybridMultilevel"/>
    <w:lvl w:ilvl="0">
      <w:lvlJc w:val="left"/>
      <w:lvlText w:val="(%1)"/>
      <w:numFmt w:val="lowerRoman"/>
      <w:start w:val="2"/>
    </w:lvl>
  </w:abstractNum>
  <w:abstractNum w:abstractNumId="421">
    <w:nsid w:val="1AF465D"/>
    <w:multiLevelType w:val="hybridMultilevel"/>
    <w:lvl w:ilvl="0">
      <w:lvlJc w:val="left"/>
      <w:lvlText w:val="(%1)"/>
      <w:numFmt w:val="lowerRoman"/>
      <w:start w:val="7"/>
    </w:lvl>
  </w:abstractNum>
  <w:abstractNum w:abstractNumId="422">
    <w:nsid w:val="128D98B7"/>
    <w:multiLevelType w:val="hybridMultilevel"/>
    <w:lvl w:ilvl="0">
      <w:lvlJc w:val="left"/>
      <w:lvlText w:val="(%1)"/>
      <w:numFmt w:val="lowerLetter"/>
      <w:start w:val="1"/>
    </w:lvl>
  </w:abstractNum>
  <w:abstractNum w:abstractNumId="423">
    <w:nsid w:val="5F613832"/>
    <w:multiLevelType w:val="hybridMultilevel"/>
    <w:lvl w:ilvl="0">
      <w:lvlJc w:val="left"/>
      <w:lvlText w:val="[***]"/>
      <w:numFmt w:val="bullet"/>
      <w:start w:val="1"/>
    </w:lvl>
    <w:lvl w:ilvl="1">
      <w:lvlJc w:val="left"/>
      <w:lvlText w:val="(%2)"/>
      <w:numFmt w:val="lowerLetter"/>
      <w:start w:val="2"/>
    </w:lvl>
  </w:abstractNum>
  <w:abstractNum w:abstractNumId="424">
    <w:nsid w:val="43E92260"/>
    <w:multiLevelType w:val="hybridMultilevel"/>
    <w:lvl w:ilvl="0">
      <w:lvlJc w:val="left"/>
      <w:lvlText w:val="[***]"/>
      <w:numFmt w:val="bullet"/>
      <w:start w:val="1"/>
    </w:lvl>
    <w:lvl w:ilvl="1">
      <w:lvlJc w:val="left"/>
      <w:lvlText w:val="(%2)"/>
      <w:numFmt w:val="lowerLetter"/>
      <w:start w:val="4"/>
    </w:lvl>
  </w:abstractNum>
  <w:abstractNum w:abstractNumId="425">
    <w:nsid w:val="430A1662"/>
    <w:multiLevelType w:val="hybridMultilevel"/>
    <w:lvl w:ilvl="0">
      <w:lvlJc w:val="left"/>
      <w:lvlText w:val="(%1)"/>
      <w:numFmt w:val="lowerLetter"/>
      <w:start w:val="1"/>
    </w:lvl>
  </w:abstractNum>
  <w:abstractNum w:abstractNumId="426">
    <w:nsid w:val="1F9D5C18"/>
    <w:multiLevelType w:val="hybridMultilevel"/>
    <w:lvl w:ilvl="0">
      <w:lvlJc w:val="left"/>
      <w:lvlText w:val="(%1)"/>
      <w:numFmt w:val="lowerLetter"/>
      <w:start w:val="2"/>
    </w:lvl>
  </w:abstractNum>
  <w:abstractNum w:abstractNumId="427">
    <w:nsid w:val="1CC11C37"/>
    <w:multiLevelType w:val="hybridMultilevel"/>
    <w:lvl w:ilvl="0">
      <w:lvlJc w:val="left"/>
      <w:lvlText w:val="(%1)"/>
      <w:numFmt w:val="lowerLetter"/>
      <w:start w:val="1"/>
    </w:lvl>
  </w:abstractNum>
  <w:abstractNum w:abstractNumId="428">
    <w:nsid w:val="4557D5D8"/>
    <w:multiLevelType w:val="hybridMultilevel"/>
    <w:lvl w:ilvl="0">
      <w:lvlJc w:val="left"/>
      <w:lvlText w:val="(%1)"/>
      <w:numFmt w:val="lowerLetter"/>
      <w:start w:val="3"/>
    </w:lvl>
  </w:abstractNum>
  <w:abstractNum w:abstractNumId="429">
    <w:nsid w:val="72D2B579"/>
    <w:multiLevelType w:val="hybridMultilevel"/>
    <w:lvl w:ilvl="0">
      <w:lvlJc w:val="left"/>
      <w:lvlText w:val="(%1)"/>
      <w:numFmt w:val="lowerLetter"/>
      <w:start w:val="2"/>
    </w:lvl>
  </w:abstractNum>
  <w:abstractNum w:abstractNumId="430">
    <w:nsid w:val="6C0BE536"/>
    <w:multiLevelType w:val="hybridMultilevel"/>
    <w:lvl w:ilvl="0">
      <w:lvlJc w:val="left"/>
      <w:lvlText w:val="(%1)"/>
      <w:numFmt w:val="lowerLetter"/>
      <w:start w:val="2"/>
    </w:lvl>
  </w:abstractNum>
  <w:abstractNum w:abstractNumId="431">
    <w:nsid w:val="1E22BCB2"/>
    <w:multiLevelType w:val="hybridMultilevel"/>
    <w:lvl w:ilvl="0">
      <w:lvlJc w:val="left"/>
      <w:lvlText w:val="(%1)"/>
      <w:numFmt w:val="lowerLetter"/>
      <w:start w:val="1"/>
    </w:lvl>
  </w:abstractNum>
  <w:abstractNum w:abstractNumId="432">
    <w:nsid w:val="3565F1C8"/>
    <w:multiLevelType w:val="hybridMultilevel"/>
    <w:lvl w:ilvl="0">
      <w:lvlJc w:val="left"/>
      <w:lvlText w:val="(%1)"/>
      <w:numFmt w:val="lowerLetter"/>
      <w:start w:val="4"/>
    </w:lvl>
  </w:abstractNum>
  <w:abstractNum w:abstractNumId="433">
    <w:nsid w:val="5EA6D896"/>
    <w:multiLevelType w:val="hybridMultilevel"/>
    <w:lvl w:ilvl="0">
      <w:lvlJc w:val="left"/>
      <w:lvlText w:val="(%1)"/>
      <w:numFmt w:val="lowerLetter"/>
      <w:start w:val="1"/>
    </w:lvl>
    <w:lvl w:ilvl="1">
      <w:lvlJc w:val="left"/>
      <w:lvlText w:val="(%2)"/>
      <w:numFmt w:val="lowerRoman"/>
      <w:start w:val="1"/>
    </w:lvl>
  </w:abstractNum>
  <w:abstractNum w:abstractNumId="434">
    <w:nsid w:val="3D096BBF"/>
    <w:multiLevelType w:val="hybridMultilevel"/>
    <w:lvl w:ilvl="0">
      <w:lvlJc w:val="left"/>
      <w:lvlText w:val="(%1)"/>
      <w:numFmt w:val="lowerRoman"/>
      <w:start w:val="3"/>
    </w:lvl>
  </w:abstractNum>
  <w:abstractNum w:abstractNumId="435">
    <w:nsid w:val="BD6D5B5"/>
    <w:multiLevelType w:val="hybridMultilevel"/>
    <w:lvl w:ilvl="0">
      <w:lvlJc w:val="left"/>
      <w:lvlText w:val="(%1)"/>
      <w:numFmt w:val="lowerLetter"/>
      <w:start w:val="1"/>
    </w:lvl>
  </w:abstractNum>
  <w:abstractNum w:abstractNumId="436">
    <w:nsid w:val="3B52115C"/>
    <w:multiLevelType w:val="hybridMultilevel"/>
    <w:lvl w:ilvl="0">
      <w:lvlJc w:val="left"/>
      <w:lvlText w:val="(%1)"/>
      <w:numFmt w:val="lowerRoman"/>
      <w:start w:val="1"/>
    </w:lvl>
  </w:abstractNum>
  <w:abstractNum w:abstractNumId="437">
    <w:nsid w:val="787AA59C"/>
    <w:multiLevelType w:val="hybridMultilevel"/>
    <w:lvl w:ilvl="0">
      <w:lvlJc w:val="left"/>
      <w:lvlText w:val="(%1)"/>
      <w:numFmt w:val="lowerLetter"/>
      <w:start w:val="3"/>
    </w:lvl>
  </w:abstractNum>
  <w:abstractNum w:abstractNumId="438">
    <w:nsid w:val="70BB9983"/>
    <w:multiLevelType w:val="hybridMultilevel"/>
    <w:lvl w:ilvl="0">
      <w:lvlJc w:val="left"/>
      <w:lvlText w:val="§§"/>
      <w:numFmt w:val="bullet"/>
      <w:start w:val="1"/>
    </w:lvl>
  </w:abstractNum>
  <w:abstractNum w:abstractNumId="439">
    <w:nsid w:val="51EEBEEA"/>
    <w:multiLevelType w:val="hybridMultilevel"/>
    <w:lvl w:ilvl="0">
      <w:lvlJc w:val="left"/>
      <w:lvlText w:val="(%1)"/>
      <w:numFmt w:val="lowerLetter"/>
      <w:start w:val="1"/>
    </w:lvl>
  </w:abstractNum>
  <w:abstractNum w:abstractNumId="440">
    <w:nsid w:val="221A0CCD"/>
    <w:multiLevelType w:val="hybridMultilevel"/>
    <w:lvl w:ilvl="0">
      <w:lvlJc w:val="left"/>
      <w:lvlText w:val="(%1)"/>
      <w:numFmt w:val="lowerLetter"/>
      <w:start w:val="2"/>
    </w:lvl>
  </w:abstractNum>
  <w:abstractNum w:abstractNumId="441">
    <w:nsid w:val="1B7CA0ED"/>
    <w:multiLevelType w:val="hybridMultilevel"/>
    <w:lvl w:ilvl="0">
      <w:lvlJc w:val="left"/>
      <w:lvlText w:val="(%1)"/>
      <w:numFmt w:val="lowerLetter"/>
      <w:start w:val="9"/>
    </w:lvl>
  </w:abstractNum>
  <w:abstractNum w:abstractNumId="442">
    <w:nsid w:val="2395A7FF"/>
    <w:multiLevelType w:val="hybridMultilevel"/>
    <w:lvl w:ilvl="0">
      <w:lvlJc w:val="left"/>
      <w:lvlText w:val="(%1)"/>
      <w:numFmt w:val="lowerLetter"/>
      <w:start w:val="1"/>
    </w:lvl>
  </w:abstractNum>
  <w:abstractNum w:abstractNumId="443">
    <w:nsid w:val="3965EB66"/>
    <w:multiLevelType w:val="hybridMultilevel"/>
    <w:lvl w:ilvl="0">
      <w:lvlJc w:val="left"/>
      <w:lvlText w:val="[***]"/>
      <w:numFmt w:val="bullet"/>
      <w:start w:val="1"/>
    </w:lvl>
  </w:abstractNum>
  <w:abstractNum w:abstractNumId="444">
    <w:nsid w:val="3AA88B3C"/>
    <w:multiLevelType w:val="hybridMultilevel"/>
    <w:lvl w:ilvl="0">
      <w:lvlJc w:val="left"/>
      <w:lvlText w:val="(%1)"/>
      <w:numFmt w:val="lowerLetter"/>
      <w:start w:val="1"/>
    </w:lvl>
  </w:abstractNum>
  <w:abstractNum w:abstractNumId="445">
    <w:nsid w:val="26BAF231"/>
    <w:multiLevelType w:val="hybridMultilevel"/>
    <w:lvl w:ilvl="0">
      <w:lvlJc w:val="left"/>
      <w:lvlText w:val="(%1)"/>
      <w:numFmt w:val="lowerRoman"/>
      <w:start w:val="3"/>
    </w:lvl>
  </w:abstractNum>
  <w:abstractNum w:abstractNumId="446">
    <w:nsid w:val="4B13A15A"/>
    <w:multiLevelType w:val="hybridMultilevel"/>
    <w:lvl w:ilvl="0">
      <w:lvlJc w:val="left"/>
      <w:lvlText w:val="(%1)"/>
      <w:numFmt w:val="lowerLetter"/>
      <w:start w:val="1"/>
    </w:lvl>
  </w:abstractNum>
  <w:abstractNum w:abstractNumId="447">
    <w:nsid w:val="701E8A0D"/>
    <w:multiLevelType w:val="hybridMultilevel"/>
    <w:lvl w:ilvl="0">
      <w:lvlJc w:val="left"/>
      <w:lvlText w:val="(%1)"/>
      <w:numFmt w:val="lowerLetter"/>
      <w:start w:val="3"/>
    </w:lvl>
  </w:abstractNum>
  <w:abstractNum w:abstractNumId="448">
    <w:nsid w:val="41E690CF"/>
    <w:multiLevelType w:val="hybridMultilevel"/>
    <w:lvl w:ilvl="0">
      <w:lvlJc w:val="left"/>
      <w:lvlText w:val="(%1)"/>
      <w:numFmt w:val="lowerLetter"/>
      <w:start w:val="5"/>
    </w:lvl>
    <w:lvl w:ilvl="1">
      <w:lvlJc w:val="left"/>
      <w:lvlText w:val="(%2)"/>
      <w:numFmt w:val="lowerRoman"/>
      <w:start w:val="1"/>
    </w:lvl>
  </w:abstractNum>
  <w:abstractNum w:abstractNumId="449">
    <w:nsid w:val="7C6489B6"/>
    <w:multiLevelType w:val="hybridMultilevel"/>
    <w:lvl w:ilvl="0">
      <w:lvlJc w:val="left"/>
      <w:lvlText w:val="(%1)"/>
      <w:numFmt w:val="lowerLetter"/>
      <w:start w:val="1"/>
    </w:lvl>
  </w:abstractNum>
  <w:abstractNum w:abstractNumId="450">
    <w:nsid w:val="53AE65DE"/>
    <w:multiLevelType w:val="hybridMultilevel"/>
    <w:lvl w:ilvl="0">
      <w:lvlJc w:val="left"/>
      <w:lvlText w:val="(%1)"/>
      <w:numFmt w:val="lowerLetter"/>
      <w:start w:val="2"/>
    </w:lvl>
  </w:abstractNum>
  <w:abstractNum w:abstractNumId="451">
    <w:nsid w:val="527F603D"/>
    <w:multiLevelType w:val="hybridMultilevel"/>
    <w:lvl w:ilvl="0">
      <w:lvlJc w:val="left"/>
      <w:lvlText w:val="%1"/>
      <w:numFmt w:val="lowerLetter"/>
      <w:start w:val="1"/>
    </w:lvl>
    <w:lvl w:ilvl="1">
      <w:lvlJc w:val="left"/>
      <w:lvlText w:val="(%2)"/>
      <w:numFmt w:val="lowerLetter"/>
      <w:start w:val="1"/>
    </w:lvl>
  </w:abstractNum>
  <w:abstractNum w:abstractNumId="452">
    <w:nsid w:val="7E13D013"/>
    <w:multiLevelType w:val="hybridMultilevel"/>
    <w:lvl w:ilvl="0">
      <w:lvlJc w:val="left"/>
      <w:lvlText w:val="(%1)"/>
      <w:numFmt w:val="lowerLetter"/>
      <w:start w:val="9"/>
    </w:lvl>
    <w:lvl w:ilvl="1">
      <w:lvlJc w:val="left"/>
      <w:lvlText w:val="%2"/>
      <w:numFmt w:val="lowerLetter"/>
      <w:start w:val="1"/>
    </w:lvl>
  </w:abstractNum>
  <w:abstractNum w:abstractNumId="453">
    <w:nsid w:val="663BFE95"/>
    <w:multiLevelType w:val="hybridMultilevel"/>
    <w:lvl w:ilvl="0">
      <w:lvlJc w:val="left"/>
      <w:lvlText w:val="%1"/>
      <w:numFmt w:val="lowerLetter"/>
      <w:start w:val="1"/>
    </w:lvl>
    <w:lvl w:ilvl="1">
      <w:lvlJc w:val="left"/>
      <w:lvlText w:val="(%2)"/>
      <w:numFmt w:val="lowerLetter"/>
      <w:start w:val="2"/>
    </w:lvl>
  </w:abstractNum>
  <w:abstractNum w:abstractNumId="454">
    <w:nsid w:val="31E0986F"/>
    <w:multiLevelType w:val="hybridMultilevel"/>
    <w:lvl w:ilvl="0">
      <w:lvlJc w:val="left"/>
      <w:lvlText w:val="(%1)"/>
      <w:numFmt w:val="lowerLetter"/>
      <w:start w:val="35"/>
    </w:lvl>
    <w:lvl w:ilvl="1">
      <w:lvlJc w:val="left"/>
      <w:lvlText w:val="%2"/>
      <w:numFmt w:val="lowerLetter"/>
      <w:start w:val="1"/>
    </w:lvl>
  </w:abstractNum>
  <w:abstractNum w:abstractNumId="455">
    <w:nsid w:val="41FCF274"/>
    <w:multiLevelType w:val="hybridMultilevel"/>
    <w:lvl w:ilvl="0">
      <w:lvlJc w:val="left"/>
      <w:lvlText w:val="(%1)"/>
      <w:numFmt w:val="lowerLetter"/>
      <w:start w:val="1"/>
    </w:lvl>
  </w:abstractNum>
  <w:abstractNum w:abstractNumId="456">
    <w:nsid w:val="294614F7"/>
    <w:multiLevelType w:val="hybridMultilevel"/>
    <w:lvl w:ilvl="0">
      <w:lvlJc w:val="left"/>
      <w:lvlText w:val="(%1)"/>
      <w:numFmt w:val="lowerLetter"/>
      <w:start w:val="1"/>
    </w:lvl>
  </w:abstractNum>
  <w:abstractNum w:abstractNumId="457">
    <w:nsid w:val="517DF487"/>
    <w:multiLevelType w:val="hybridMultilevel"/>
    <w:lvl w:ilvl="0">
      <w:lvlJc w:val="left"/>
      <w:lvlText w:val="(%1)"/>
      <w:numFmt w:val="lowerLetter"/>
      <w:start w:val="4"/>
    </w:lvl>
  </w:abstractNum>
  <w:abstractNum w:abstractNumId="458">
    <w:nsid w:val="5EBE0EAB"/>
    <w:multiLevelType w:val="hybridMultilevel"/>
    <w:lvl w:ilvl="0">
      <w:lvlJc w:val="left"/>
      <w:lvlText w:val="(%1)"/>
      <w:numFmt w:val="lowerLetter"/>
      <w:start w:val="1"/>
    </w:lvl>
  </w:abstractNum>
  <w:abstractNum w:abstractNumId="459">
    <w:nsid w:val="6E9DEAD0"/>
    <w:multiLevelType w:val="hybridMultilevel"/>
    <w:lvl w:ilvl="0">
      <w:lvlJc w:val="left"/>
      <w:lvlText w:val="(%1)"/>
      <w:numFmt w:val="lowerLetter"/>
      <w:start w:val="3"/>
    </w:lvl>
  </w:abstractNum>
  <w:abstractNum w:abstractNumId="460">
    <w:nsid w:val="4450AA00"/>
    <w:multiLevelType w:val="hybridMultilevel"/>
    <w:lvl w:ilvl="0">
      <w:lvlJc w:val="left"/>
      <w:lvlText w:val="(%1)"/>
      <w:numFmt w:val="lowerLetter"/>
      <w:start w:val="1"/>
    </w:lvl>
  </w:abstractNum>
  <w:abstractNum w:abstractNumId="461">
    <w:nsid w:val="4AC9F3E2"/>
    <w:multiLevelType w:val="hybridMultilevel"/>
    <w:lvl w:ilvl="0">
      <w:lvlJc w:val="left"/>
      <w:lvlText w:val="(%1)"/>
      <w:numFmt w:val="lowerLetter"/>
      <w:start w:val="1"/>
    </w:lvl>
  </w:abstractNum>
  <w:abstractNum w:abstractNumId="462">
    <w:nsid w:val="CC0A782"/>
    <w:multiLevelType w:val="hybridMultilevel"/>
    <w:lvl w:ilvl="0">
      <w:lvlJc w:val="left"/>
      <w:lvlText w:val="(%1)"/>
      <w:numFmt w:val="lowerLetter"/>
      <w:start w:val="2"/>
    </w:lvl>
  </w:abstractNum>
  <w:abstractNum w:abstractNumId="463">
    <w:nsid w:val="79B69BC9"/>
    <w:multiLevelType w:val="hybridMultilevel"/>
    <w:lvl w:ilvl="0">
      <w:lvlJc w:val="left"/>
      <w:lvlText w:val="(%1)"/>
      <w:numFmt w:val="lowerLetter"/>
      <w:start w:val="1"/>
    </w:lvl>
    <w:lvl w:ilvl="1">
      <w:lvlJc w:val="left"/>
      <w:lvlText w:val="(%2)"/>
      <w:numFmt w:val="lowerRoman"/>
      <w:start w:val="1"/>
    </w:lvl>
  </w:abstractNum>
  <w:abstractNum w:abstractNumId="464">
    <w:nsid w:val="2970CC78"/>
    <w:multiLevelType w:val="hybridMultilevel"/>
    <w:lvl w:ilvl="0">
      <w:lvlJc w:val="left"/>
      <w:lvlText w:val="(%1)"/>
      <w:numFmt w:val="lowerLetter"/>
      <w:start w:val="2"/>
    </w:lvl>
    <w:lvl w:ilvl="1">
      <w:lvlJc w:val="left"/>
      <w:lvlText w:val="(%2)"/>
      <w:numFmt w:val="lowerRoman"/>
      <w:start w:val="1"/>
    </w:lvl>
  </w:abstractNum>
  <w:abstractNum w:abstractNumId="465">
    <w:nsid w:val="49CA1341"/>
    <w:multiLevelType w:val="hybridMultilevel"/>
    <w:lvl w:ilvl="0">
      <w:lvlJc w:val="left"/>
      <w:lvlText w:val="(%1)"/>
      <w:numFmt w:val="lowerRoman"/>
      <w:start w:val="5"/>
    </w:lvl>
  </w:abstractNum>
  <w:abstractNum w:abstractNumId="466">
    <w:nsid w:val="58D717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67">
    <w:nsid w:val="64C2DDD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468">
    <w:nsid w:val="4244B8D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469">
    <w:nsid w:val="76490B01"/>
    <w:multiLevelType w:val="hybridMultilevel"/>
    <w:lvl w:ilvl="0">
      <w:lvlJc w:val="left"/>
      <w:lvlText w:val="(%1)"/>
      <w:numFmt w:val="lowerRoman"/>
      <w:start w:val="3"/>
    </w:lvl>
  </w:abstractNum>
  <w:abstractNum w:abstractNumId="470">
    <w:nsid w:val="36B19CBF"/>
    <w:multiLevelType w:val="hybridMultilevel"/>
    <w:lvl w:ilvl="0">
      <w:lvlJc w:val="left"/>
      <w:lvlText w:val="(%1)"/>
      <w:numFmt w:val="lowerLetter"/>
      <w:start w:val="1"/>
    </w:lvl>
  </w:abstractNum>
  <w:abstractNum w:abstractNumId="471">
    <w:nsid w:val="645EC5AB"/>
    <w:multiLevelType w:val="hybridMultilevel"/>
    <w:lvl w:ilvl="0">
      <w:lvlJc w:val="left"/>
      <w:lvlText w:val="(%1)"/>
      <w:numFmt w:val="lowerLetter"/>
      <w:start w:val="1"/>
    </w:lvl>
  </w:abstractNum>
  <w:abstractNum w:abstractNumId="472">
    <w:nsid w:val="11C5ABEF"/>
    <w:multiLevelType w:val="hybridMultilevel"/>
    <w:lvl w:ilvl="0">
      <w:lvlJc w:val="left"/>
      <w:lvlText w:val="(%1)"/>
      <w:numFmt w:val="lowerLetter"/>
      <w:start w:val="3"/>
    </w:lvl>
  </w:abstractNum>
  <w:abstractNum w:abstractNumId="473">
    <w:nsid w:val="5A4744BE"/>
    <w:multiLevelType w:val="hybridMultilevel"/>
    <w:lvl w:ilvl="0">
      <w:lvlJc w:val="left"/>
      <w:lvlText w:val="(%1)"/>
      <w:numFmt w:val="lowerLetter"/>
      <w:start w:val="1"/>
    </w:lvl>
  </w:abstractNum>
  <w:abstractNum w:abstractNumId="474">
    <w:nsid w:val="1DC4B111"/>
    <w:multiLevelType w:val="hybridMultilevel"/>
    <w:lvl w:ilvl="0">
      <w:lvlJc w:val="left"/>
      <w:lvlText w:val="(%1)"/>
      <w:numFmt w:val="lowerLetter"/>
      <w:start w:val="1"/>
    </w:lvl>
  </w:abstractNum>
  <w:abstractNum w:abstractNumId="475">
    <w:nsid w:val="4C6E372B"/>
    <w:multiLevelType w:val="hybridMultilevel"/>
    <w:lvl w:ilvl="0">
      <w:lvlJc w:val="left"/>
      <w:lvlText w:val="(%1)"/>
      <w:numFmt w:val="lowerLetter"/>
      <w:start w:val="3"/>
    </w:lvl>
  </w:abstractNum>
  <w:abstractNum w:abstractNumId="476">
    <w:nsid w:val="10236EF"/>
    <w:multiLevelType w:val="hybridMultilevel"/>
    <w:lvl w:ilvl="0">
      <w:lvlJc w:val="left"/>
      <w:lvlText w:val="(%1)"/>
      <w:numFmt w:val="lowerLetter"/>
      <w:start w:val="1"/>
    </w:lvl>
  </w:abstractNum>
  <w:abstractNum w:abstractNumId="477">
    <w:nsid w:val="68D8526B"/>
    <w:multiLevelType w:val="hybridMultilevel"/>
    <w:lvl w:ilvl="0">
      <w:lvlJc w:val="left"/>
      <w:lvlText w:val="(%1)"/>
      <w:numFmt w:val="lowerLetter"/>
      <w:start w:val="3"/>
    </w:lvl>
  </w:abstractNum>
  <w:abstractNum w:abstractNumId="478">
    <w:nsid w:val="3C8CC138"/>
    <w:multiLevelType w:val="hybridMultilevel"/>
    <w:lvl w:ilvl="0">
      <w:lvlJc w:val="left"/>
      <w:lvlText w:val="(%1)"/>
      <w:numFmt w:val="lowerLetter"/>
      <w:start w:val="1"/>
    </w:lvl>
  </w:abstractNum>
  <w:abstractNum w:abstractNumId="479">
    <w:nsid w:val="42E8C7BE"/>
    <w:multiLevelType w:val="hybridMultilevel"/>
    <w:lvl w:ilvl="0">
      <w:lvlJc w:val="left"/>
      <w:lvlText w:val="(%1)"/>
      <w:numFmt w:val="lowerLetter"/>
      <w:start w:val="1"/>
    </w:lvl>
  </w:abstractNum>
  <w:abstractNum w:abstractNumId="480">
    <w:nsid w:val="653CDC22"/>
    <w:multiLevelType w:val="hybridMultilevel"/>
    <w:lvl w:ilvl="0">
      <w:lvlJc w:val="left"/>
      <w:lvlText w:val="(%1)"/>
      <w:numFmt w:val="lowerLetter"/>
      <w:start w:val="1"/>
    </w:lvl>
  </w:abstractNum>
  <w:abstractNum w:abstractNumId="481">
    <w:nsid w:val="103B2716"/>
    <w:multiLevelType w:val="hybridMultilevel"/>
    <w:lvl w:ilvl="0">
      <w:lvlJc w:val="left"/>
      <w:lvlText w:val="(%1)"/>
      <w:numFmt w:val="lowerLetter"/>
      <w:start w:val="1"/>
    </w:lvl>
    <w:lvl w:ilvl="1">
      <w:lvlJc w:val="left"/>
      <w:lvlText w:val="(%2)"/>
      <w:numFmt w:val="lowerLetter"/>
      <w:start w:val="9"/>
    </w:lvl>
  </w:abstractNum>
  <w:abstractNum w:abstractNumId="482">
    <w:nsid w:val="156827FB"/>
    <w:multiLevelType w:val="hybridMultilevel"/>
    <w:lvl w:ilvl="0">
      <w:lvlJc w:val="left"/>
      <w:lvlText w:val="(%1)"/>
      <w:numFmt w:val="lowerLetter"/>
      <w:start w:val="3"/>
    </w:lvl>
  </w:abstractNum>
  <w:abstractNum w:abstractNumId="483">
    <w:nsid w:val="6350AC35"/>
    <w:multiLevelType w:val="hybridMultilevel"/>
    <w:lvl w:ilvl="0">
      <w:lvlJc w:val="left"/>
      <w:lvlText w:val="%1"/>
      <w:numFmt w:val="lowerLetter"/>
      <w:start w:val="1"/>
    </w:lvl>
    <w:lvl w:ilvl="1">
      <w:lvlJc w:val="left"/>
      <w:lvlText w:val="(%2)"/>
      <w:numFmt w:val="lowerRoman"/>
      <w:start w:val="2"/>
    </w:lvl>
  </w:abstractNum>
  <w:abstractNum w:abstractNumId="484">
    <w:nsid w:val="767725AB"/>
    <w:multiLevelType w:val="hybridMultilevel"/>
    <w:lvl w:ilvl="0">
      <w:lvlJc w:val="left"/>
      <w:lvlText w:val="(%1)"/>
      <w:numFmt w:val="lowerLetter"/>
      <w:start w:val="2"/>
    </w:lvl>
    <w:lvl w:ilvl="1">
      <w:lvlJc w:val="left"/>
      <w:lvlText w:val="%2"/>
      <w:numFmt w:val="lowerRoman"/>
      <w:start w:val="1"/>
    </w:lvl>
  </w:abstractNum>
  <w:abstractNum w:abstractNumId="485">
    <w:nsid w:val="4748C06A"/>
    <w:multiLevelType w:val="hybridMultilevel"/>
    <w:lvl w:ilvl="0">
      <w:lvlJc w:val="left"/>
      <w:lvlText w:val="%1"/>
      <w:numFmt w:val="lowerLetter"/>
      <w:start w:val="1"/>
    </w:lvl>
    <w:lvl w:ilvl="1">
      <w:lvlJc w:val="left"/>
      <w:lvlText w:val="(%2)"/>
      <w:numFmt w:val="lowerLetter"/>
      <w:start w:val="9"/>
    </w:lvl>
  </w:abstractNum>
  <w:abstractNum w:abstractNumId="486">
    <w:nsid w:val="254D9EA9"/>
    <w:multiLevelType w:val="hybridMultilevel"/>
    <w:lvl w:ilvl="0">
      <w:lvlJc w:val="left"/>
      <w:lvlText w:val="(%1)"/>
      <w:numFmt w:val="lowerLetter"/>
      <w:start w:val="3"/>
    </w:lvl>
    <w:lvl w:ilvl="1">
      <w:lvlJc w:val="left"/>
      <w:lvlText w:val="%2"/>
      <w:numFmt w:val="lowerLetter"/>
      <w:start w:val="1"/>
    </w:lvl>
  </w:abstractNum>
  <w:abstractNum w:abstractNumId="487">
    <w:nsid w:val="1FBD3AA3"/>
    <w:multiLevelType w:val="hybridMultilevel"/>
    <w:lvl w:ilvl="0">
      <w:lvlJc w:val="left"/>
      <w:lvlText w:val="(%1)"/>
      <w:numFmt w:val="lowerLetter"/>
      <w:start w:val="1"/>
    </w:lvl>
  </w:abstractNum>
  <w:abstractNum w:abstractNumId="488">
    <w:nsid w:val="18C6B4F2"/>
    <w:multiLevelType w:val="hybridMultilevel"/>
    <w:lvl w:ilvl="0">
      <w:lvlJc w:val="left"/>
      <w:lvlText w:val="(%1)"/>
      <w:numFmt w:val="lowerLetter"/>
      <w:start w:val="2"/>
    </w:lvl>
  </w:abstractNum>
  <w:abstractNum w:abstractNumId="489">
    <w:nsid w:val="40BAD55"/>
    <w:multiLevelType w:val="hybridMultilevel"/>
    <w:lvl w:ilvl="0">
      <w:lvlJc w:val="left"/>
      <w:lvlText w:val="(%1)"/>
      <w:numFmt w:val="lowerLetter"/>
      <w:start w:val="3"/>
    </w:lvl>
  </w:abstractNum>
  <w:abstractNum w:abstractNumId="490">
    <w:nsid w:val="E5B2573"/>
    <w:multiLevelType w:val="hybridMultilevel"/>
    <w:lvl w:ilvl="0">
      <w:lvlJc w:val="left"/>
      <w:lvlText w:val="(%1)"/>
      <w:numFmt w:val="lowerLetter"/>
      <w:start w:val="1"/>
    </w:lvl>
  </w:abstractNum>
  <w:abstractNum w:abstractNumId="491">
    <w:nsid w:val="5D175EF2"/>
    <w:multiLevelType w:val="hybridMultilevel"/>
    <w:lvl w:ilvl="0">
      <w:lvlJc w:val="left"/>
      <w:lvlText w:val="(%1)"/>
      <w:numFmt w:val="lowerLetter"/>
      <w:start w:val="2"/>
    </w:lvl>
  </w:abstractNum>
  <w:abstractNum w:abstractNumId="492">
    <w:nsid w:val="4ED5A13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93">
    <w:nsid w:val="1B1BCCF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94">
    <w:nsid w:val="56CDFABB"/>
    <w:multiLevelType w:val="hybridMultilevel"/>
    <w:lvl w:ilvl="0">
      <w:lvlJc w:val="left"/>
      <w:lvlText w:val="(%1)"/>
      <w:numFmt w:val="lowerLetter"/>
      <w:start w:val="1"/>
    </w:lvl>
    <w:lvl w:ilvl="1">
      <w:lvlJc w:val="left"/>
      <w:lvlText w:val="(%2)"/>
      <w:numFmt w:val="lowerRoman"/>
      <w:start w:val="1"/>
    </w:lvl>
  </w:abstractNum>
  <w:abstractNum w:abstractNumId="495">
    <w:nsid w:val="78466DAF"/>
    <w:multiLevelType w:val="hybridMultilevel"/>
    <w:lvl w:ilvl="0">
      <w:lvlJc w:val="left"/>
      <w:lvlText w:val="(%1)"/>
      <w:numFmt w:val="lowerLetter"/>
      <w:start w:val="2"/>
    </w:lvl>
  </w:abstractNum>
  <w:abstractNum w:abstractNumId="496">
    <w:nsid w:val="64E5E036"/>
    <w:multiLevelType w:val="hybridMultilevel"/>
    <w:lvl w:ilvl="0">
      <w:lvlJc w:val="left"/>
      <w:lvlText w:val="(%1)"/>
      <w:numFmt w:val="lowerLetter"/>
      <w:start w:val="5"/>
    </w:lvl>
  </w:abstractNum>
  <w:abstractNum w:abstractNumId="497">
    <w:nsid w:val="5C5B6C3A"/>
    <w:multiLevelType w:val="hybridMultilevel"/>
    <w:lvl w:ilvl="0">
      <w:lvlJc w:val="left"/>
      <w:lvlText w:val="(%1)"/>
      <w:numFmt w:val="lowerLetter"/>
      <w:start w:val="1"/>
    </w:lvl>
  </w:abstractNum>
  <w:abstractNum w:abstractNumId="498">
    <w:nsid w:val="5D094B84"/>
    <w:multiLevelType w:val="hybridMultilevel"/>
    <w:lvl w:ilvl="0">
      <w:lvlJc w:val="left"/>
      <w:lvlText w:val="%1"/>
      <w:numFmt w:val="lowerRoman"/>
      <w:start w:val="1"/>
    </w:lvl>
    <w:lvl w:ilvl="1">
      <w:lvlJc w:val="left"/>
      <w:lvlText w:val="(%2)"/>
      <w:numFmt w:val="lowerLetter"/>
      <w:start w:val="3"/>
    </w:lvl>
  </w:abstractNum>
  <w:abstractNum w:abstractNumId="499">
    <w:nsid w:val="272A9914"/>
    <w:multiLevelType w:val="hybridMultilevel"/>
    <w:lvl w:ilvl="0">
      <w:lvlJc w:val="left"/>
      <w:lvlText w:val="(%1)"/>
      <w:numFmt w:val="lowerRoman"/>
      <w:start w:val="4"/>
    </w:lvl>
    <w:lvl w:ilvl="1">
      <w:lvlJc w:val="left"/>
      <w:lvlText w:val="(%2)"/>
      <w:numFmt w:val="lowerLetter"/>
      <w:start w:val="4"/>
    </w:lvl>
  </w:abstractNum>
  <w:abstractNum w:abstractNumId="500">
    <w:nsid w:val="52A4773B"/>
    <w:multiLevelType w:val="hybridMultilevel"/>
    <w:lvl w:ilvl="0">
      <w:lvlJc w:val="left"/>
      <w:lvlText w:val="(%1)"/>
      <w:numFmt w:val="lowerRoman"/>
      <w:start w:val="1"/>
    </w:lvl>
    <w:lvl w:ilvl="1">
      <w:lvlJc w:val="left"/>
      <w:lvlText w:val="(%2)"/>
      <w:numFmt w:val="lowerLetter"/>
      <w:start w:val="6"/>
    </w:lvl>
  </w:abstractNum>
  <w:abstractNum w:abstractNumId="501">
    <w:nsid w:val="13BAE843"/>
    <w:multiLevelType w:val="hybridMultilevel"/>
    <w:lvl w:ilvl="0">
      <w:lvlJc w:val="left"/>
      <w:lvlText w:val="(%1)"/>
      <w:numFmt w:val="lowerLetter"/>
      <w:start w:val="1"/>
    </w:lvl>
    <w:lvl w:ilvl="1">
      <w:lvlJc w:val="left"/>
      <w:lvlText w:val="(%2)"/>
      <w:numFmt w:val="lowerLetter"/>
      <w:start w:val="9"/>
    </w:lvl>
  </w:abstractNum>
  <w:abstractNum w:abstractNumId="502">
    <w:nsid w:val="B895EBF"/>
    <w:multiLevelType w:val="hybridMultilevel"/>
    <w:lvl w:ilvl="0">
      <w:lvlJc w:val="left"/>
      <w:lvlText w:val="(%1)"/>
      <w:numFmt w:val="lowerRoman"/>
      <w:start w:val="2"/>
    </w:lvl>
  </w:abstractNum>
  <w:abstractNum w:abstractNumId="503">
    <w:nsid w:val="646A232A"/>
    <w:multiLevelType w:val="hybridMultilevel"/>
    <w:lvl w:ilvl="0">
      <w:lvlJc w:val="left"/>
      <w:lvlText w:val="(%1)"/>
      <w:numFmt w:val="lowerLetter"/>
      <w:start w:val="1"/>
    </w:lvl>
  </w:abstractNum>
  <w:abstractNum w:abstractNumId="504">
    <w:nsid w:val="6E022D01"/>
    <w:multiLevelType w:val="hybridMultilevel"/>
    <w:lvl w:ilvl="0">
      <w:lvlJc w:val="left"/>
      <w:lvlText w:val="(%1)"/>
      <w:numFmt w:val="lowerLetter"/>
      <w:start w:val="3"/>
    </w:lvl>
  </w:abstractNum>
  <w:abstractNum w:abstractNumId="505">
    <w:nsid w:val="294E0FD0"/>
    <w:multiLevelType w:val="hybridMultilevel"/>
    <w:lvl w:ilvl="0">
      <w:lvlJc w:val="left"/>
      <w:lvlText w:val="(%1)"/>
      <w:numFmt w:val="lowerLetter"/>
      <w:start w:val="1"/>
    </w:lvl>
  </w:abstractNum>
  <w:abstractNum w:abstractNumId="506">
    <w:nsid w:val="30D85A55"/>
    <w:multiLevelType w:val="hybridMultilevel"/>
    <w:lvl w:ilvl="0">
      <w:lvlJc w:val="left"/>
      <w:lvlText w:val="(%1)"/>
      <w:numFmt w:val="lowerLetter"/>
      <w:start w:val="2"/>
    </w:lvl>
  </w:abstractNum>
  <w:abstractNum w:abstractNumId="507">
    <w:nsid w:val="6F0463F1"/>
    <w:multiLevelType w:val="hybridMultilevel"/>
    <w:lvl w:ilvl="0">
      <w:lvlJc w:val="left"/>
      <w:lvlText w:val="(%1)"/>
      <w:numFmt w:val="lowerLetter"/>
      <w:start w:val="1"/>
    </w:lvl>
  </w:abstractNum>
  <w:abstractNum w:abstractNumId="508">
    <w:nsid w:val="1226623C"/>
    <w:multiLevelType w:val="hybridMultilevel"/>
    <w:lvl w:ilvl="0">
      <w:lvlJc w:val="left"/>
      <w:lvlText w:val="(%1)"/>
      <w:numFmt w:val="lowerLetter"/>
      <w:start w:val="1"/>
    </w:lvl>
  </w:abstractNum>
  <w:abstractNum w:abstractNumId="509">
    <w:nsid w:val="6D651B8D"/>
    <w:multiLevelType w:val="hybridMultilevel"/>
    <w:lvl w:ilvl="0">
      <w:lvlJc w:val="left"/>
      <w:lvlText w:val="(%1)"/>
      <w:numFmt w:val="lowerLetter"/>
      <w:start w:val="1"/>
    </w:lvl>
  </w:abstractNum>
  <w:abstractNum w:abstractNumId="510">
    <w:nsid w:val="31ED2BAF"/>
    <w:multiLevelType w:val="hybridMultilevel"/>
    <w:lvl w:ilvl="0">
      <w:lvlJc w:val="left"/>
      <w:lvlText w:val="[***]"/>
      <w:numFmt w:val="bullet"/>
      <w:start w:val="1"/>
    </w:lvl>
    <w:lvl w:ilvl="1">
      <w:lvlJc w:val="left"/>
      <w:lvlText w:val="(%2)"/>
      <w:numFmt w:val="lowerLetter"/>
      <w:start w:val="2"/>
    </w:lvl>
  </w:abstractNum>
  <w:abstractNum w:abstractNumId="511">
    <w:nsid w:val="77633E5E"/>
    <w:multiLevelType w:val="hybridMultilevel"/>
    <w:lvl w:ilvl="0">
      <w:lvlJc w:val="left"/>
      <w:lvlText w:val="[***]"/>
      <w:numFmt w:val="bullet"/>
      <w:start w:val="1"/>
    </w:lvl>
    <w:lvl w:ilvl="1">
      <w:lvlJc w:val="left"/>
      <w:lvlText w:val="(%2)"/>
      <w:numFmt w:val="lowerLetter"/>
      <w:start w:val="5"/>
    </w:lvl>
  </w:abstractNum>
  <w:abstractNum w:abstractNumId="512">
    <w:nsid w:val="7DA042A3"/>
    <w:multiLevelType w:val="hybridMultilevel"/>
    <w:lvl w:ilvl="0">
      <w:lvlJc w:val="left"/>
      <w:lvlText w:val="(%1)"/>
      <w:numFmt w:val="lowerLetter"/>
      <w:start w:val="2"/>
    </w:lvl>
  </w:abstractNum>
  <w:abstractNum w:abstractNumId="513">
    <w:nsid w:val="475553AB"/>
    <w:multiLevelType w:val="hybridMultilevel"/>
    <w:lvl w:ilvl="0">
      <w:lvlJc w:val="left"/>
      <w:lvlText w:val="(%1)"/>
      <w:numFmt w:val="lowerLetter"/>
      <w:start w:val="6"/>
    </w:lvl>
  </w:abstractNum>
  <w:abstractNum w:abstractNumId="514">
    <w:nsid w:val="5AB3EA93"/>
    <w:multiLevelType w:val="hybridMultilevel"/>
    <w:lvl w:ilvl="0">
      <w:lvlJc w:val="left"/>
      <w:lvlText w:val="%1"/>
      <w:numFmt w:val="upperLetter"/>
      <w:start w:val="1"/>
    </w:lvl>
    <w:lvl w:ilvl="1">
      <w:lvlJc w:val="left"/>
      <w:lvlText w:val="(%2)"/>
      <w:numFmt w:val="lowerLetter"/>
      <w:start w:val="1"/>
    </w:lvl>
  </w:abstractNum>
  <w:abstractNum w:abstractNumId="515">
    <w:nsid w:val="7417684F"/>
    <w:multiLevelType w:val="hybridMultilevel"/>
    <w:lvl w:ilvl="0">
      <w:lvlJc w:val="left"/>
      <w:lvlText w:val="(%1)"/>
      <w:numFmt w:val="upperLetter"/>
      <w:start w:val="1"/>
    </w:lvl>
    <w:lvl w:ilvl="1">
      <w:lvlJc w:val="left"/>
      <w:lvlText w:val="%2"/>
      <w:numFmt w:val="lowerLetter"/>
      <w:start w:val="1"/>
    </w:lvl>
  </w:abstractNum>
  <w:abstractNum w:abstractNumId="516">
    <w:nsid w:val="E9E1415"/>
    <w:multiLevelType w:val="hybridMultilevel"/>
    <w:lvl w:ilvl="0">
      <w:lvlJc w:val="left"/>
      <w:lvlText w:val="(%1)"/>
      <w:numFmt w:val="decimal"/>
      <w:start w:val="2"/>
    </w:lvl>
    <w:lvl w:ilvl="1">
      <w:lvlJc w:val="left"/>
      <w:lvlText w:val="(%2)"/>
      <w:numFmt w:val="lowerLetter"/>
      <w:start w:val="2"/>
    </w:lvl>
  </w:abstractNum>
  <w:abstractNum w:abstractNumId="517">
    <w:nsid w:val="189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8">
    <w:nsid w:val="13D4A2F2"/>
    <w:multiLevelType w:val="hybridMultilevel"/>
    <w:lvl w:ilvl="0">
      <w:lvlJc w:val="left"/>
      <w:lvlText w:val="%1"/>
      <w:numFmt w:val="lowerLetter"/>
      <w:start w:val="1"/>
    </w:lvl>
    <w:lvl w:ilvl="1">
      <w:lvlJc w:val="left"/>
      <w:lvlText w:val="(%2)"/>
      <w:numFmt w:val="upperLetter"/>
      <w:start w:val="2"/>
    </w:lvl>
  </w:abstractNum>
  <w:abstractNum w:abstractNumId="519">
    <w:nsid w:val="2764C907"/>
    <w:multiLevelType w:val="hybridMultilevel"/>
    <w:lvl w:ilvl="0">
      <w:lvlJc w:val="left"/>
      <w:lvlText w:val="(%1)"/>
      <w:numFmt w:val="lowerLetter"/>
      <w:start w:val="5"/>
    </w:lvl>
    <w:lvl w:ilvl="1">
      <w:lvlJc w:val="left"/>
      <w:lvlText w:val="%2"/>
      <w:numFmt w:val="upperLetter"/>
      <w:start w:val="1"/>
    </w:lvl>
  </w:abstractNum>
  <w:abstractNum w:abstractNumId="520">
    <w:nsid w:val="40D3692"/>
    <w:multiLevelType w:val="hybridMultilevel"/>
    <w:lvl w:ilvl="0">
      <w:lvlJc w:val="left"/>
      <w:lvlText w:val="(%1)"/>
      <w:numFmt w:val="upperLetter"/>
      <w:start w:val="1"/>
    </w:lvl>
  </w:abstractNum>
  <w:abstractNum w:abstractNumId="521">
    <w:nsid w:val="222FC86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522">
    <w:nsid w:val="47C27FA"/>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6"/>
    </w:lvl>
    <w:lvl w:ilvl="3">
      <w:lvlJc w:val="left"/>
      <w:lvlText w:val="%4"/>
      <w:numFmt w:val="upperLetter"/>
      <w:start w:val="1"/>
    </w:lvl>
  </w:abstractNum>
  <w:abstractNum w:abstractNumId="523">
    <w:nsid w:val="52E2D7C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524">
    <w:nsid w:val="3D4B955A"/>
    <w:multiLevelType w:val="hybridMultilevel"/>
    <w:lvl w:ilvl="0">
      <w:lvlJc w:val="left"/>
      <w:lvlText w:val="(%1)"/>
      <w:numFmt w:val="lowerLetter"/>
      <w:start w:val="1"/>
    </w:lvl>
    <w:lvl w:ilvl="1">
      <w:lvlJc w:val="left"/>
      <w:lvlText w:val="(%2)"/>
      <w:numFmt w:val="lowerRoman"/>
      <w:start w:val="1"/>
    </w:lvl>
  </w:abstractNum>
  <w:abstractNum w:abstractNumId="525">
    <w:nsid w:val="5B4A22B5"/>
    <w:multiLevelType w:val="hybridMultilevel"/>
    <w:lvl w:ilvl="0">
      <w:lvlJc w:val="left"/>
      <w:lvlText w:val="%1"/>
      <w:numFmt w:val="lowerLetter"/>
      <w:start w:val="1"/>
    </w:lvl>
    <w:lvl w:ilvl="1">
      <w:lvlJc w:val="left"/>
      <w:lvlText w:val="(%2)"/>
      <w:numFmt w:val="lowerRoman"/>
      <w:start w:val="5"/>
    </w:lvl>
  </w:abstractNum>
  <w:abstractNum w:abstractNumId="526">
    <w:nsid w:val="4B294578"/>
    <w:multiLevelType w:val="hybridMultilevel"/>
    <w:lvl w:ilvl="0">
      <w:lvlJc w:val="left"/>
      <w:lvlText w:val="(%1)"/>
      <w:numFmt w:val="lowerLetter"/>
      <w:start w:val="3"/>
    </w:lvl>
    <w:lvl w:ilvl="1">
      <w:lvlJc w:val="left"/>
      <w:lvlText w:val="%2"/>
      <w:numFmt w:val="lowerRoman"/>
      <w:start w:val="1"/>
    </w:lvl>
  </w:abstractNum>
  <w:abstractNum w:abstractNumId="527">
    <w:nsid w:val="22317590"/>
    <w:multiLevelType w:val="hybridMultilevel"/>
    <w:lvl w:ilvl="0">
      <w:lvlJc w:val="left"/>
      <w:lvlText w:val="(%1)"/>
      <w:numFmt w:val="lowerLetter"/>
      <w:start w:val="1"/>
    </w:lvl>
    <w:lvl w:ilvl="1">
      <w:lvlJc w:val="left"/>
      <w:lvlText w:val="(%2)"/>
      <w:numFmt w:val="lowerRoman"/>
      <w:start w:val="1"/>
    </w:lvl>
  </w:abstractNum>
  <w:abstractNum w:abstractNumId="528">
    <w:nsid w:val="37A58EEF"/>
    <w:multiLevelType w:val="hybridMultilevel"/>
    <w:lvl w:ilvl="0">
      <w:lvlJc w:val="left"/>
      <w:lvlText w:val="(%1)"/>
      <w:numFmt w:val="lowerLetter"/>
      <w:start w:val="2"/>
    </w:lvl>
    <w:lvl w:ilvl="1">
      <w:lvlJc w:val="left"/>
      <w:lvlText w:val="(%2)"/>
      <w:numFmt w:val="lowerRoman"/>
      <w:start w:val="1"/>
    </w:lvl>
  </w:abstractNum>
  <w:abstractNum w:abstractNumId="529">
    <w:nsid w:val="283290FD"/>
    <w:multiLevelType w:val="hybridMultilevel"/>
    <w:lvl w:ilvl="0">
      <w:lvlJc w:val="left"/>
      <w:lvlText w:val="%1."/>
      <w:numFmt w:val="decimal"/>
      <w:start w:val="1"/>
    </w:lvl>
  </w:abstractNum>
  <w:abstractNum w:abstractNumId="530">
    <w:nsid w:val="495C0EA5"/>
    <w:multiLevelType w:val="hybridMultilevel"/>
    <w:lvl w:ilvl="0">
      <w:lvlJc w:val="left"/>
      <w:lvlText w:val="%1."/>
      <w:numFmt w:val="decimal"/>
      <w:start w:val="2"/>
    </w:lvl>
  </w:abstractNum>
  <w:abstractNum w:abstractNumId="531">
    <w:nsid w:val="A4A062B"/>
    <w:multiLevelType w:val="hybridMultilevel"/>
    <w:lvl w:ilvl="0">
      <w:lvlJc w:val="left"/>
      <w:lvlText w:val="(%1)"/>
      <w:numFmt w:val="lowerLetter"/>
      <w:start w:val="1"/>
    </w:lvl>
  </w:abstractNum>
  <w:abstractNum w:abstractNumId="532">
    <w:nsid w:val="3BED7940"/>
    <w:multiLevelType w:val="hybridMultilevel"/>
    <w:lvl w:ilvl="0">
      <w:lvlJc w:val="left"/>
      <w:lvlText w:val="(%1)"/>
      <w:numFmt w:val="lowerLetter"/>
      <w:start w:val="2"/>
    </w:lvl>
  </w:abstractNum>
  <w:abstractNum w:abstractNumId="533">
    <w:nsid w:val="54E56D64"/>
    <w:multiLevelType w:val="hybridMultilevel"/>
    <w:lvl w:ilvl="0">
      <w:lvlJc w:val="left"/>
      <w:lvlText w:val="(%1)"/>
      <w:numFmt w:val="lowerRoman"/>
      <w:start w:val="1"/>
    </w:lvl>
  </w:abstractNum>
  <w:abstractNum w:abstractNumId="534">
    <w:nsid w:val="6EB42955"/>
    <w:multiLevelType w:val="hybridMultilevel"/>
    <w:lvl w:ilvl="0">
      <w:lvlJc w:val="left"/>
      <w:lvlText w:val="%1."/>
      <w:numFmt w:val="decimal"/>
      <w:start w:val="3"/>
    </w:lvl>
  </w:abstractNum>
  <w:abstractNum w:abstractNumId="535">
    <w:nsid w:val="29EFA642"/>
    <w:multiLevelType w:val="hybridMultilevel"/>
    <w:lvl w:ilvl="0">
      <w:lvlJc w:val="left"/>
      <w:lvlText w:val="(%1)"/>
      <w:numFmt w:val="lowerLetter"/>
      <w:start w:val="1"/>
    </w:lvl>
  </w:abstractNum>
  <w:abstractNum w:abstractNumId="536">
    <w:nsid w:val="7E337D3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37">
    <w:nsid w:val="1F8C83A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8">
    <w:nsid w:val="18F40A33"/>
    <w:multiLevelType w:val="hybridMultilevel"/>
    <w:lvl w:ilvl="0">
      <w:lvlJc w:val="left"/>
      <w:lvlText w:val="(%1)"/>
      <w:numFmt w:val="lowerLetter"/>
      <w:start w:val="2"/>
    </w:lvl>
    <w:lvl w:ilvl="1">
      <w:lvlJc w:val="left"/>
      <w:lvlText w:val="(%2)"/>
      <w:numFmt w:val="lowerRoman"/>
      <w:start w:val="1"/>
    </w:lvl>
  </w:abstractNum>
  <w:abstractNum w:abstractNumId="539">
    <w:nsid w:val="1059DF71"/>
    <w:multiLevelType w:val="hybridMultilevel"/>
    <w:lvl w:ilvl="0">
      <w:lvlJc w:val="left"/>
      <w:lvlText w:val="%1."/>
      <w:numFmt w:val="decimal"/>
      <w:start w:val="5"/>
    </w:lvl>
  </w:abstractNum>
  <w:abstractNum w:abstractNumId="540">
    <w:nsid w:val="CF19F38"/>
    <w:multiLevelType w:val="hybridMultilevel"/>
    <w:lvl w:ilvl="0">
      <w:lvlJc w:val="left"/>
      <w:lvlText w:val="%1."/>
      <w:numFmt w:val="decimal"/>
      <w:start w:val="7"/>
    </w:lvl>
  </w:abstractNum>
  <w:abstractNum w:abstractNumId="541">
    <w:nsid w:val="4AE135E2"/>
    <w:multiLevelType w:val="hybridMultilevel"/>
    <w:lvl w:ilvl="0">
      <w:lvlJc w:val="left"/>
      <w:lvlText w:val="%1"/>
      <w:numFmt w:val="lowerLetter"/>
      <w:start w:val="1"/>
    </w:lvl>
    <w:lvl w:ilvl="1">
      <w:lvlJc w:val="left"/>
      <w:lvlText w:val="(%2)"/>
      <w:numFmt w:val="lowerLetter"/>
      <w:start w:val="1"/>
    </w:lvl>
  </w:abstractNum>
  <w:abstractNum w:abstractNumId="542">
    <w:nsid w:val="7BD1DCF"/>
    <w:multiLevelType w:val="hybridMultilevel"/>
    <w:lvl w:ilvl="0">
      <w:lvlJc w:val="left"/>
      <w:lvlText w:val="(%1)"/>
      <w:numFmt w:val="lowerLetter"/>
      <w:start w:val="35"/>
    </w:lvl>
    <w:lvl w:ilvl="1">
      <w:lvlJc w:val="left"/>
      <w:lvlText w:val="(%2)"/>
      <w:numFmt w:val="lowerLetter"/>
      <w:start w:val="4"/>
    </w:lvl>
  </w:abstractNum>
  <w:abstractNum w:abstractNumId="543">
    <w:nsid w:val="A91E1DC"/>
    <w:multiLevelType w:val="hybridMultilevel"/>
    <w:lvl w:ilvl="0">
      <w:lvlJc w:val="left"/>
      <w:lvlText w:val="(%1)"/>
      <w:numFmt w:val="lowerRoman"/>
      <w:start w:val="1"/>
    </w:lvl>
  </w:abstractNum>
  <w:abstractNum w:abstractNumId="544">
    <w:nsid w:val="1236898D"/>
    <w:multiLevelType w:val="hybridMultilevel"/>
    <w:lvl w:ilvl="0">
      <w:lvlJc w:val="left"/>
      <w:lvlText w:val="%1."/>
      <w:numFmt w:val="decimal"/>
      <w:start w:val="8"/>
    </w:lvl>
  </w:abstractNum>
  <w:abstractNum w:abstractNumId="545">
    <w:nsid w:val="62710862"/>
    <w:multiLevelType w:val="hybridMultilevel"/>
    <w:lvl w:ilvl="0">
      <w:lvlJc w:val="left"/>
      <w:lvlText w:val="(%1)"/>
      <w:numFmt w:val="lowerLetter"/>
      <w:start w:val="2"/>
    </w:lvl>
    <w:lvl w:ilvl="1">
      <w:lvlJc w:val="left"/>
      <w:lvlText w:val="%2."/>
      <w:numFmt w:val="decimal"/>
      <w:start w:val="9"/>
    </w:lvl>
  </w:abstractNum>
  <w:abstractNum w:abstractNumId="546">
    <w:nsid w:val="7EA94A2B"/>
    <w:multiLevelType w:val="hybridMultilevel"/>
    <w:lvl w:ilvl="0">
      <w:lvlJc w:val="left"/>
      <w:lvlText w:val="(%1)"/>
      <w:numFmt w:val="lowerRoman"/>
      <w:start w:val="1"/>
    </w:lvl>
  </w:abstractNum>
  <w:abstractNum w:abstractNumId="547">
    <w:nsid w:val="20D49DA3"/>
    <w:multiLevelType w:val="hybridMultilevel"/>
    <w:lvl w:ilvl="0">
      <w:lvlJc w:val="left"/>
      <w:lvlText w:val="(%1)"/>
      <w:numFmt w:val="decimal"/>
      <w:start w:val="5"/>
    </w:lvl>
  </w:abstractNum>
  <w:abstractNum w:abstractNumId="548">
    <w:nsid w:val="6272919F"/>
    <w:multiLevelType w:val="hybridMultilevel"/>
    <w:lvl w:ilvl="0">
      <w:lvlJc w:val="left"/>
      <w:lvlText w:val="[***]"/>
      <w:numFmt w:val="bullet"/>
      <w:start w:val="1"/>
    </w:lvl>
  </w:abstractNum>
  <w:abstractNum w:abstractNumId="549">
    <w:nsid w:val="127DED1D"/>
    <w:multiLevelType w:val="hybridMultilevel"/>
    <w:lvl w:ilvl="0">
      <w:lvlJc w:val="left"/>
      <w:lvlText w:val="[***]"/>
      <w:numFmt w:val="bullet"/>
      <w:start w:val="1"/>
    </w:lvl>
  </w:abstractNum>
  <w:abstractNum w:abstractNumId="550">
    <w:nsid w:val="483966AA"/>
    <w:multiLevelType w:val="hybridMultilevel"/>
    <w:lvl w:ilvl="0">
      <w:lvlJc w:val="left"/>
      <w:lvlText w:val="[***]"/>
      <w:numFmt w:val="bullet"/>
      <w:start w:val="1"/>
    </w:lvl>
  </w:abstractNum>
  <w:abstractNum w:abstractNumId="551">
    <w:nsid w:val="667FC831"/>
    <w:multiLevelType w:val="hybridMultilevel"/>
    <w:lvl w:ilvl="0">
      <w:lvlJc w:val="left"/>
      <w:lvlText w:val="[***]"/>
      <w:numFmt w:val="bullet"/>
      <w:start w:val="1"/>
    </w:lvl>
  </w:abstractNum>
  <w:abstractNum w:abstractNumId="552">
    <w:nsid w:val="34ADB582"/>
    <w:multiLevelType w:val="hybridMultilevel"/>
    <w:lvl w:ilvl="0">
      <w:lvlJc w:val="left"/>
      <w:lvlText w:val="[***]"/>
      <w:numFmt w:val="bullet"/>
      <w:start w:val="1"/>
    </w:lvl>
  </w:abstractNum>
  <w:abstractNum w:abstractNumId="553">
    <w:nsid w:val="4CB58EA4"/>
    <w:multiLevelType w:val="hybridMultilevel"/>
    <w:lvl w:ilvl="0">
      <w:lvlJc w:val="left"/>
      <w:lvlText w:val="[***]"/>
      <w:numFmt w:val="bullet"/>
      <w:start w:val="1"/>
    </w:lvl>
  </w:abstractNum>
  <w:abstractNum w:abstractNumId="554">
    <w:nsid w:val="39629FFA"/>
    <w:multiLevelType w:val="hybridMultilevel"/>
    <w:lvl w:ilvl="0">
      <w:lvlJc w:val="left"/>
      <w:lvlText w:val="(%1)"/>
      <w:numFmt w:val="lowerLetter"/>
      <w:start w:val="1"/>
    </w:lvl>
  </w:abstractNum>
  <w:abstractNum w:abstractNumId="555">
    <w:nsid w:val="71F94ADC"/>
    <w:multiLevelType w:val="hybridMultilevel"/>
    <w:lvl w:ilvl="0">
      <w:lvlJc w:val="left"/>
      <w:lvlText w:val="(%1)"/>
      <w:numFmt w:val="lowerLetter"/>
      <w:start w:val="4"/>
    </w:lvl>
  </w:abstractNum>
  <w:abstractNum w:abstractNumId="556">
    <w:nsid w:val="27FFB15A"/>
    <w:multiLevelType w:val="hybridMultilevel"/>
    <w:lvl w:ilvl="0">
      <w:lvlJc w:val="left"/>
      <w:lvlText w:val="(%1)"/>
      <w:numFmt w:val="lowerLetter"/>
      <w:start w:val="1"/>
    </w:lvl>
  </w:abstractNum>
  <w:abstractNum w:abstractNumId="557">
    <w:nsid w:val="48BE573"/>
    <w:multiLevelType w:val="hybridMultilevel"/>
    <w:lvl w:ilvl="0">
      <w:lvlJc w:val="left"/>
      <w:lvlText w:val="(%1)"/>
      <w:numFmt w:val="decimal"/>
      <w:start w:val="1"/>
    </w:lvl>
  </w:abstractNum>
  <w:abstractNum w:abstractNumId="558">
    <w:nsid w:val="142AC06C"/>
    <w:multiLevelType w:val="hybridMultilevel"/>
    <w:lvl w:ilvl="0">
      <w:lvlJc w:val="left"/>
      <w:lvlText w:val="(%1)"/>
      <w:numFmt w:val="lowerLetter"/>
      <w:start w:val="1"/>
    </w:lvl>
  </w:abstractNum>
  <w:abstractNum w:abstractNumId="559">
    <w:nsid w:val="5FA54049"/>
    <w:multiLevelType w:val="hybridMultilevel"/>
    <w:lvl w:ilvl="0">
      <w:lvlJc w:val="left"/>
      <w:lvlText w:val="(%1)"/>
      <w:numFmt w:val="lowerLetter"/>
      <w:start w:val="2"/>
    </w:lvl>
  </w:abstractNum>
  <w:abstractNum w:abstractNumId="560">
    <w:nsid w:val="2CBE7670"/>
    <w:multiLevelType w:val="hybridMultilevel"/>
    <w:lvl w:ilvl="0">
      <w:lvlJc w:val="left"/>
      <w:lvlText w:val="(%1)"/>
      <w:numFmt w:val="lowerLetter"/>
      <w:start w:val="1"/>
    </w:lvl>
  </w:abstractNum>
  <w:abstractNum w:abstractNumId="561">
    <w:nsid w:val="5D86CF11"/>
    <w:multiLevelType w:val="hybridMultilevel"/>
    <w:lvl w:ilvl="0">
      <w:lvlJc w:val="left"/>
      <w:lvlText w:val="(%1)"/>
      <w:numFmt w:val="lowerLetter"/>
      <w:start w:val="1"/>
    </w:lvl>
  </w:abstractNum>
  <w:abstractNum w:abstractNumId="562">
    <w:nsid w:val="69EF4674"/>
    <w:multiLevelType w:val="hybridMultilevel"/>
    <w:lvl w:ilvl="0">
      <w:lvlJc w:val="left"/>
      <w:lvlText w:val="(%1)"/>
      <w:numFmt w:val="lowerLetter"/>
      <w:start w:val="1"/>
    </w:lvl>
  </w:abstractNum>
  <w:abstractNum w:abstractNumId="563">
    <w:nsid w:val="68ABEFB0"/>
    <w:multiLevelType w:val="hybridMultilevel"/>
    <w:lvl w:ilvl="0">
      <w:lvlJc w:val="left"/>
      <w:lvlText w:val="(%1)"/>
      <w:numFmt w:val="lowerLetter"/>
      <w:start w:val="1"/>
    </w:lvl>
  </w:abstractNum>
  <w:abstractNum w:abstractNumId="564">
    <w:nsid w:val="326C3C76"/>
    <w:multiLevelType w:val="hybridMultilevel"/>
    <w:lvl w:ilvl="0">
      <w:lvlJc w:val="left"/>
      <w:lvlText w:val="(%1)"/>
      <w:numFmt w:val="lowerLetter"/>
      <w:start w:val="1"/>
    </w:lvl>
  </w:abstractNum>
  <w:abstractNum w:abstractNumId="565">
    <w:nsid w:val="58A36FCA"/>
    <w:multiLevelType w:val="hybridMultilevel"/>
    <w:lvl w:ilvl="0">
      <w:lvlJc w:val="left"/>
      <w:lvlText w:val="(%1)"/>
      <w:numFmt w:val="lowerLetter"/>
      <w:start w:val="3"/>
    </w:lvl>
  </w:abstractNum>
  <w:abstractNum w:abstractNumId="566">
    <w:nsid w:val="129B95F2"/>
    <w:multiLevelType w:val="hybridMultilevel"/>
    <w:lvl w:ilvl="0">
      <w:lvlJc w:val="left"/>
      <w:lvlText w:val="(%1)"/>
      <w:numFmt w:val="lowerLetter"/>
      <w:start w:val="4"/>
    </w:lvl>
  </w:abstractNum>
  <w:abstractNum w:abstractNumId="567">
    <w:nsid w:val="309FB9AB"/>
    <w:multiLevelType w:val="hybridMultilevel"/>
    <w:lvl w:ilvl="0">
      <w:lvlJc w:val="left"/>
      <w:lvlText w:val="(%1)"/>
      <w:numFmt w:val="lowerRoman"/>
      <w:start w:val="1"/>
    </w:lvl>
  </w:abstractNum>
  <w:abstractNum w:abstractNumId="568">
    <w:nsid w:val="782FF375"/>
    <w:multiLevelType w:val="hybridMultilevel"/>
    <w:lvl w:ilvl="0">
      <w:lvlJc w:val="left"/>
      <w:lvlText w:val="(%1)"/>
      <w:numFmt w:val="lowerLetter"/>
      <w:start w:val="1"/>
    </w:lvl>
  </w:abstractNum>
  <w:abstractNum w:abstractNumId="569">
    <w:nsid w:val="2B8FA025"/>
    <w:multiLevelType w:val="hybridMultilevel"/>
    <w:lvl w:ilvl="0">
      <w:lvlJc w:val="left"/>
      <w:lvlText w:val="(%1)"/>
      <w:numFmt w:val="lowerLetter"/>
      <w:start w:val="1"/>
    </w:lvl>
  </w:abstractNum>
  <w:abstractNum w:abstractNumId="570">
    <w:nsid w:val="40F9991C"/>
    <w:multiLevelType w:val="hybridMultilevel"/>
    <w:lvl w:ilvl="0">
      <w:lvlJc w:val="left"/>
      <w:lvlText w:val="(%1)"/>
      <w:numFmt w:val="lowerLetter"/>
      <w:start w:val="5"/>
    </w:lvl>
  </w:abstractNum>
  <w:abstractNum w:abstractNumId="571">
    <w:nsid w:val="52192AD"/>
    <w:multiLevelType w:val="hybridMultilevel"/>
    <w:lvl w:ilvl="0">
      <w:lvlJc w:val="left"/>
      <w:lvlText w:val="(%1)"/>
      <w:numFmt w:val="lowerLetter"/>
      <w:start w:val="1"/>
    </w:lvl>
  </w:abstractNum>
  <w:abstractNum w:abstractNumId="572">
    <w:nsid w:val="7670D608"/>
    <w:multiLevelType w:val="hybridMultilevel"/>
    <w:lvl w:ilvl="0">
      <w:lvlJc w:val="left"/>
      <w:lvlText w:val="(%1)"/>
      <w:numFmt w:val="lowerLetter"/>
      <w:start w:val="2"/>
    </w:lvl>
  </w:abstractNum>
  <w:abstractNum w:abstractNumId="573">
    <w:nsid w:val="48B6B6EB"/>
    <w:multiLevelType w:val="hybridMultilevel"/>
    <w:lvl w:ilvl="0">
      <w:lvlJc w:val="left"/>
      <w:lvlText w:val="(%1)"/>
      <w:numFmt w:val="lowerLetter"/>
      <w:start w:val="4"/>
    </w:lvl>
  </w:abstractNum>
  <w:abstractNum w:abstractNumId="574">
    <w:nsid w:val="FB37489"/>
    <w:multiLevelType w:val="hybridMultilevel"/>
    <w:lvl w:ilvl="0">
      <w:lvlJc w:val="left"/>
      <w:lvlText w:val="(%1)"/>
      <w:numFmt w:val="lowerLetter"/>
      <w:start w:val="1"/>
    </w:lvl>
    <w:lvl w:ilvl="1">
      <w:lvlJc w:val="left"/>
      <w:lvlText w:val="(%2)"/>
      <w:numFmt w:val="lowerLetter"/>
      <w:start w:val="9"/>
    </w:lvl>
  </w:abstractNum>
  <w:abstractNum w:abstractNumId="575">
    <w:nsid w:val="8A75F95"/>
    <w:multiLevelType w:val="hybridMultilevel"/>
    <w:lvl w:ilvl="0">
      <w:lvlJc w:val="left"/>
      <w:lvlText w:val="%1"/>
      <w:numFmt w:val="decimal"/>
      <w:start w:val="1"/>
    </w:lvl>
    <w:lvl w:ilvl="1">
      <w:lvlJc w:val="left"/>
      <w:lvlText w:val="(%2)"/>
      <w:numFmt w:val="lowerRoman"/>
      <w:start w:val="2"/>
    </w:lvl>
  </w:abstractNum>
  <w:abstractNum w:abstractNumId="576">
    <w:nsid w:val="2B27BF4D"/>
    <w:multiLevelType w:val="hybridMultilevel"/>
    <w:lvl w:ilvl="0">
      <w:lvlJc w:val="left"/>
      <w:lvlText w:val="(%1)"/>
      <w:numFmt w:val="decimal"/>
      <w:start w:val="3"/>
    </w:lvl>
    <w:lvl w:ilvl="1">
      <w:lvlJc w:val="left"/>
      <w:lvlText w:val="%2"/>
      <w:numFmt w:val="lowerRoman"/>
      <w:start w:val="1"/>
    </w:lvl>
  </w:abstractNum>
  <w:abstractNum w:abstractNumId="577">
    <w:nsid w:val="E5CBEB4"/>
    <w:multiLevelType w:val="hybridMultilevel"/>
    <w:lvl w:ilvl="0">
      <w:lvlJc w:val="left"/>
      <w:lvlText w:val="(%1)"/>
      <w:numFmt w:val="lowerLetter"/>
      <w:start w:val="1"/>
    </w:lvl>
  </w:abstractNum>
  <w:abstractNum w:abstractNumId="578">
    <w:nsid w:val="297BFD38"/>
    <w:multiLevelType w:val="hybridMultilevel"/>
    <w:lvl w:ilvl="0">
      <w:lvlJc w:val="left"/>
      <w:lvlText w:val="(%1)"/>
      <w:numFmt w:val="lowerLetter"/>
      <w:start w:val="1"/>
    </w:lvl>
  </w:abstractNum>
  <w:abstractNum w:abstractNumId="579">
    <w:nsid w:val="D9A50ED"/>
    <w:multiLevelType w:val="hybridMultilevel"/>
    <w:lvl w:ilvl="0">
      <w:lvlJc w:val="left"/>
      <w:lvlText w:val="(%1)"/>
      <w:numFmt w:val="lowerLetter"/>
      <w:start w:val="3"/>
    </w:lvl>
  </w:abstractNum>
  <w:abstractNum w:abstractNumId="580">
    <w:nsid w:val="20DAABD1"/>
    <w:multiLevelType w:val="hybridMultilevel"/>
    <w:lvl w:ilvl="0">
      <w:lvlJc w:val="left"/>
      <w:lvlText w:val="(%1)"/>
      <w:numFmt w:val="lowerLetter"/>
      <w:start w:val="1"/>
    </w:lvl>
  </w:abstractNum>
  <w:abstractNum w:abstractNumId="581">
    <w:nsid w:val="71B563E3"/>
    <w:multiLevelType w:val="hybridMultilevel"/>
    <w:lvl w:ilvl="0">
      <w:lvlJc w:val="left"/>
      <w:lvlText w:val="(%1)"/>
      <w:numFmt w:val="lowerLetter"/>
      <w:start w:val="1"/>
    </w:lvl>
  </w:abstractNum>
  <w:abstractNum w:abstractNumId="582">
    <w:nsid w:val="741A191E"/>
    <w:multiLevelType w:val="hybridMultilevel"/>
    <w:lvl w:ilvl="0">
      <w:lvlJc w:val="left"/>
      <w:lvlText w:val="(%1)"/>
      <w:numFmt w:val="lowerLetter"/>
      <w:start w:val="2"/>
    </w:lvl>
  </w:abstractNum>
  <w:abstractNum w:abstractNumId="583">
    <w:nsid w:val="55886153"/>
    <w:multiLevelType w:val="hybridMultilevel"/>
    <w:lvl w:ilvl="0">
      <w:lvlJc w:val="left"/>
      <w:lvlText w:val="(%1)"/>
      <w:numFmt w:val="lowerLetter"/>
      <w:start w:val="1"/>
    </w:lvl>
  </w:abstractNum>
  <w:abstractNum w:abstractNumId="584">
    <w:nsid w:val="3E6AF287"/>
    <w:multiLevelType w:val="hybridMultilevel"/>
    <w:lvl w:ilvl="0">
      <w:lvlJc w:val="left"/>
      <w:lvlText w:val="(%1)"/>
      <w:numFmt w:val="lowerLetter"/>
      <w:start w:val="2"/>
    </w:lvl>
  </w:abstractNum>
  <w:abstractNum w:abstractNumId="585">
    <w:nsid w:val="2D7CB919"/>
    <w:multiLevelType w:val="hybridMultilevel"/>
    <w:lvl w:ilvl="0">
      <w:lvlJc w:val="left"/>
      <w:lvlText w:val="(%1)"/>
      <w:numFmt w:val="lowerRoman"/>
      <w:start w:val="2"/>
    </w:lvl>
  </w:abstractNum>
  <w:abstractNum w:abstractNumId="586">
    <w:nsid w:val="4781AC2F"/>
    <w:multiLevelType w:val="hybridMultilevel"/>
    <w:lvl w:ilvl="0">
      <w:lvlJc w:val="left"/>
      <w:lvlText w:val="(%1)"/>
      <w:numFmt w:val="lowerLetter"/>
      <w:start w:val="1"/>
    </w:lvl>
  </w:abstractNum>
  <w:abstractNum w:abstractNumId="587">
    <w:nsid w:val="666AA3E1"/>
    <w:multiLevelType w:val="hybridMultilevel"/>
    <w:lvl w:ilvl="0">
      <w:lvlJc w:val="left"/>
      <w:lvlText w:val="(%1)"/>
      <w:numFmt w:val="lowerLetter"/>
      <w:start w:val="1"/>
    </w:lvl>
  </w:abstractNum>
  <w:abstractNum w:abstractNumId="588">
    <w:nsid w:val="32089E8C"/>
    <w:multiLevelType w:val="hybridMultilevel"/>
    <w:lvl w:ilvl="0">
      <w:lvlJc w:val="left"/>
      <w:lvlText w:val="[***]"/>
      <w:numFmt w:val="bullet"/>
      <w:start w:val="1"/>
    </w:lvl>
  </w:abstractNum>
  <w:abstractNum w:abstractNumId="589">
    <w:nsid w:val="5BAC6C9C"/>
    <w:multiLevelType w:val="hybridMultilevel"/>
    <w:lvl w:ilvl="0">
      <w:lvlJc w:val="left"/>
      <w:lvlText w:val="(%1)"/>
      <w:numFmt w:val="lowerLetter"/>
      <w:start w:val="4"/>
    </w:lvl>
  </w:abstractNum>
  <w:abstractNum w:abstractNumId="590">
    <w:nsid w:val="460FE42B"/>
    <w:multiLevelType w:val="hybridMultilevel"/>
    <w:lvl w:ilvl="0">
      <w:lvlJc w:val="left"/>
      <w:lvlText w:val="(%1)"/>
      <w:numFmt w:val="lowerLetter"/>
      <w:start w:val="1"/>
    </w:lvl>
  </w:abstractNum>
  <w:abstractNum w:abstractNumId="591">
    <w:nsid w:val="5EC714FC"/>
    <w:multiLevelType w:val="hybridMultilevel"/>
    <w:lvl w:ilvl="0">
      <w:lvlJc w:val="left"/>
      <w:lvlText w:val="(%1)"/>
      <w:numFmt w:val="lowerLetter"/>
      <w:start w:val="2"/>
    </w:lvl>
    <w:lvl w:ilvl="1">
      <w:lvlJc w:val="left"/>
      <w:lvlText w:val="(%2)"/>
      <w:numFmt w:val="lowerRoman"/>
      <w:start w:val="1"/>
    </w:lvl>
  </w:abstractNum>
  <w:abstractNum w:abstractNumId="592">
    <w:nsid w:val="39333BAD"/>
    <w:multiLevelType w:val="hybridMultilevel"/>
    <w:lvl w:ilvl="0">
      <w:lvlJc w:val="left"/>
      <w:lvlText w:val="%1."/>
      <w:numFmt w:val="decimal"/>
      <w:start w:val="1"/>
    </w:lvl>
  </w:abstractNum>
  <w:abstractNum w:abstractNumId="593">
    <w:nsid w:val="2FFF2A9F"/>
    <w:multiLevelType w:val="hybridMultilevel"/>
    <w:lvl w:ilvl="0">
      <w:lvlJc w:val="left"/>
      <w:lvlText w:val="(%1)"/>
      <w:numFmt w:val="lowerRoman"/>
      <w:start w:val="1"/>
    </w:lvl>
    <w:lvl w:ilvl="1">
      <w:lvlJc w:val="left"/>
      <w:lvlText w:val="%2."/>
      <w:numFmt w:val="decimal"/>
      <w:start w:val="5"/>
    </w:lvl>
  </w:abstractNum>
  <w:abstractNum w:abstractNumId="594">
    <w:nsid w:val="477304AC"/>
    <w:multiLevelType w:val="hybridMultilevel"/>
    <w:lvl w:ilvl="0">
      <w:lvlJc w:val="left"/>
      <w:lvlText w:val="%1."/>
      <w:numFmt w:val="decimal"/>
      <w:start w:val="8"/>
    </w:lvl>
  </w:abstractNum>
  <w:abstractNum w:abstractNumId="595">
    <w:nsid w:val="6B9F7823"/>
    <w:multiLevelType w:val="hybridMultilevel"/>
    <w:lvl w:ilvl="0">
      <w:lvlJc w:val="left"/>
      <w:lvlText w:val="%1."/>
      <w:numFmt w:val="decimal"/>
      <w:start w:val="1"/>
    </w:lvl>
  </w:abstractNum>
  <w:abstractNum w:abstractNumId="596">
    <w:nsid w:val="8A29A69"/>
    <w:multiLevelType w:val="hybridMultilevel"/>
    <w:lvl w:ilvl="0">
      <w:lvlJc w:val="left"/>
      <w:lvlText w:val="%1."/>
      <w:numFmt w:val="decimal"/>
      <w:start w:val="5"/>
    </w:lvl>
  </w:abstractNum>
  <w:abstractNum w:abstractNumId="597">
    <w:nsid w:val="5A0E9A9F"/>
    <w:multiLevelType w:val="hybridMultilevel"/>
    <w:lvl w:ilvl="0">
      <w:lvlJc w:val="left"/>
      <w:lvlText w:val="%1."/>
      <w:numFmt w:val="decimal"/>
      <w:start w:val="8"/>
    </w:lvl>
  </w:abstractNum>
  <w:abstractNum w:abstractNumId="598">
    <w:nsid w:val="1C3F31CE"/>
    <w:multiLevelType w:val="hybridMultilevel"/>
    <w:lvl w:ilvl="0">
      <w:lvlJc w:val="left"/>
      <w:lvlText w:val="%1."/>
      <w:numFmt w:val="decimal"/>
      <w:start w:val="1"/>
    </w:lvl>
  </w:abstractNum>
  <w:abstractNum w:abstractNumId="599">
    <w:nsid w:val="D28DDE"/>
    <w:multiLevelType w:val="hybridMultilevel"/>
    <w:lvl w:ilvl="0">
      <w:lvlJc w:val="left"/>
      <w:lvlText w:val="%1."/>
      <w:numFmt w:val="decimal"/>
      <w:start w:val="5"/>
    </w:lvl>
  </w:abstractNum>
  <w:abstractNum w:abstractNumId="600">
    <w:nsid w:val="59E3AC4"/>
    <w:multiLevelType w:val="hybridMultilevel"/>
    <w:lvl w:ilvl="0">
      <w:lvlJc w:val="left"/>
      <w:lvlText w:val="%1."/>
      <w:numFmt w:val="decimal"/>
      <w:start w:val="1"/>
    </w:lvl>
    <w:lvl w:ilvl="1">
      <w:lvlJc w:val="left"/>
      <w:lvlText w:val="(%2)"/>
      <w:numFmt w:val="lowerLetter"/>
      <w:start w:val="1"/>
    </w:lvl>
  </w:abstractNum>
  <w:abstractNum w:abstractNumId="601">
    <w:nsid w:val="5D38CAEA"/>
    <w:multiLevelType w:val="hybridMultilevel"/>
    <w:lvl w:ilvl="0">
      <w:lvlJc w:val="left"/>
      <w:lvlText w:val="1"/>
      <w:numFmt w:val="bullet"/>
      <w:start w:val="1"/>
    </w:lvl>
  </w:abstractNum>
  <w:abstractNum w:abstractNumId="602">
    <w:nsid w:val="5F4208C"/>
    <w:multiLevelType w:val="hybridMultilevel"/>
    <w:lvl w:ilvl="0">
      <w:lvlJc w:val="left"/>
      <w:lvlText w:val="2"/>
      <w:numFmt w:val="bullet"/>
      <w:start w:val="1"/>
    </w:lvl>
  </w:abstractNum>
  <w:abstractNum w:abstractNumId="603">
    <w:nsid w:val="7C0F10CC"/>
    <w:multiLevelType w:val="hybridMultilevel"/>
    <w:lvl w:ilvl="0">
      <w:lvlJc w:val="left"/>
      <w:lvlText w:val="3"/>
      <w:numFmt w:val="bullet"/>
      <w:start w:val="1"/>
    </w:lvl>
  </w:abstractNum>
  <w:abstractNum w:abstractNumId="604">
    <w:nsid w:val="25EF81D5"/>
    <w:multiLevelType w:val="hybridMultilevel"/>
    <w:lvl w:ilvl="0">
      <w:lvlJc w:val="left"/>
      <w:lvlText w:val="4"/>
      <w:numFmt w:val="bullet"/>
      <w:start w:val="1"/>
    </w:lvl>
  </w:abstractNum>
  <w:abstractNum w:abstractNumId="605">
    <w:nsid w:val="15A79515"/>
    <w:multiLevelType w:val="hybridMultilevel"/>
    <w:lvl w:ilvl="0">
      <w:lvlJc w:val="left"/>
      <w:lvlText w:val="%1."/>
      <w:numFmt w:val="decimal"/>
      <w:start w:val="2"/>
    </w:lvl>
  </w:abstractNum>
  <w:abstractNum w:abstractNumId="606">
    <w:nsid w:val="4B67062"/>
    <w:multiLevelType w:val="hybridMultilevel"/>
    <w:lvl w:ilvl="0">
      <w:lvlJc w:val="left"/>
      <w:lvlText w:val="(%1)"/>
      <w:numFmt w:val="lowerLetter"/>
      <w:start w:val="2"/>
    </w:lvl>
  </w:abstractNum>
  <w:abstractNum w:abstractNumId="607">
    <w:nsid w:val="51174123"/>
    <w:multiLevelType w:val="hybridMultilevel"/>
    <w:lvl w:ilvl="0">
      <w:lvlJc w:val="left"/>
      <w:lvlText w:val="["/>
      <w:numFmt w:val="bullet"/>
      <w:start w:val="1"/>
    </w:lvl>
  </w:abstractNum>
  <w:abstractNum w:abstractNumId="608">
    <w:nsid w:val="240453CA"/>
    <w:multiLevelType w:val="hybridMultilevel"/>
    <w:lvl w:ilvl="0">
      <w:lvlJc w:val="left"/>
      <w:lvlText w:val="(%1)"/>
      <w:numFmt w:val="lowerLetter"/>
      <w:start w:val="3"/>
    </w:lvl>
  </w:abstractNum>
  <w:abstractNum w:abstractNumId="609">
    <w:nsid w:val="2E326D9A"/>
    <w:multiLevelType w:val="hybridMultilevel"/>
    <w:lvl w:ilvl="0">
      <w:lvlJc w:val="left"/>
      <w:lvlText w:val="5"/>
      <w:numFmt w:val="bullet"/>
      <w:start w:val="1"/>
    </w:lvl>
  </w:abstractNum>
  <w:abstractNum w:abstractNumId="610">
    <w:nsid w:val="5EB19210"/>
    <w:multiLevelType w:val="hybridMultilevel"/>
    <w:lvl w:ilvl="0">
      <w:lvlJc w:val="left"/>
      <w:lvlText w:val="6"/>
      <w:numFmt w:val="bullet"/>
      <w:start w:val="1"/>
    </w:lvl>
  </w:abstractNum>
  <w:abstractNum w:abstractNumId="611">
    <w:nsid w:val="44DEFF9B"/>
    <w:multiLevelType w:val="hybridMultilevel"/>
    <w:lvl w:ilvl="0">
      <w:lvlJc w:val="left"/>
      <w:lvlText w:val="%1"/>
      <w:numFmt w:val="decimal"/>
      <w:start w:val="1"/>
    </w:lvl>
    <w:lvl w:ilvl="1">
      <w:lvlJc w:val="left"/>
      <w:lvlText w:val="(%2)"/>
      <w:numFmt w:val="lowerLetter"/>
      <w:start w:val="5"/>
    </w:lvl>
  </w:abstractNum>
  <w:abstractNum w:abstractNumId="612">
    <w:nsid w:val="1FE7D17D"/>
    <w:multiLevelType w:val="hybridMultilevel"/>
    <w:lvl w:ilvl="0">
      <w:lvlJc w:val="left"/>
      <w:lvlText w:val="%1."/>
      <w:numFmt w:val="decimal"/>
      <w:start w:val="3"/>
    </w:lvl>
    <w:lvl w:ilvl="1">
      <w:lvlJc w:val="left"/>
      <w:lvlText w:val="(%2)"/>
      <w:numFmt w:val="lowerLetter"/>
      <w:start w:val="1"/>
    </w:lvl>
  </w:abstractNum>
  <w:abstractNum w:abstractNumId="613">
    <w:nsid w:val="52CBAB2E"/>
    <w:multiLevelType w:val="hybridMultilevel"/>
    <w:lvl w:ilvl="0">
      <w:lvlJc w:val="left"/>
      <w:lvlText w:val="7"/>
      <w:numFmt w:val="bullet"/>
      <w:start w:val="1"/>
    </w:lvl>
  </w:abstractNum>
  <w:abstractNum w:abstractNumId="614">
    <w:nsid w:val="1A6760EF"/>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15">
    <w:nsid w:val="5E52C40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616">
    <w:nsid w:val="486447"/>
    <w:multiLevelType w:val="hybridMultilevel"/>
    <w:lvl w:ilvl="0">
      <w:lvlJc w:val="left"/>
      <w:lvlText w:val="8"/>
      <w:numFmt w:val="bullet"/>
      <w:start w:val="1"/>
    </w:lvl>
  </w:abstractNum>
  <w:abstractNum w:abstractNumId="617">
    <w:nsid w:val="61E90D1E"/>
    <w:multiLevelType w:val="hybridMultilevel"/>
    <w:lvl w:ilvl="0">
      <w:lvlJc w:val="left"/>
      <w:lvlText w:val="9"/>
      <w:numFmt w:val="bullet"/>
      <w:start w:val="1"/>
    </w:lvl>
  </w:abstractNum>
  <w:abstractNum w:abstractNumId="618">
    <w:nsid w:val="44BD67E6"/>
    <w:multiLevelType w:val="hybridMultilevel"/>
    <w:lvl w:ilvl="0">
      <w:lvlJc w:val="left"/>
      <w:lvlText w:val="%1"/>
      <w:numFmt w:val="decimal"/>
      <w:start w:val="10"/>
    </w:lvl>
  </w:abstractNum>
  <w:abstractNum w:abstractNumId="619">
    <w:nsid w:val="325102D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620">
    <w:nsid w:val="3D9579BA"/>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621">
    <w:nsid w:val="ACD4C11"/>
    <w:multiLevelType w:val="hybridMultilevel"/>
    <w:lvl w:ilvl="0">
      <w:lvlJc w:val="left"/>
      <w:lvlText w:val="(%1)"/>
      <w:numFmt w:val="lowerRoman"/>
      <w:start w:val="1"/>
    </w:lvl>
  </w:abstractNum>
  <w:abstractNum w:abstractNumId="622">
    <w:nsid w:val="111817CF"/>
    <w:multiLevelType w:val="hybridMultilevel"/>
    <w:lvl w:ilvl="0">
      <w:lvlJc w:val="left"/>
      <w:lvlText w:val="(%1)"/>
      <w:numFmt w:val="lowerRoman"/>
      <w:start w:val="5"/>
    </w:lvl>
  </w:abstractNum>
  <w:abstractNum w:abstractNumId="623">
    <w:nsid w:val="76C8B56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24">
    <w:nsid w:val="3ACC76B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25">
    <w:nsid w:val="588B1C7C"/>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626">
    <w:nsid w:val="62682D8B"/>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4"/>
    </w:lvl>
  </w:abstractNum>
  <w:abstractNum w:abstractNumId="627">
    <w:nsid w:val="436F111A"/>
    <w:multiLevelType w:val="hybridMultilevel"/>
    <w:lvl w:ilvl="0">
      <w:lvlJc w:val="left"/>
      <w:lvlText w:val="(%1)"/>
      <w:numFmt w:val="lowerLetter"/>
      <w:start w:val="2"/>
    </w:lvl>
  </w:abstractNum>
  <w:abstractNum w:abstractNumId="628">
    <w:nsid w:val="3299B71B"/>
    <w:multiLevelType w:val="hybridMultilevel"/>
    <w:lvl w:ilvl="0">
      <w:lvlJc w:val="left"/>
      <w:lvlText w:val="%1"/>
      <w:numFmt w:val="decimal"/>
      <w:start w:val="14"/>
    </w:lvl>
  </w:abstractNum>
  <w:abstractNum w:abstractNumId="629">
    <w:nsid w:val="7EA75F5A"/>
    <w:multiLevelType w:val="hybridMultilevel"/>
    <w:lvl w:ilvl="0">
      <w:lvlJc w:val="left"/>
      <w:lvlText w:val="%1."/>
      <w:numFmt w:val="decimal"/>
      <w:start w:val="6"/>
    </w:lvl>
    <w:lvl w:ilvl="1">
      <w:lvlJc w:val="left"/>
      <w:lvlText w:val="(%2)"/>
      <w:numFmt w:val="lowerLetter"/>
      <w:start w:val="1"/>
    </w:lvl>
  </w:abstractNum>
  <w:abstractNum w:abstractNumId="630">
    <w:nsid w:val="44419EF9"/>
    <w:multiLevelType w:val="hybridMultilevel"/>
    <w:lvl w:ilvl="0">
      <w:lvlJc w:val="left"/>
      <w:lvlText w:val="["/>
      <w:numFmt w:val="bullet"/>
      <w:start w:val="1"/>
    </w:lvl>
    <w:lvl w:ilvl="1">
      <w:lvlJc w:val="left"/>
      <w:lvlText w:val="(%2)"/>
      <w:numFmt w:val="lowerRoman"/>
      <w:start w:val="2"/>
    </w:lvl>
  </w:abstractNum>
  <w:abstractNum w:abstractNumId="631">
    <w:nsid w:val="3837F1DF"/>
    <w:multiLevelType w:val="hybridMultilevel"/>
    <w:lvl w:ilvl="0">
      <w:lvlJc w:val="left"/>
      <w:lvlText w:val="%1"/>
      <w:numFmt w:val="decimal"/>
      <w:start w:val="17"/>
    </w:lvl>
  </w:abstractNum>
  <w:abstractNum w:abstractNumId="632">
    <w:nsid w:val="5BE02A4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33">
    <w:nsid w:val="4A35BF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34">
    <w:nsid w:val="344702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5">
    <w:nsid w:val="1CFAC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6">
    <w:nsid w:val="5FDD549A"/>
    <w:multiLevelType w:val="hybridMultilevel"/>
    <w:lvl w:ilvl="0">
      <w:lvlJc w:val="left"/>
      <w:lvlText w:val="%1"/>
      <w:numFmt w:val="decimal"/>
      <w:start w:val="1"/>
    </w:lvl>
    <w:lvl w:ilvl="1">
      <w:lvlJc w:val="left"/>
      <w:lvlText w:val="(%2)"/>
      <w:numFmt w:val="lowerLetter"/>
      <w:start w:val="4"/>
    </w:lvl>
  </w:abstractNum>
  <w:abstractNum w:abstractNumId="637">
    <w:nsid w:val="38FD730E"/>
    <w:multiLevelType w:val="hybridMultilevel"/>
    <w:lvl w:ilvl="0">
      <w:lvlJc w:val="left"/>
      <w:lvlText w:val="%1."/>
      <w:numFmt w:val="decimal"/>
      <w:start w:val="8"/>
    </w:lvl>
    <w:lvl w:ilvl="1">
      <w:lvlJc w:val="left"/>
      <w:lvlText w:val="(%2)"/>
      <w:numFmt w:val="lowerLetter"/>
      <w:start w:val="1"/>
    </w:lvl>
  </w:abstractNum>
  <w:abstractNum w:abstractNumId="638">
    <w:nsid w:val="52E6ED3D"/>
    <w:multiLevelType w:val="hybridMultilevel"/>
    <w:lvl w:ilvl="0">
      <w:lvlJc w:val="left"/>
      <w:lvlText w:val="%1"/>
      <w:numFmt w:val="decimal"/>
      <w:start w:val="1"/>
    </w:lvl>
    <w:lvl w:ilvl="1">
      <w:lvlJc w:val="left"/>
      <w:lvlText w:val="(%2)"/>
      <w:numFmt w:val="lowerLetter"/>
      <w:start w:val="4"/>
    </w:lvl>
  </w:abstractNum>
  <w:abstractNum w:abstractNumId="639">
    <w:nsid w:val="3E1A864"/>
    <w:multiLevelType w:val="hybridMultilevel"/>
    <w:lvl w:ilvl="0">
      <w:lvlJc w:val="left"/>
      <w:lvlText w:val="%1."/>
      <w:numFmt w:val="decimal"/>
      <w:start w:val="9"/>
    </w:lvl>
    <w:lvl w:ilvl="1">
      <w:lvlJc w:val="left"/>
      <w:lvlText w:val="%2"/>
      <w:numFmt w:val="lowerLetter"/>
      <w:start w:val="1"/>
    </w:lvl>
  </w:abstractNum>
  <w:abstractNum w:abstractNumId="640">
    <w:nsid w:val="672FE0A8"/>
    <w:multiLevelType w:val="hybridMultilevel"/>
    <w:lvl w:ilvl="0">
      <w:lvlJc w:val="left"/>
      <w:lvlText w:val="%1."/>
      <w:numFmt w:val="decimal"/>
      <w:start w:val="13"/>
    </w:lvl>
  </w:abstractNum>
  <w:abstractNum w:abstractNumId="641">
    <w:nsid w:val="31987F4D"/>
    <w:multiLevelType w:val="hybridMultilevel"/>
    <w:lvl w:ilvl="0">
      <w:lvlJc w:val="left"/>
      <w:lvlText w:val="%1."/>
      <w:numFmt w:val="decimal"/>
      <w:start w:val="19"/>
    </w:lvl>
  </w:abstractNum>
  <w:abstractNum w:abstractNumId="642">
    <w:nsid w:val="48C0A800"/>
    <w:multiLevelType w:val="hybridMultilevel"/>
    <w:lvl w:ilvl="0">
      <w:lvlJc w:val="left"/>
      <w:lvlText w:val="%1."/>
      <w:numFmt w:val="decimal"/>
      <w:start w:val="1"/>
    </w:lvl>
  </w:abstractNum>
  <w:abstractNum w:abstractNumId="643">
    <w:nsid w:val="717B226"/>
    <w:multiLevelType w:val="hybridMultilevel"/>
    <w:lvl w:ilvl="0">
      <w:lvlJc w:val="left"/>
      <w:lvlText w:val="%1."/>
      <w:numFmt w:val="decimal"/>
      <w:start w:val="4"/>
    </w:lvl>
    <w:lvl w:ilvl="1">
      <w:lvlJc w:val="left"/>
      <w:lvlText w:val="(%2)"/>
      <w:numFmt w:val="lowerLetter"/>
      <w:start w:val="1"/>
    </w:lvl>
  </w:abstractNum>
  <w:abstractNum w:abstractNumId="644">
    <w:nsid w:val="4642A7B"/>
    <w:multiLevelType w:val="hybridMultilevel"/>
    <w:lvl w:ilvl="0">
      <w:lvlJc w:val="left"/>
      <w:lvlText w:val="(%1)"/>
      <w:numFmt w:val="lowerLetter"/>
      <w:start w:val="3"/>
    </w:lvl>
  </w:abstractNum>
  <w:abstractNum w:abstractNumId="645">
    <w:nsid w:val="632808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46">
    <w:nsid w:val="656A762B"/>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
    </w:lvl>
  </w:abstractNum>
  <w:abstractNum w:abstractNumId="647">
    <w:nsid w:val="4AC8EC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648">
    <w:nsid w:val="4511160D"/>
    <w:multiLevelType w:val="hybridMultilevel"/>
    <w:lvl w:ilvl="0">
      <w:lvlJc w:val="left"/>
      <w:lvlText w:val="%1."/>
      <w:numFmt w:val="decimal"/>
      <w:start w:val="6"/>
    </w:lvl>
  </w:abstractNum>
  <w:abstractNum w:abstractNumId="649">
    <w:nsid w:val="2A27DE11"/>
    <w:multiLevelType w:val="hybridMultilevel"/>
    <w:lvl w:ilvl="0">
      <w:lvlJc w:val="left"/>
      <w:lvlText w:val="%1."/>
      <w:numFmt w:val="decimal"/>
      <w:start w:val="8"/>
    </w:lvl>
  </w:abstractNum>
  <w:abstractNum w:abstractNumId="650">
    <w:nsid w:val="36FD9196"/>
    <w:multiLevelType w:val="hybridMultilevel"/>
    <w:lvl w:ilvl="0">
      <w:lvlJc w:val="left"/>
      <w:lvlText w:val="%1."/>
      <w:numFmt w:val="decimal"/>
      <w:start w:val="1"/>
    </w:lvl>
  </w:abstractNum>
  <w:abstractNum w:abstractNumId="651">
    <w:nsid w:val="2A68FC8"/>
    <w:multiLevelType w:val="hybridMultilevel"/>
    <w:lvl w:ilvl="0">
      <w:lvlJc w:val="left"/>
      <w:lvlText w:val="%1."/>
      <w:numFmt w:val="decimal"/>
      <w:start w:val="4"/>
    </w:lvl>
    <w:lvl w:ilvl="1">
      <w:lvlJc w:val="left"/>
      <w:lvlText w:val="(%2)"/>
      <w:numFmt w:val="lowerLetter"/>
      <w:start w:val="1"/>
    </w:lvl>
  </w:abstractNum>
  <w:abstractNum w:abstractNumId="652">
    <w:nsid w:val="34F52A23"/>
    <w:multiLevelType w:val="hybridMultilevel"/>
    <w:lvl w:ilvl="0">
      <w:lvlJc w:val="left"/>
      <w:lvlText w:val="(%1)"/>
      <w:numFmt w:val="lowerLetter"/>
      <w:start w:val="3"/>
    </w:lvl>
  </w:abstractNum>
  <w:abstractNum w:abstractNumId="653">
    <w:nsid w:val="4815A966"/>
    <w:multiLevelType w:val="hybridMultilevel"/>
    <w:lvl w:ilvl="0">
      <w:lvlJc w:val="left"/>
      <w:lvlText w:val="%1"/>
      <w:numFmt w:val="lowerLetter"/>
      <w:start w:val="1"/>
    </w:lvl>
    <w:lvl w:ilvl="1">
      <w:lvlJc w:val="left"/>
      <w:lvlText w:val="(%2)"/>
      <w:numFmt w:val="lowerLetter"/>
      <w:start w:val="1"/>
    </w:lvl>
  </w:abstractNum>
  <w:abstractNum w:abstractNumId="654">
    <w:nsid w:val="796F4530"/>
    <w:multiLevelType w:val="hybridMultilevel"/>
    <w:lvl w:ilvl="0">
      <w:lvlJc w:val="left"/>
      <w:lvlText w:val="(%1)"/>
      <w:numFmt w:val="lowerLetter"/>
      <w:start w:val="9"/>
    </w:lvl>
    <w:lvl w:ilvl="1">
      <w:lvlJc w:val="left"/>
      <w:lvlText w:val="(%2)"/>
      <w:numFmt w:val="lowerLetter"/>
      <w:start w:val="2"/>
    </w:lvl>
  </w:abstractNum>
  <w:abstractNum w:abstractNumId="655">
    <w:nsid w:val="6FC1A0D4"/>
    <w:multiLevelType w:val="hybridMultilevel"/>
    <w:lvl w:ilvl="0">
      <w:lvlJc w:val="left"/>
      <w:lvlText w:val="%1."/>
      <w:numFmt w:val="decimal"/>
      <w:start w:val="5"/>
    </w:lvl>
  </w:abstractNum>
  <w:abstractNum w:abstractNumId="656">
    <w:nsid w:val="20A0C5E2"/>
    <w:multiLevelType w:val="hybridMultilevel"/>
    <w:lvl w:ilvl="0">
      <w:lvlJc w:val="left"/>
      <w:lvlText w:val="%1."/>
      <w:numFmt w:val="decimal"/>
      <w:start w:val="6"/>
    </w:lvl>
  </w:abstractNum>
  <w:abstractNum w:abstractNumId="657">
    <w:nsid w:val="5BD772BB"/>
    <w:multiLevelType w:val="hybridMultilevel"/>
    <w:lvl w:ilvl="0">
      <w:lvlJc w:val="left"/>
      <w:lvlText w:val="%1."/>
      <w:numFmt w:val="decimal"/>
      <w:start w:val="7"/>
    </w:lvl>
  </w:abstractNum>
  <w:abstractNum w:abstractNumId="658">
    <w:nsid w:val="3330B1EE"/>
    <w:multiLevelType w:val="hybridMultilevel"/>
    <w:lvl w:ilvl="0">
      <w:lvlJc w:val="left"/>
      <w:lvlText w:val="%1."/>
      <w:numFmt w:val="decimal"/>
      <w:start w:val="14"/>
    </w:lvl>
  </w:abstractNum>
  <w:abstractNum w:abstractNumId="659">
    <w:nsid w:val="533A7CFD"/>
    <w:multiLevelType w:val="hybridMultilevel"/>
    <w:lvl w:ilvl="0">
      <w:lvlJc w:val="left"/>
      <w:lvlText w:val="%1"/>
      <w:numFmt w:val="decimal"/>
      <w:start w:val="1"/>
    </w:lvl>
    <w:lvl w:ilvl="1">
      <w:lvlJc w:val="left"/>
      <w:lvlText w:val="%2."/>
      <w:numFmt w:val="decimal"/>
      <w:start w:val="1"/>
    </w:lvl>
  </w:abstractNum>
  <w:abstractNum w:abstractNumId="660">
    <w:nsid w:val="5A7ED215"/>
    <w:multiLevelType w:val="hybridMultilevel"/>
    <w:lvl w:ilvl="0">
      <w:lvlJc w:val="left"/>
      <w:lvlText w:val="%1."/>
      <w:numFmt w:val="decimal"/>
      <w:start w:val="3"/>
    </w:lvl>
    <w:lvl w:ilvl="1">
      <w:lvlJc w:val="left"/>
      <w:lvlText w:val="%2"/>
      <w:numFmt w:val="decimal"/>
      <w:start w:val="1"/>
    </w:lvl>
  </w:abstractNum>
  <w:abstractNum w:abstractNumId="661">
    <w:nsid w:val="777250E7"/>
    <w:multiLevelType w:val="hybridMultilevel"/>
    <w:lvl w:ilvl="0">
      <w:lvlJc w:val="left"/>
      <w:lvlText w:val="%1."/>
      <w:numFmt w:val="decimal"/>
      <w:start w:val="4"/>
    </w:lvl>
    <w:lvl w:ilvl="1">
      <w:lvlJc w:val="left"/>
      <w:lvlText w:val="(%2)"/>
      <w:numFmt w:val="lowerLetter"/>
      <w:start w:val="1"/>
    </w:lvl>
  </w:abstractNum>
  <w:abstractNum w:abstractNumId="662">
    <w:nsid w:val="B726EDC"/>
    <w:multiLevelType w:val="hybridMultilevel"/>
    <w:lvl w:ilvl="0">
      <w:lvlJc w:val="left"/>
      <w:lvlText w:val="(%1)"/>
      <w:numFmt w:val="lowerLetter"/>
      <w:start w:val="2"/>
    </w:lvl>
  </w:abstractNum>
  <w:abstractNum w:abstractNumId="663">
    <w:nsid w:val="365EFC5A"/>
    <w:multiLevelType w:val="hybridMultilevel"/>
    <w:lvl w:ilvl="0">
      <w:lvlJc w:val="left"/>
      <w:lvlText w:val="(%1)"/>
      <w:numFmt w:val="lowerLetter"/>
      <w:start w:val="5"/>
    </w:lvl>
  </w:abstractNum>
  <w:abstractNum w:abstractNumId="664">
    <w:nsid w:val="41A8106C"/>
    <w:multiLevelType w:val="hybridMultilevel"/>
    <w:lvl w:ilvl="0">
      <w:lvlJc w:val="left"/>
      <w:lvlText w:val="(%1)"/>
      <w:numFmt w:val="lowerLetter"/>
      <w:start w:val="1"/>
    </w:lvl>
  </w:abstractNum>
  <w:abstractNum w:abstractNumId="665">
    <w:nsid w:val="3FB97188"/>
    <w:multiLevelType w:val="hybridMultilevel"/>
    <w:lvl w:ilvl="0">
      <w:lvlJc w:val="left"/>
      <w:lvlText w:val="%1"/>
      <w:numFmt w:val="decimal"/>
      <w:start w:val="1"/>
    </w:lvl>
    <w:lvl w:ilvl="1">
      <w:lvlJc w:val="left"/>
      <w:lvlText w:val="(%2)"/>
      <w:numFmt w:val="lowerLetter"/>
      <w:start w:val="2"/>
    </w:lvl>
  </w:abstractNum>
  <w:abstractNum w:abstractNumId="666">
    <w:nsid w:val="382EA874"/>
    <w:multiLevelType w:val="hybridMultilevel"/>
    <w:lvl w:ilvl="0">
      <w:lvlJc w:val="left"/>
      <w:lvlText w:val="%1."/>
      <w:numFmt w:val="decimal"/>
      <w:start w:val="5"/>
    </w:lvl>
    <w:lvl w:ilvl="1">
      <w:lvlJc w:val="left"/>
      <w:lvlText w:val="%2"/>
      <w:numFmt w:val="lowerLetter"/>
      <w:start w:val="1"/>
    </w:lvl>
  </w:abstractNum>
  <w:abstractNum w:abstractNumId="667">
    <w:nsid w:val="21856507"/>
    <w:multiLevelType w:val="hybridMultilevel"/>
    <w:lvl w:ilvl="0">
      <w:lvlJc w:val="left"/>
      <w:lvlText w:val="%1."/>
      <w:numFmt w:val="decimal"/>
      <w:start w:val="6"/>
    </w:lvl>
  </w:abstractNum>
  <w:abstractNum w:abstractNumId="668">
    <w:nsid w:val="78B6E496"/>
    <w:multiLevelType w:val="hybridMultilevel"/>
    <w:lvl w:ilvl="0">
      <w:lvlJc w:val="left"/>
      <w:lvlText w:val="%1."/>
      <w:numFmt w:val="decimal"/>
      <w:start w:val="11"/>
    </w:lvl>
  </w:abstractNum>
  <w:abstractNum w:abstractNumId="669">
    <w:nsid w:val="B1595B1"/>
    <w:multiLevelType w:val="hybridMultilevel"/>
    <w:lvl w:ilvl="0">
      <w:lvlJc w:val="left"/>
      <w:lvlText w:val="%1"/>
      <w:numFmt w:val="upperLetter"/>
      <w:start w:val="1"/>
    </w:lvl>
    <w:lvl w:ilvl="1">
      <w:lvlJc w:val="left"/>
      <w:lvlText w:val="(%2)"/>
      <w:numFmt w:val="lowerLetter"/>
      <w:start w:val="1"/>
    </w:lvl>
  </w:abstractNum>
  <w:abstractNum w:abstractNumId="670">
    <w:nsid w:val="25670D6B"/>
    <w:multiLevelType w:val="hybridMultilevel"/>
    <w:lvl w:ilvl="0">
      <w:lvlJc w:val="left"/>
      <w:lvlText w:val="(%1)"/>
      <w:numFmt w:val="upperLetter"/>
      <w:start w:val="3"/>
    </w:lvl>
    <w:lvl w:ilvl="1">
      <w:lvlJc w:val="left"/>
      <w:lvlText w:val="%2"/>
      <w:numFmt w:val="lowerLetter"/>
      <w:start w:val="1"/>
    </w:lvl>
  </w:abstractNum>
  <w:abstractNum w:abstractNumId="671">
    <w:nsid w:val="5FE6C53F"/>
    <w:multiLevelType w:val="hybridMultilevel"/>
    <w:lvl w:ilvl="0">
      <w:lvlJc w:val="left"/>
      <w:lvlText w:val="(%1)"/>
      <w:numFmt w:val="upperLetter"/>
      <w:start w:val="3"/>
    </w:lvl>
  </w:abstractNum>
  <w:abstractNum w:abstractNumId="672">
    <w:nsid w:val="3CAE14FE"/>
    <w:multiLevelType w:val="hybridMultilevel"/>
    <w:lvl w:ilvl="0">
      <w:lvlJc w:val="left"/>
      <w:lvlText w:val="(%1)"/>
      <w:numFmt w:val="lowerLetter"/>
      <w:start w:val="4"/>
    </w:lvl>
  </w:abstractNum>
  <w:abstractNum w:abstractNumId="673">
    <w:nsid w:val="6E27B56B"/>
    <w:multiLevelType w:val="hybridMultilevel"/>
    <w:lvl w:ilvl="0">
      <w:lvlJc w:val="left"/>
      <w:lvlText w:val="(%1)"/>
      <w:numFmt w:val="lowerLetter"/>
      <w:start w:val="7"/>
    </w:lvl>
  </w:abstractNum>
  <w:abstractNum w:abstractNumId="674">
    <w:nsid w:val="66FE7765"/>
    <w:multiLevelType w:val="hybridMultilevel"/>
    <w:lvl w:ilvl="0">
      <w:lvlJc w:val="left"/>
      <w:lvlText w:val="%1."/>
      <w:numFmt w:val="decimal"/>
      <w:start w:val="1"/>
    </w:lvl>
  </w:abstractNum>
  <w:abstractNum w:abstractNumId="675">
    <w:nsid w:val="41123F79"/>
    <w:multiLevelType w:val="hybridMultilevel"/>
    <w:lvl w:ilvl="0">
      <w:lvlJc w:val="left"/>
      <w:lvlText w:val="%1."/>
      <w:numFmt w:val="decimal"/>
      <w:start w:val="2"/>
    </w:lvl>
  </w:abstractNum>
  <w:abstractNum w:abstractNumId="676">
    <w:nsid w:val="514FBE5A"/>
    <w:multiLevelType w:val="hybridMultilevel"/>
    <w:lvl w:ilvl="0">
      <w:lvlJc w:val="left"/>
      <w:lvlText w:val="%1."/>
      <w:numFmt w:val="decimal"/>
      <w:start w:val="4"/>
    </w:lvl>
  </w:abstractNum>
  <w:abstractNum w:abstractNumId="677">
    <w:nsid w:val="4C68ED90"/>
    <w:multiLevelType w:val="hybridMultilevel"/>
    <w:lvl w:ilvl="0">
      <w:lvlJc w:val="left"/>
      <w:lvlText w:val="(%1)"/>
      <w:numFmt w:val="lowerLetter"/>
      <w:start w:val="1"/>
    </w:lvl>
    <w:lvl w:ilvl="1">
      <w:lvlJc w:val="left"/>
      <w:lvlText w:val="(%2)"/>
      <w:numFmt w:val="lowerRoman"/>
      <w:start w:val="1"/>
    </w:lvl>
  </w:abstractNum>
  <w:abstractNum w:abstractNumId="678">
    <w:nsid w:val="45BECE3C"/>
    <w:multiLevelType w:val="hybridMultilevel"/>
    <w:lvl w:ilvl="0">
      <w:lvlJc w:val="left"/>
      <w:lvlText w:val="(%1)"/>
      <w:numFmt w:val="lowerRoman"/>
      <w:start w:val="5"/>
    </w:lvl>
  </w:abstractNum>
  <w:abstractNum w:abstractNumId="679">
    <w:nsid w:val="1660D468"/>
    <w:multiLevelType w:val="hybridMultilevel"/>
    <w:lvl w:ilvl="0">
      <w:lvlJc w:val="left"/>
      <w:lvlText w:val="(%1)"/>
      <w:numFmt w:val="lowerLetter"/>
      <w:start w:val="4"/>
    </w:lvl>
  </w:abstractNum>
  <w:abstractNum w:abstractNumId="680">
    <w:nsid w:val="7690CBA1"/>
    <w:multiLevelType w:val="hybridMultilevel"/>
    <w:lvl w:ilvl="0">
      <w:lvlJc w:val="left"/>
      <w:lvlText w:val="(%1)"/>
      <w:numFmt w:val="lowerLetter"/>
      <w:start w:val="8"/>
    </w:lvl>
  </w:abstractNum>
  <w:abstractNum w:abstractNumId="681">
    <w:nsid w:val="7CBC5FD3"/>
    <w:multiLevelType w:val="hybridMultilevel"/>
    <w:lvl w:ilvl="0">
      <w:lvlJc w:val="left"/>
      <w:lvlText w:val="%1."/>
      <w:numFmt w:val="decimal"/>
      <w:start w:val="6"/>
    </w:lvl>
  </w:abstractNum>
  <w:abstractNum w:abstractNumId="682">
    <w:nsid w:val="19076430"/>
    <w:multiLevelType w:val="hybridMultilevel"/>
    <w:lvl w:ilvl="0">
      <w:lvlJc w:val="left"/>
      <w:lvlText w:val="%1."/>
      <w:numFmt w:val="decimal"/>
      <w:start w:val="7"/>
    </w:lvl>
  </w:abstractNum>
  <w:abstractNum w:abstractNumId="683">
    <w:nsid w:val="2B85F5C4"/>
    <w:multiLevelType w:val="hybridMultilevel"/>
    <w:lvl w:ilvl="0">
      <w:lvlJc w:val="left"/>
      <w:lvlText w:val="%1."/>
      <w:numFmt w:val="decimal"/>
      <w:start w:val="11"/>
    </w:lvl>
  </w:abstractNum>
  <w:abstractNum w:abstractNumId="684">
    <w:nsid w:val="44D20939"/>
    <w:multiLevelType w:val="hybridMultilevel"/>
    <w:lvl w:ilvl="0">
      <w:lvlJc w:val="left"/>
      <w:lvlText w:val="%1"/>
      <w:numFmt w:val="decimal"/>
      <w:start w:val="1"/>
    </w:lvl>
    <w:lvl w:ilvl="1">
      <w:lvlJc w:val="left"/>
      <w:lvlText w:val="%2."/>
      <w:numFmt w:val="decimal"/>
      <w:start w:val="14"/>
    </w:lvl>
  </w:abstractNum>
  <w:abstractNum w:abstractNumId="685">
    <w:nsid w:val="1276A960"/>
    <w:multiLevelType w:val="hybridMultilevel"/>
    <w:lvl w:ilvl="0">
      <w:lvlJc w:val="left"/>
      <w:lvlText w:val="(%1)"/>
      <w:numFmt w:val="decimal"/>
      <w:start w:val="5"/>
    </w:lvl>
    <w:lvl w:ilvl="1">
      <w:lvlJc w:val="left"/>
      <w:lvlText w:val="%2"/>
      <w:numFmt w:val="decimal"/>
      <w:start w:val="1"/>
    </w:lvl>
  </w:abstractNum>
  <w:abstractNum w:abstractNumId="686">
    <w:nsid w:val="1B479698"/>
    <w:multiLevelType w:val="hybridMultilevel"/>
    <w:lvl w:ilvl="0">
      <w:lvlJc w:val="left"/>
      <w:lvlText w:val="%1."/>
      <w:numFmt w:val="decimal"/>
      <w:start w:val="15"/>
    </w:lvl>
  </w:abstractNum>
  <w:abstractNum w:abstractNumId="687">
    <w:nsid w:val="6572CF1B"/>
    <w:multiLevelType w:val="hybridMultilevel"/>
    <w:lvl w:ilvl="0">
      <w:lvlJc w:val="left"/>
      <w:lvlText w:val="%1"/>
      <w:numFmt w:val="lowerLetter"/>
      <w:start w:val="1"/>
    </w:lvl>
    <w:lvl w:ilvl="1">
      <w:lvlJc w:val="left"/>
      <w:lvlText w:val="(%2)"/>
      <w:numFmt w:val="lowerLetter"/>
      <w:start w:val="1"/>
    </w:lvl>
  </w:abstractNum>
  <w:abstractNum w:abstractNumId="688">
    <w:nsid w:val="6E4E1C1B"/>
    <w:multiLevelType w:val="hybridMultilevel"/>
    <w:lvl w:ilvl="0">
      <w:lvlJc w:val="left"/>
      <w:lvlText w:val="(%1)"/>
      <w:numFmt w:val="lowerLetter"/>
      <w:start w:val="35"/>
    </w:lvl>
    <w:lvl w:ilvl="1">
      <w:lvlJc w:val="left"/>
      <w:lvlText w:val="(%2)"/>
      <w:numFmt w:val="lowerLetter"/>
      <w:start w:val="7"/>
    </w:lvl>
  </w:abstractNum>
  <w:abstractNum w:abstractNumId="689">
    <w:nsid w:val="4E784887"/>
    <w:multiLevelType w:val="hybridMultilevel"/>
    <w:lvl w:ilvl="0">
      <w:lvlJc w:val="left"/>
      <w:lvlText w:val="(%1)"/>
      <w:numFmt w:val="lowerLetter"/>
      <w:start w:val="8"/>
    </w:lvl>
  </w:abstractNum>
  <w:abstractNum w:abstractNumId="690">
    <w:nsid w:val="38AD4C18"/>
    <w:multiLevelType w:val="hybridMultilevel"/>
    <w:lvl w:ilvl="0">
      <w:lvlJc w:val="left"/>
      <w:lvlText w:val="%1."/>
      <w:numFmt w:val="decimal"/>
      <w:start w:val="18"/>
    </w:lvl>
  </w:abstractNum>
  <w:abstractNum w:abstractNumId="691">
    <w:nsid w:val="48CCEE31"/>
    <w:multiLevelType w:val="hybridMultilevel"/>
    <w:lvl w:ilvl="0">
      <w:lvlJc w:val="left"/>
      <w:lvlText w:val="(%1)"/>
      <w:numFmt w:val="lowerLetter"/>
      <w:start w:val="1"/>
    </w:lvl>
    <w:lvl w:ilvl="1">
      <w:lvlJc w:val="left"/>
      <w:lvlText w:val="(%2)"/>
      <w:numFmt w:val="lowerRoman"/>
      <w:start w:val="1"/>
    </w:lvl>
  </w:abstractNum>
  <w:abstractNum w:abstractNumId="692">
    <w:nsid w:val="45EA996E"/>
    <w:multiLevelType w:val="hybridMultilevel"/>
    <w:lvl w:ilvl="0">
      <w:lvlJc w:val="left"/>
      <w:lvlText w:val="%1."/>
      <w:numFmt w:val="decimal"/>
      <w:start w:val="1"/>
    </w:lvl>
  </w:abstractNum>
  <w:abstractNum w:abstractNumId="693">
    <w:nsid w:val="441FBAF4"/>
    <w:multiLevelType w:val="hybridMultilevel"/>
    <w:lvl w:ilvl="0">
      <w:lvlJc w:val="left"/>
      <w:lvlText w:val="(%1)"/>
      <w:numFmt w:val="lowerLetter"/>
      <w:start w:val="1"/>
    </w:lvl>
  </w:abstractNum>
  <w:abstractNum w:abstractNumId="694">
    <w:nsid w:val="7F2BEA8B"/>
    <w:multiLevelType w:val="hybridMultilevel"/>
    <w:lvl w:ilvl="0">
      <w:lvlJc w:val="left"/>
      <w:lvlText w:val="%1"/>
      <w:numFmt w:val="lowerLetter"/>
      <w:start w:val="1"/>
    </w:lvl>
    <w:lvl w:ilvl="1">
      <w:lvlJc w:val="left"/>
      <w:lvlText w:val="(%2)"/>
      <w:numFmt w:val="lowerLetter"/>
      <w:start w:val="1"/>
    </w:lvl>
  </w:abstractNum>
  <w:abstractNum w:abstractNumId="695">
    <w:nsid w:val="792A9DB"/>
    <w:multiLevelType w:val="hybridMultilevel"/>
    <w:lvl w:ilvl="0">
      <w:lvlJc w:val="left"/>
      <w:lvlText w:val="(%1)"/>
      <w:numFmt w:val="lowerLetter"/>
      <w:start w:val="9"/>
    </w:lvl>
    <w:lvl w:ilvl="1">
      <w:lvlJc w:val="left"/>
      <w:lvlText w:val="(%2)"/>
      <w:numFmt w:val="lowerLetter"/>
      <w:start w:val="2"/>
    </w:lvl>
  </w:abstractNum>
  <w:abstractNum w:abstractNumId="696">
    <w:nsid w:val="3D92C7D"/>
    <w:multiLevelType w:val="hybridMultilevel"/>
    <w:lvl w:ilvl="0">
      <w:lvlJc w:val="left"/>
      <w:lvlText w:val="(%1)"/>
      <w:numFmt w:val="decimal"/>
      <w:start w:val="3"/>
    </w:lvl>
    <w:lvl w:ilvl="1">
      <w:lvlJc w:val="left"/>
      <w:lvlText w:val="%2."/>
      <w:numFmt w:val="decimal"/>
      <w:start w:val="2"/>
    </w:lvl>
  </w:abstractNum>
  <w:abstractNum w:abstractNumId="697">
    <w:nsid w:val="375A92FF"/>
    <w:multiLevelType w:val="hybridMultilevel"/>
    <w:lvl w:ilvl="0">
      <w:lvlJc w:val="left"/>
      <w:lvlText w:val="%1."/>
      <w:numFmt w:val="decimal"/>
      <w:start w:val="3"/>
    </w:lvl>
  </w:abstractNum>
  <w:abstractNum w:abstractNumId="698">
    <w:nsid w:val="29180EE2"/>
    <w:multiLevelType w:val="hybridMultilevel"/>
    <w:lvl w:ilvl="0">
      <w:lvlJc w:val="left"/>
      <w:lvlText w:val="(%1)"/>
      <w:numFmt w:val="lowerLetter"/>
      <w:start w:val="1"/>
    </w:lvl>
  </w:abstractNum>
  <w:abstractNum w:abstractNumId="699">
    <w:nsid w:val="7C901113"/>
    <w:multiLevelType w:val="hybridMultilevel"/>
    <w:lvl w:ilvl="0">
      <w:lvlJc w:val="left"/>
      <w:lvlText w:val="(%1)"/>
      <w:numFmt w:val="lowerLetter"/>
      <w:start w:val="6"/>
    </w:lvl>
  </w:abstractNum>
  <w:abstractNum w:abstractNumId="700">
    <w:nsid w:val="427028B0"/>
    <w:multiLevelType w:val="hybridMultilevel"/>
    <w:lvl w:ilvl="0">
      <w:lvlJc w:val="left"/>
      <w:lvlText w:val="(%1)"/>
      <w:numFmt w:val="lowerLetter"/>
      <w:start w:val="1"/>
    </w:lvl>
  </w:abstractNum>
  <w:abstractNum w:abstractNumId="701">
    <w:nsid w:val="4E7F1C4D"/>
    <w:multiLevelType w:val="hybridMultilevel"/>
    <w:lvl w:ilvl="0">
      <w:lvlJc w:val="left"/>
      <w:lvlText w:val="(%1)"/>
      <w:numFmt w:val="lowerLetter"/>
      <w:start w:val="2"/>
    </w:lvl>
  </w:abstractNum>
  <w:abstractNum w:abstractNumId="702">
    <w:nsid w:val="5C76D652"/>
    <w:multiLevelType w:val="hybridMultilevel"/>
    <w:lvl w:ilvl="0">
      <w:lvlJc w:val="left"/>
      <w:lvlText w:val="(%1)"/>
      <w:numFmt w:val="lowerLetter"/>
      <w:start w:val="6"/>
    </w:lvl>
  </w:abstractNum>
  <w:abstractNum w:abstractNumId="703">
    <w:nsid w:val="7F1E3DAE"/>
    <w:multiLevelType w:val="hybridMultilevel"/>
    <w:lvl w:ilvl="0">
      <w:lvlJc w:val="left"/>
      <w:lvlText w:val="%1."/>
      <w:numFmt w:val="decimal"/>
      <w:start w:val="4"/>
    </w:lvl>
  </w:abstractNum>
  <w:abstractNum w:abstractNumId="704">
    <w:nsid w:val="3CA6D1B9"/>
    <w:multiLevelType w:val="hybridMultilevel"/>
    <w:lvl w:ilvl="0">
      <w:lvlJc w:val="left"/>
      <w:lvlText w:val="%1."/>
      <w:numFmt w:val="decimal"/>
      <w:start w:val="5"/>
    </w:lvl>
  </w:abstractNum>
  <w:abstractNum w:abstractNumId="705">
    <w:nsid w:val="43754DB7"/>
    <w:multiLevelType w:val="hybridMultilevel"/>
    <w:lvl w:ilvl="0">
      <w:lvlJc w:val="left"/>
      <w:lvlText w:val="(%1)"/>
      <w:numFmt w:val="lowerLetter"/>
      <w:start w:val="1"/>
    </w:lvl>
  </w:abstractNum>
  <w:abstractNum w:abstractNumId="706">
    <w:nsid w:val="40307D27"/>
    <w:multiLevelType w:val="hybridMultilevel"/>
    <w:lvl w:ilvl="0">
      <w:lvlJc w:val="left"/>
      <w:lvlText w:val="(%1)"/>
      <w:numFmt w:val="lowerLetter"/>
      <w:start w:val="1"/>
    </w:lvl>
  </w:abstractNum>
  <w:abstractNum w:abstractNumId="707">
    <w:nsid w:val="DF69013"/>
    <w:multiLevelType w:val="hybridMultilevel"/>
    <w:lvl w:ilvl="0">
      <w:lvlJc w:val="left"/>
      <w:lvlText w:val="(%1)"/>
      <w:numFmt w:val="lowerLetter"/>
      <w:start w:val="35"/>
    </w:lvl>
    <w:lvl w:ilvl="1">
      <w:lvlJc w:val="left"/>
      <w:lvlText w:val="%2."/>
      <w:numFmt w:val="decimal"/>
      <w:start w:val="6"/>
    </w:lvl>
  </w:abstractNum>
  <w:abstractNum w:abstractNumId="708">
    <w:nsid w:val="FDE3B47"/>
    <w:multiLevelType w:val="hybridMultilevel"/>
    <w:lvl w:ilvl="0">
      <w:lvlJc w:val="left"/>
      <w:lvlText w:val="(%1)"/>
      <w:numFmt w:val="lowerLetter"/>
      <w:start w:val="1"/>
    </w:lvl>
    <w:lvl w:ilvl="1">
      <w:lvlJc w:val="left"/>
      <w:lvlText w:val="%2"/>
      <w:numFmt w:val="decimal"/>
      <w:start w:val="1"/>
    </w:lvl>
  </w:abstractNum>
  <w:abstractNum w:abstractNumId="709">
    <w:nsid w:val="5EF4B64"/>
    <w:multiLevelType w:val="hybridMultilevel"/>
    <w:lvl w:ilvl="0">
      <w:lvlJc w:val="left"/>
      <w:lvlText w:val="%1."/>
      <w:numFmt w:val="decimal"/>
      <w:start w:val="7"/>
    </w:lvl>
  </w:abstractNum>
  <w:abstractNum w:abstractNumId="710">
    <w:nsid w:val="2457647B"/>
    <w:multiLevelType w:val="hybridMultilevel"/>
    <w:lvl w:ilvl="0">
      <w:lvlJc w:val="left"/>
      <w:lvlText w:val="(%1)"/>
      <w:numFmt w:val="lowerLetter"/>
      <w:start w:val="1"/>
    </w:lvl>
  </w:abstractNum>
  <w:abstractNum w:abstractNumId="711">
    <w:nsid w:val="66F06E9"/>
    <w:multiLevelType w:val="hybridMultilevel"/>
    <w:lvl w:ilvl="0">
      <w:lvlJc w:val="left"/>
      <w:lvlText w:val="%1"/>
      <w:numFmt w:val="decimal"/>
      <w:start w:val="1"/>
    </w:lvl>
    <w:lvl w:ilvl="1">
      <w:lvlJc w:val="left"/>
      <w:lvlText w:val="(%2)"/>
      <w:numFmt w:val="lowerLetter"/>
      <w:start w:val="1"/>
    </w:lvl>
  </w:abstractNum>
  <w:abstractNum w:abstractNumId="712">
    <w:nsid w:val="2ABAB37"/>
    <w:multiLevelType w:val="hybridMultilevel"/>
    <w:lvl w:ilvl="0">
      <w:lvlJc w:val="left"/>
      <w:lvlText w:val="(%1)"/>
      <w:numFmt w:val="decimal"/>
      <w:start w:val="5"/>
    </w:lvl>
    <w:lvl w:ilvl="1">
      <w:lvlJc w:val="left"/>
      <w:lvlText w:val="(%2)"/>
      <w:numFmt w:val="lowerLetter"/>
      <w:start w:val="2"/>
    </w:lvl>
  </w:abstractNum>
  <w:abstractNum w:abstractNumId="713">
    <w:nsid w:val="3D5EC8AB"/>
    <w:multiLevelType w:val="hybridMultilevel"/>
    <w:lvl w:ilvl="0">
      <w:lvlJc w:val="left"/>
      <w:lvlText w:val="(%1)"/>
      <w:numFmt w:val="lowerLetter"/>
      <w:start w:val="1"/>
    </w:lvl>
    <w:lvl w:ilvl="1">
      <w:lvlJc w:val="left"/>
      <w:lvlText w:val="(%2)"/>
      <w:numFmt w:val="decimal"/>
      <w:start w:val="1"/>
    </w:lvl>
  </w:abstractNum>
  <w:abstractNum w:abstractNumId="714">
    <w:nsid w:val="31F4FCAD"/>
    <w:multiLevelType w:val="hybridMultilevel"/>
    <w:lvl w:ilvl="0">
      <w:lvlJc w:val="left"/>
      <w:lvlText w:val="☐"/>
      <w:numFmt w:val="bullet"/>
      <w:start w:val="1"/>
    </w:lvl>
  </w:abstractNum>
  <w:abstractNum w:abstractNumId="715">
    <w:nsid w:val="477DB47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16">
    <w:nsid w:val="4FD5720B"/>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2"/>
    </w:lvl>
  </w:abstractNum>
  <w:abstractNum w:abstractNumId="717">
    <w:nsid w:val="4D3C9346"/>
    <w:multiLevelType w:val="hybridMultilevel"/>
    <w:lvl w:ilvl="0">
      <w:lvlJc w:val="left"/>
      <w:lvlText w:val="(%1)"/>
      <w:numFmt w:val="decimal"/>
      <w:start w:val="120"/>
    </w:lvl>
    <w:lvl w:ilvl="1">
      <w:lvlJc w:val="left"/>
      <w:lvlText w:val="(%2)"/>
      <w:numFmt w:val="lowerLetter"/>
      <w:start w:val="4"/>
    </w:lvl>
  </w:abstractNum>
  <w:abstractNum w:abstractNumId="718">
    <w:nsid w:val="2CF0838B"/>
    <w:multiLevelType w:val="hybridMultilevel"/>
    <w:lvl w:ilvl="0">
      <w:lvlJc w:val="left"/>
      <w:lvlText w:val="(%1)"/>
      <w:numFmt w:val="decimal"/>
      <w:start w:val="180"/>
    </w:lvl>
    <w:lvl w:ilvl="1">
      <w:lvlJc w:val="left"/>
      <w:lvlText w:val="%2"/>
      <w:numFmt w:val="lowerLetter"/>
      <w:start w:val="1"/>
    </w:lvl>
  </w:abstractNum>
  <w:abstractNum w:abstractNumId="719">
    <w:nsid w:val="3E238E27"/>
    <w:multiLevelType w:val="hybridMultilevel"/>
    <w:lvl w:ilvl="0">
      <w:lvlJc w:val="left"/>
      <w:lvlText w:val="(%1)"/>
      <w:numFmt w:val="lowerLetter"/>
      <w:start w:val="1"/>
    </w:lvl>
  </w:abstractNum>
  <w:abstractNum w:abstractNumId="720">
    <w:nsid w:val="1BB4DBCD"/>
    <w:multiLevelType w:val="hybridMultilevel"/>
    <w:lvl w:ilvl="0">
      <w:lvlJc w:val="left"/>
      <w:lvlText w:val="(%1)"/>
      <w:numFmt w:val="lowerLetter"/>
      <w:start w:val="3"/>
    </w:lvl>
  </w:abstractNum>
  <w:abstractNum w:abstractNumId="721">
    <w:nsid w:val="659DCFA3"/>
    <w:multiLevelType w:val="hybridMultilevel"/>
    <w:lvl w:ilvl="0">
      <w:lvlJc w:val="left"/>
      <w:lvlText w:val="(%1)"/>
      <w:numFmt w:val="lowerLetter"/>
      <w:start w:val="1"/>
    </w:lvl>
  </w:abstractNum>
  <w:abstractNum w:abstractNumId="722">
    <w:nsid w:val="6F07C58"/>
    <w:multiLevelType w:val="hybridMultilevel"/>
    <w:lvl w:ilvl="0">
      <w:lvlJc w:val="left"/>
      <w:lvlText w:val="(%1)"/>
      <w:numFmt w:val="lowerLetter"/>
      <w:start w:val="4"/>
    </w:lvl>
  </w:abstractNum>
  <w:abstractNum w:abstractNumId="723">
    <w:nsid w:val="619F753B"/>
    <w:multiLevelType w:val="hybridMultilevel"/>
    <w:lvl w:ilvl="0">
      <w:lvlJc w:val="left"/>
      <w:lvlText w:val="(%1)"/>
      <w:numFmt w:val="lowerLetter"/>
      <w:start w:val="1"/>
    </w:lvl>
  </w:abstractNum>
  <w:abstractNum w:abstractNumId="724">
    <w:nsid w:val="29BD8A97"/>
    <w:multiLevelType w:val="hybridMultilevel"/>
    <w:lvl w:ilvl="0">
      <w:lvlJc w:val="left"/>
      <w:lvlText w:val="%1"/>
      <w:numFmt w:val="lowerLetter"/>
      <w:start w:val="1"/>
    </w:lvl>
    <w:lvl w:ilvl="1">
      <w:lvlJc w:val="left"/>
      <w:lvlText w:val="(%2)"/>
      <w:numFmt w:val="lowerLetter"/>
      <w:start w:val="2"/>
    </w:lvl>
  </w:abstractNum>
  <w:abstractNum w:abstractNumId="725">
    <w:nsid w:val="61C66E3"/>
    <w:multiLevelType w:val="hybridMultilevel"/>
    <w:lvl w:ilvl="0">
      <w:lvlJc w:val="left"/>
      <w:lvlText w:val="(%1)"/>
      <w:numFmt w:val="lowerLetter"/>
      <w:start w:val="35"/>
    </w:lvl>
    <w:lvl w:ilvl="1">
      <w:lvlJc w:val="left"/>
      <w:lvlText w:val="%2"/>
      <w:numFmt w:val="lowerLetter"/>
      <w:start w:val="1"/>
    </w:lvl>
  </w:abstractNum>
  <w:abstractNum w:abstractNumId="726">
    <w:nsid w:val="69321F16"/>
    <w:multiLevelType w:val="hybridMultilevel"/>
    <w:lvl w:ilvl="0">
      <w:lvlJc w:val="left"/>
      <w:lvlText w:val="(%1)"/>
      <w:numFmt w:val="lowerLetter"/>
      <w:start w:val="5"/>
    </w:lvl>
  </w:abstractNum>
  <w:abstractNum w:abstractNumId="727">
    <w:nsid w:val="2D96B714"/>
    <w:multiLevelType w:val="hybridMultilevel"/>
    <w:lvl w:ilvl="0">
      <w:lvlJc w:val="left"/>
      <w:lvlText w:val="(%1)"/>
      <w:numFmt w:val="lowerLetter"/>
      <w:start w:val="1"/>
    </w:lvl>
  </w:abstractNum>
  <w:abstractNum w:abstractNumId="728">
    <w:nsid w:val="3D76F9E2"/>
    <w:multiLevelType w:val="hybridMultilevel"/>
    <w:lvl w:ilvl="0">
      <w:lvlJc w:val="left"/>
      <w:lvlText w:val="(%1)"/>
      <w:numFmt w:val="lowerLetter"/>
      <w:start w:val="3"/>
    </w:lvl>
  </w:abstractNum>
  <w:abstractNum w:abstractNumId="729">
    <w:nsid w:val="124A2DF8"/>
    <w:multiLevelType w:val="hybridMultilevel"/>
    <w:lvl w:ilvl="0">
      <w:lvlJc w:val="left"/>
      <w:lvlText w:val="(%1)"/>
      <w:numFmt w:val="decimal"/>
      <w:start w:val="2"/>
    </w:lvl>
  </w:abstractNum>
  <w:abstractNum w:abstractNumId="730">
    <w:nsid w:val="2A26C828"/>
    <w:multiLevelType w:val="hybridMultilevel"/>
    <w:lvl w:ilvl="0">
      <w:lvlJc w:val="left"/>
      <w:lvlText w:val="(%1)"/>
      <w:numFmt w:val="lowerLetter"/>
      <w:start w:val="1"/>
    </w:lvl>
  </w:abstractNum>
  <w:abstractNum w:abstractNumId="731">
    <w:nsid w:val="7FE72292"/>
    <w:multiLevelType w:val="hybridMultilevel"/>
    <w:lvl w:ilvl="0">
      <w:lvlJc w:val="left"/>
      <w:lvlText w:val="%1"/>
      <w:numFmt w:val="lowerLetter"/>
      <w:start w:val="1"/>
    </w:lvl>
    <w:lvl w:ilvl="1">
      <w:lvlJc w:val="left"/>
      <w:lvlText w:val="(%2)"/>
      <w:numFmt w:val="lowerLetter"/>
      <w:start w:val="3"/>
    </w:lvl>
  </w:abstractNum>
  <w:abstractNum w:abstractNumId="732">
    <w:nsid w:val="60C94A46"/>
    <w:multiLevelType w:val="hybridMultilevel"/>
    <w:lvl w:ilvl="0">
      <w:lvlJc w:val="left"/>
      <w:lvlText w:val="(%1)"/>
      <w:numFmt w:val="lowerLetter"/>
      <w:start w:val="61"/>
    </w:lvl>
    <w:lvl w:ilvl="1">
      <w:lvlJc w:val="left"/>
      <w:lvlText w:val="%2"/>
      <w:numFmt w:val="lowerLetter"/>
      <w:start w:val="1"/>
    </w:lvl>
  </w:abstractNum>
  <w:abstractNum w:abstractNumId="733">
    <w:nsid w:val="69D9E7A"/>
    <w:multiLevelType w:val="hybridMultilevel"/>
    <w:lvl w:ilvl="0">
      <w:lvlJc w:val="left"/>
      <w:lvlText w:val="%1"/>
      <w:numFmt w:val="decimal"/>
      <w:start w:val="1"/>
    </w:lvl>
    <w:lvl w:ilvl="1">
      <w:lvlJc w:val="left"/>
      <w:lvlText w:val="(%2)"/>
      <w:numFmt w:val="lowerLetter"/>
      <w:start w:val="1"/>
    </w:lvl>
  </w:abstractNum>
  <w:abstractNum w:abstractNumId="734">
    <w:nsid w:val="7F056040"/>
    <w:multiLevelType w:val="hybridMultilevel"/>
    <w:lvl w:ilvl="0">
      <w:lvlJc w:val="left"/>
      <w:lvlText w:val="%1."/>
      <w:numFmt w:val="decimal"/>
      <w:start w:val="3"/>
    </w:lvl>
    <w:lvl w:ilvl="1">
      <w:lvlJc w:val="left"/>
      <w:lvlText w:val="%2"/>
      <w:numFmt w:val="lowerLetter"/>
      <w:start w:val="1"/>
    </w:lvl>
  </w:abstractNum>
  <w:abstractNum w:abstractNumId="735">
    <w:nsid w:val="1D701BFF"/>
    <w:multiLevelType w:val="hybridMultilevel"/>
    <w:lvl w:ilvl="0">
      <w:lvlJc w:val="left"/>
      <w:lvlText w:val="%1"/>
      <w:numFmt w:val="lowerLetter"/>
      <w:start w:val="1"/>
    </w:lvl>
    <w:lvl w:ilvl="1">
      <w:lvlJc w:val="left"/>
      <w:lvlText w:val="(%2)"/>
      <w:numFmt w:val="lowerLetter"/>
      <w:start w:val="1"/>
    </w:lvl>
  </w:abstractNum>
  <w:abstractNum w:abstractNumId="736">
    <w:nsid w:val="4A12EC32"/>
    <w:multiLevelType w:val="hybridMultilevel"/>
    <w:lvl w:ilvl="0">
      <w:lvlJc w:val="left"/>
      <w:lvlText w:val="(%1)"/>
      <w:numFmt w:val="lowerLetter"/>
      <w:start w:val="9"/>
    </w:lvl>
    <w:lvl w:ilvl="1">
      <w:lvlJc w:val="left"/>
      <w:lvlText w:val="%2"/>
      <w:numFmt w:val="lowerLetter"/>
      <w:start w:val="1"/>
    </w:lvl>
  </w:abstractNum>
  <w:abstractNum w:abstractNumId="737">
    <w:nsid w:val="3F35DD67"/>
    <w:multiLevelType w:val="hybridMultilevel"/>
    <w:lvl w:ilvl="0">
      <w:lvlJc w:val="left"/>
      <w:lvlText w:val="(%1)"/>
      <w:numFmt w:val="lowerLetter"/>
      <w:start w:val="61"/>
    </w:lvl>
    <w:lvl w:ilvl="1">
      <w:lvlJc w:val="left"/>
      <w:lvlText w:val="%2"/>
      <w:numFmt w:val="lowerLetter"/>
      <w:start w:val="1"/>
    </w:lvl>
  </w:abstractNum>
  <w:abstractNum w:abstractNumId="738">
    <w:nsid w:val="2B66AC12"/>
    <w:multiLevelType w:val="hybridMultilevel"/>
    <w:lvl w:ilvl="0">
      <w:lvlJc w:val="left"/>
      <w:lvlText w:val="(%1)"/>
      <w:numFmt w:val="lowerLetter"/>
      <w:start w:val="2"/>
    </w:lvl>
  </w:abstractNum>
  <w:abstractNum w:abstractNumId="739">
    <w:nsid w:val="59F12779"/>
    <w:multiLevelType w:val="hybridMultilevel"/>
    <w:lvl w:ilvl="0">
      <w:lvlJc w:val="left"/>
      <w:lvlText w:val="%1."/>
      <w:numFmt w:val="decimal"/>
      <w:start w:val="4"/>
    </w:lvl>
  </w:abstractNum>
  <w:abstractNum w:abstractNumId="740">
    <w:nsid w:val="452528CB"/>
    <w:multiLevelType w:val="hybridMultilevel"/>
    <w:lvl w:ilvl="0">
      <w:lvlJc w:val="left"/>
      <w:lvlText w:val="(%1)"/>
      <w:numFmt w:val="lowerLetter"/>
      <w:start w:val="1"/>
    </w:lvl>
  </w:abstractNum>
  <w:abstractNum w:abstractNumId="741">
    <w:nsid w:val="4FBE108E"/>
    <w:multiLevelType w:val="hybridMultilevel"/>
    <w:lvl w:ilvl="0">
      <w:lvlJc w:val="left"/>
      <w:lvlText w:val="(%1)"/>
      <w:numFmt w:val="lowerLetter"/>
      <w:start w:val="3"/>
    </w:lvl>
  </w:abstractNum>
  <w:abstractNum w:abstractNumId="742">
    <w:nsid w:val="60602E62"/>
    <w:multiLevelType w:val="hybridMultilevel"/>
    <w:lvl w:ilvl="0">
      <w:lvlJc w:val="left"/>
      <w:lvlText w:val="%1."/>
      <w:numFmt w:val="decimal"/>
      <w:start w:val="5"/>
    </w:lvl>
  </w:abstractNum>
  <w:abstractNum w:abstractNumId="743">
    <w:nsid w:val="47D0D402"/>
    <w:multiLevelType w:val="hybridMultilevel"/>
    <w:lvl w:ilvl="0">
      <w:lvlJc w:val="left"/>
      <w:lvlText w:val="%1."/>
      <w:numFmt w:val="decimal"/>
      <w:start w:val="6"/>
    </w:lvl>
  </w:abstractNum>
  <w:abstractNum w:abstractNumId="744">
    <w:nsid w:val="D1CD939"/>
    <w:multiLevelType w:val="hybridMultilevel"/>
    <w:lvl w:ilvl="0">
      <w:lvlJc w:val="left"/>
      <w:lvlText w:val="(%1)"/>
      <w:numFmt w:val="lowerLetter"/>
      <w:start w:val="1"/>
    </w:lvl>
  </w:abstractNum>
  <w:abstractNum w:abstractNumId="745">
    <w:nsid w:val="12552B10"/>
    <w:multiLevelType w:val="hybridMultilevel"/>
    <w:lvl w:ilvl="0">
      <w:lvlJc w:val="left"/>
      <w:lvlText w:val="(%1)"/>
      <w:numFmt w:val="lowerLetter"/>
      <w:start w:val="2"/>
    </w:lvl>
  </w:abstractNum>
  <w:abstractNum w:abstractNumId="746">
    <w:nsid w:val="F4E8872"/>
    <w:multiLevelType w:val="hybridMultilevel"/>
    <w:lvl w:ilvl="0">
      <w:lvlJc w:val="left"/>
      <w:lvlText w:val="(%1)"/>
      <w:numFmt w:val="lowerLetter"/>
      <w:start w:val="2"/>
    </w:lvl>
  </w:abstractNum>
  <w:abstractNum w:abstractNumId="747">
    <w:nsid w:val="5CF24B45"/>
    <w:multiLevelType w:val="hybridMultilevel"/>
    <w:lvl w:ilvl="0">
      <w:lvlJc w:val="left"/>
      <w:lvlText w:val="%1."/>
      <w:numFmt w:val="upperLetter"/>
      <w:start w:val="9"/>
    </w:lvl>
  </w:abstractNum>
  <w:abstractNum w:abstractNumId="748">
    <w:nsid w:val="5F91BE56"/>
    <w:multiLevelType w:val="hybridMultilevel"/>
    <w:lvl w:ilvl="0">
      <w:lvlJc w:val="left"/>
      <w:lvlText w:val="%1."/>
      <w:numFmt w:val="upperLetter"/>
      <w:start w:val="35"/>
    </w:lvl>
  </w:abstractNum>
  <w:abstractNum w:abstractNumId="749">
    <w:nsid w:val="3C3F0BFD"/>
    <w:multiLevelType w:val="hybridMultilevel"/>
    <w:lvl w:ilvl="0">
      <w:lvlJc w:val="left"/>
      <w:lvlText w:val="%1."/>
      <w:numFmt w:val="upperLetter"/>
      <w:start w:val="22"/>
    </w:lvl>
  </w:abstractNum>
  <w:abstractNum w:abstractNumId="750">
    <w:nsid w:val="1B15D96C"/>
    <w:multiLevelType w:val="hybridMultilevel"/>
    <w:lvl w:ilvl="0">
      <w:lvlJc w:val="left"/>
      <w:lvlText w:val="%1."/>
      <w:numFmt w:val="upperLetter"/>
      <w:start w:val="1"/>
    </w:lvl>
  </w:abstractNum>
  <w:abstractNum w:abstractNumId="751">
    <w:nsid w:val="7B469A23"/>
    <w:multiLevelType w:val="hybridMultilevel"/>
    <w:lvl w:ilvl="0">
      <w:lvlJc w:val="left"/>
      <w:lvlText w:val="%1."/>
      <w:numFmt w:val="upperLetter"/>
      <w:start w:val="2"/>
    </w:lvl>
  </w:abstractNum>
  <w:abstractNum w:abstractNumId="752">
    <w:nsid w:val="21DCDBA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2020-12-18T16:21:47Z</dcterms:created>
  <dcterms:modified xsi:type="dcterms:W3CDTF">2020-12-18T16:21:47Z</dcterms:modified>
</cp:coreProperties>
</file>