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160" w:type="dxa"/>
            <w:vAlign w:val="bottom"/>
            <w:gridSpan w:val="3"/>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Doyle Mittie</w:t>
              </w:r>
            </w:hyperlink>
          </w:p>
        </w:tc>
        <w:tc>
          <w:tcPr>
            <w:tcW w:w="13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Cullinan Therapeutics,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CGEM</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1160" w:type="dxa"/>
            <w:vAlign w:val="bottom"/>
            <w:gridSpan w:val="3"/>
            <w:vMerge w:val="continue"/>
          </w:tcPr>
          <w:p>
            <w:pPr>
              <w:spacing w:after="0"/>
              <w:rPr>
                <w:sz w:val="6"/>
                <w:szCs w:val="6"/>
                <w:color w:val="auto"/>
              </w:rPr>
            </w:pPr>
          </w:p>
        </w:tc>
        <w:tc>
          <w:tcPr>
            <w:tcW w:w="13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40" w:type="dxa"/>
            <w:vAlign w:val="bottom"/>
            <w:tcBorders>
              <w:bottom w:val="single" w:sz="8" w:color="0000EE"/>
            </w:tcBorders>
          </w:tcPr>
          <w:p>
            <w:pPr>
              <w:spacing w:after="0"/>
              <w:rPr>
                <w:sz w:val="6"/>
                <w:szCs w:val="6"/>
                <w:color w:val="auto"/>
              </w:rPr>
            </w:pPr>
          </w:p>
        </w:tc>
        <w:tc>
          <w:tcPr>
            <w:tcW w:w="15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160" w:type="dxa"/>
            <w:vAlign w:val="bottom"/>
            <w:gridSpan w:val="3"/>
            <w:vMerge w:val="continue"/>
          </w:tcPr>
          <w:p>
            <w:pPr>
              <w:spacing w:after="0"/>
              <w:rPr>
                <w:sz w:val="5"/>
                <w:szCs w:val="5"/>
                <w:color w:val="auto"/>
              </w:rPr>
            </w:pPr>
          </w:p>
        </w:tc>
        <w:tc>
          <w:tcPr>
            <w:tcW w:w="13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40" w:type="dxa"/>
            <w:vAlign w:val="bottom"/>
          </w:tcPr>
          <w:p>
            <w:pPr>
              <w:spacing w:after="0"/>
              <w:rPr>
                <w:sz w:val="5"/>
                <w:szCs w:val="5"/>
                <w:color w:val="auto"/>
              </w:rPr>
            </w:pPr>
          </w:p>
        </w:tc>
        <w:tc>
          <w:tcPr>
            <w:tcW w:w="152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6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40" w:type="dxa"/>
            <w:vAlign w:val="bottom"/>
          </w:tcPr>
          <w:p>
            <w:pPr>
              <w:spacing w:after="0"/>
              <w:rPr>
                <w:sz w:val="6"/>
                <w:szCs w:val="6"/>
                <w:color w:val="auto"/>
              </w:rPr>
            </w:pPr>
          </w:p>
        </w:tc>
        <w:tc>
          <w:tcPr>
            <w:tcW w:w="15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3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060" w:type="dxa"/>
            <w:vAlign w:val="bottom"/>
            <w:tcBorders>
              <w:top w:val="single" w:sz="8" w:color="EEEEEE"/>
            </w:tcBorders>
          </w:tcPr>
          <w:p>
            <w:pPr>
              <w:spacing w:after="0"/>
              <w:rPr>
                <w:sz w:val="2"/>
                <w:szCs w:val="2"/>
                <w:color w:val="auto"/>
              </w:rPr>
            </w:pPr>
          </w:p>
        </w:tc>
        <w:tc>
          <w:tcPr>
            <w:tcW w:w="80" w:type="dxa"/>
            <w:vAlign w:val="bottom"/>
            <w:tcBorders>
              <w:top w:val="single" w:sz="8" w:color="EEEEEE"/>
            </w:tcBorders>
          </w:tcPr>
          <w:p>
            <w:pPr>
              <w:spacing w:after="0"/>
              <w:rPr>
                <w:sz w:val="2"/>
                <w:szCs w:val="2"/>
                <w:color w:val="auto"/>
              </w:rPr>
            </w:pPr>
          </w:p>
        </w:tc>
        <w:tc>
          <w:tcPr>
            <w:tcW w:w="130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160" w:type="dxa"/>
            <w:vAlign w:val="bottom"/>
            <w:gridSpan w:val="3"/>
            <w:vMerge w:val="restart"/>
          </w:tcPr>
          <w:p>
            <w:pPr>
              <w:ind w:left="20"/>
              <w:spacing w:after="0"/>
              <w:rPr>
                <w:sz w:val="20"/>
                <w:szCs w:val="20"/>
                <w:color w:val="auto"/>
              </w:rPr>
            </w:pPr>
            <w:r>
              <w:rPr>
                <w:rFonts w:ascii="Arial" w:cs="Arial" w:eastAsia="Arial" w:hAnsi="Arial"/>
                <w:sz w:val="13"/>
                <w:szCs w:val="13"/>
                <w:color w:val="auto"/>
              </w:rPr>
              <w:t>(Last)</w:t>
            </w:r>
          </w:p>
        </w:tc>
        <w:tc>
          <w:tcPr>
            <w:tcW w:w="1300" w:type="dxa"/>
            <w:vAlign w:val="bottom"/>
            <w:vMerge w:val="restart"/>
          </w:tcPr>
          <w:p>
            <w:pPr>
              <w:ind w:left="8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160" w:type="dxa"/>
            <w:vAlign w:val="bottom"/>
            <w:gridSpan w:val="3"/>
            <w:vMerge w:val="continue"/>
          </w:tcPr>
          <w:p>
            <w:pPr>
              <w:spacing w:after="0"/>
              <w:rPr>
                <w:sz w:val="7"/>
                <w:szCs w:val="7"/>
                <w:color w:val="auto"/>
              </w:rPr>
            </w:pPr>
          </w:p>
        </w:tc>
        <w:tc>
          <w:tcPr>
            <w:tcW w:w="130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4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06/16/2026</w:t>
            </w:r>
          </w:p>
        </w:tc>
        <w:tc>
          <w:tcPr>
            <w:tcW w:w="152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CULLINAN THERAPEUTICS, INC.</w:t>
            </w:r>
          </w:p>
        </w:tc>
        <w:tc>
          <w:tcPr>
            <w:tcW w:w="2400" w:type="dxa"/>
            <w:vAlign w:val="bottom"/>
            <w:gridSpan w:val="3"/>
            <w:vMerge w:val="continue"/>
          </w:tcPr>
          <w:p>
            <w:pPr>
              <w:spacing w:after="0"/>
              <w:rPr>
                <w:sz w:val="10"/>
                <w:szCs w:val="10"/>
                <w:color w:val="auto"/>
              </w:rPr>
            </w:pPr>
          </w:p>
        </w:tc>
        <w:tc>
          <w:tcPr>
            <w:tcW w:w="15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w w:val="98"/>
              </w:rPr>
              <w:t>ONE MAIN STREET, SUITE 1350</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tcPr>
          <w:p>
            <w:pPr>
              <w:spacing w:after="0"/>
              <w:rPr>
                <w:sz w:val="11"/>
                <w:szCs w:val="11"/>
                <w:color w:val="auto"/>
              </w:rPr>
            </w:pPr>
          </w:p>
        </w:tc>
        <w:tc>
          <w:tcPr>
            <w:tcW w:w="152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8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CAMBRIDGE</w:t>
            </w: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02142</w:t>
            </w:r>
          </w:p>
        </w:tc>
      </w:tr>
      <w:tr>
        <w:trPr>
          <w:trHeight w:val="149"/>
        </w:trPr>
        <w:tc>
          <w:tcPr>
            <w:tcW w:w="2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13.55</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06/16/2026</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21,781</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06/16/2026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21,781</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21,781</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380" w:firstLine="2"/>
        <w:spacing w:after="0" w:line="248"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represents a right to purchase a total of 21,781 shares of the Issuer's Common Stock, which shall vest in full on the earlier of (i) June 16, 2027 or (ii) the date of the Issuer's next annual meeting, subject to the Reporting Person's continued service as a director on such vesting date.</w:t>
      </w:r>
    </w:p>
    <w:p>
      <w:pPr>
        <w:ind w:left="6600"/>
        <w:spacing w:after="0" w:line="230" w:lineRule="auto"/>
        <w:tabs>
          <w:tab w:leader="none" w:pos="8780" w:val="left"/>
        </w:tabs>
        <w:rPr>
          <w:sz w:val="20"/>
          <w:szCs w:val="20"/>
          <w:color w:val="auto"/>
        </w:rPr>
      </w:pPr>
      <w:r>
        <w:rPr>
          <w:rFonts w:ascii="Times New Roman" w:cs="Times New Roman" w:eastAsia="Times New Roman" w:hAnsi="Times New Roman"/>
          <w:sz w:val="17"/>
          <w:szCs w:val="17"/>
          <w:color w:val="0000FF"/>
        </w:rPr>
        <w:t>/s/ Jacquelyn Sumer, Attorney-</w:t>
      </w:r>
      <w:r>
        <w:rPr>
          <w:sz w:val="20"/>
          <w:szCs w:val="20"/>
          <w:color w:val="auto"/>
        </w:rPr>
        <w:tab/>
      </w:r>
      <w:r>
        <w:rPr>
          <w:rFonts w:ascii="Times New Roman" w:cs="Times New Roman" w:eastAsia="Times New Roman" w:hAnsi="Times New Roman"/>
          <w:sz w:val="25"/>
          <w:szCs w:val="25"/>
          <w:color w:val="0000FF"/>
          <w:vertAlign w:val="subscript"/>
        </w:rPr>
        <w:t>06/18/2026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201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016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3016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0162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918845" TargetMode="External"/><Relationship Id="rId14" Type="http://schemas.openxmlformats.org/officeDocument/2006/relationships/hyperlink" Target="http://www.sec.gov/cgi-bin/browse-edgar?action=getcompany&amp;CIK=000178997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2026-06-18T16:17:28Z</dcterms:created>
  <dcterms:modified xsi:type="dcterms:W3CDTF">2026-06-18T16:17:28Z</dcterms:modified>
</cp:coreProperties>
</file>