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28, 2026</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Cullinan Therapeutics, Inc.</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81-3879991</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One Main Street</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1350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Cambridge, MA 02142</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(617) 410-4650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Nadim Ahmed</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Cullinan Therapeutics, Inc.</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One Main Street</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1350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Cambridge, MA 02142</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(617) 410-4650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Thomas J. Danielski, Esq.</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Ropes &amp; Gray LLP</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Prudential Tower</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800 Boylston Street</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Boston, MA 02199-3600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this registration statement becomes effective.</w:t>
      </w:r>
    </w:p>
    <w:p>
      <w:pPr>
        <w:spacing w:after="0" w:line="3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9" w:lineRule="exact"/>
        <w:rPr>
          <w:sz w:val="24"/>
          <w:szCs w:val="24"/>
          <w:color w:val="auto"/>
        </w:rPr>
      </w:pPr>
    </w:p>
    <w:p>
      <w:pPr>
        <w:ind w:left="1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that covers the offering, issuance and sale by us of up an indeterminate amount of our securities identified above from time to time in one or more offerings;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that covers the offering, issuance and sale by us of up to a maximum aggregate offering price of</w:t>
      </w:r>
    </w:p>
    <w:p>
      <w:pPr>
        <w:spacing w:after="0" w:line="27"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of our common stock that may be issued and sold from time to time under a sales agreement with TD Securities (USA) LLC (“TD Cowen”).</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base prospectus immediately follows this explanatory note. The sales agreement prospectus</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immediately follows the base prospectus.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Cullinan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189865</wp:posOffset>
            </wp:positionV>
            <wp:extent cx="2263140" cy="1174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in amounts, at prices and on the terms that we will determine at the time of the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“CGEM.”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2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28, 2026.</w:t>
      </w:r>
    </w:p>
    <w:p>
      <w:pPr>
        <w:sectPr>
          <w:pgSz w:w="11900" w:h="16838" w:orient="portrait"/>
          <w:cols w:equalWidth="0" w:num="1">
            <w:col w:w="11040"/>
          </w:cols>
          <w:pgMar w:left="320" w:top="455"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3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7"/>
          </w:tcPr>
          <w:p>
            <w:pPr>
              <w:spacing w:after="0"/>
              <w:rPr>
                <w:sz w:val="17"/>
                <w:szCs w:val="17"/>
                <w:color w:val="auto"/>
              </w:rPr>
            </w:pPr>
          </w:p>
        </w:tc>
        <w:tc>
          <w:tcPr>
            <w:tcW w:w="380" w:type="dxa"/>
            <w:vAlign w:val="bottom"/>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CULLINAN THERAPEUTICS, INC.</w:t>
            </w:r>
          </w:p>
        </w:tc>
        <w:tc>
          <w:tcPr>
            <w:tcW w:w="180" w:type="dxa"/>
            <w:vAlign w:val="bottom"/>
            <w:tcBorders>
              <w:top w:val="single" w:sz="8" w:color="0000EE"/>
            </w:tcBorders>
            <w:gridSpan w:val="3"/>
          </w:tcPr>
          <w:p>
            <w:pPr>
              <w:spacing w:after="0"/>
              <w:rPr>
                <w:sz w:val="17"/>
                <w:szCs w:val="17"/>
                <w:color w:val="auto"/>
              </w:rPr>
            </w:pPr>
          </w:p>
        </w:tc>
        <w:tc>
          <w:tcPr>
            <w:tcW w:w="1260" w:type="dxa"/>
            <w:vAlign w:val="bottom"/>
            <w:gridSpan w:val="6"/>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600" w:type="dxa"/>
            <w:vAlign w:val="bottom"/>
            <w:gridSpan w:val="15"/>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160" w:type="dxa"/>
            <w:vAlign w:val="bottom"/>
            <w:gridSpan w:val="5"/>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860" w:type="dxa"/>
            <w:vAlign w:val="bottom"/>
            <w:gridSpan w:val="4"/>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1060" w:type="dxa"/>
            <w:vAlign w:val="bottom"/>
            <w:tcBorders>
              <w:top w:val="single" w:sz="8" w:color="0000EE"/>
            </w:tcBorders>
            <w:gridSpan w:val="8"/>
          </w:tcPr>
          <w:p>
            <w:pPr>
              <w:spacing w:after="0"/>
              <w:rPr>
                <w:sz w:val="17"/>
                <w:szCs w:val="17"/>
                <w:color w:val="auto"/>
              </w:rPr>
            </w:pPr>
          </w:p>
        </w:tc>
        <w:tc>
          <w:tcPr>
            <w:tcW w:w="640" w:type="dxa"/>
            <w:vAlign w:val="bottom"/>
            <w:gridSpan w:val="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2160" w:type="dxa"/>
            <w:vAlign w:val="bottom"/>
            <w:gridSpan w:val="13"/>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2140" w:type="dxa"/>
            <w:vAlign w:val="bottom"/>
            <w:gridSpan w:val="1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“Company,” “we,” “our” and “us” refer, collectively, to Cullinan Therapeutics, Inc., a Delaware corporation, and its consolidated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https://www.sec.gov. Copies of certain information filed by us with the SEC are also available on our website at https://www.cullinantherapeutics.com. Our website is not a part of this prospectus and is not incorporated by reference in this prospectus.</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(File No. 001-39856)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Proxy Statement on </w:t>
      </w:r>
      <w:hyperlink r:id="rId2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as filed with the SEC on April 28,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SEC on March 10,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2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January 8, 2026 (Item 8.01 only);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January 6, 2021, as the description therein has been updated and superseded by the description of our capital stock contained in </w:t>
      </w:r>
      <w:hyperlink r:id="rId3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as filed with the SEC on March 30, 2021,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One Main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1350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20" w:right="4920" w:hanging="458"/>
        <w:spacing w:after="0" w:line="433" w:lineRule="auto"/>
        <w:tabs>
          <w:tab w:leader="none" w:pos="54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410-4650 -2-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certain forward-looking statements within the meaning of Section 27A of the Securities Act and Section 21E of the Exchange Act. These statements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cost of development, and timing of the approval of our clinical-stage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and the period during which the results of the trials will become available;</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and obtain clearance of, any global regulatory filings, including new drug applications or investigational new drug applications on our expected timelines,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governmental legislation and regulations, including adverse effects from any potential future United States government shutdown;</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global economic conditions, including uncertainties related to international trade policies, tariffs and supply chain dynamics, on our business and operations, including our expenses, supply chain, manufacturing processes, preclinical studies, and clinical trials;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currently marketing therapies or developing product candidates with targets or indications similar to our product candidates’ targets or indications;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to manufacture drug substance and drug product for use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of our current and future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advance through clinical development any additional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current and future product candidates, if approved, including our ability to successfully build a specialty sales force and commercial infrastructure to market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pricing, and reimbursement;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the sufficiency of our current resources, and our needs for or ability to obtain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payments that we may receive from Taiho Pharmaceutical Co.,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our pipeline and the potential for such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additional strategic collaborations or arrangements, and our ability to attract collaborators with development, regulatory, and commercialization expertise;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section of any accompanying prospectus supplement under “Risk Factors.” If one or more of these risks or uncertainties occur, or if our underlying assumptions prove to be incorrect, actual events or results may vary significantly from those implied or projected by the forward-looking statements.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or implied by any forward-looking statements we may make. No forward-looking statement is a guarantee of future performance.</w:t>
      </w:r>
    </w:p>
    <w:p>
      <w:pPr>
        <w:spacing w:after="0" w:line="19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herein completely and with the understanding that our actual future results may be materially different from what we expect. You should also carefully review the risk factors, risk factor summary and cautionary statements described in the other documents we file from time to time with the SEC, specifically our most recent Annual Report</w:t>
      </w:r>
    </w:p>
    <w:p>
      <w:pPr>
        <w:spacing w:after="0" w:line="1"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on Form 10-K, our Quarterly Reports on Form 10-Q and our Current Reports on Form 8-K. We do not assume any obligation to update any forward-looking statements, whether as a result of new information, future events or otherwise, except as required by law.</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also contain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and the documents incorporated by reference herein, their estimates, in particular, as they relate to projections, involve numerous assumptions, are subject to risks and uncertainties and are subject to change based on various factors, including those discussed under the section of any accompanying prospectus supplement titled “Risk Factors”.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potential first- or best-in-class, high-impact therapies for autoimmune diseases and cancer. We pursue promising therapeutic targets while leveraging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p>
      <w:pPr>
        <w:spacing w:after="0" w:line="135" w:lineRule="exact"/>
        <w:rPr>
          <w:sz w:val="20"/>
          <w:szCs w:val="20"/>
          <w:color w:val="auto"/>
        </w:rPr>
      </w:pPr>
    </w:p>
    <w:p>
      <w:pPr>
        <w:ind w:left="1080" w:right="100" w:hanging="42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CLN-978 is a CD19xCD3 bispecific T cell engager that we are developing for autoimmune diseases. In the Phase 1 OUTRACE Program, CLN-978 is being evaluated in patients with systemic lupus erythematosus (“SLE”), rheumatoid arthritis (“RA”), and Sjögren’s disease (“SjD”). The OUTRACE SLE Study is an ongoing global Phase 1 clinical trial in patients with moderate to severe SLE. The OUTRACE RA Study is a Phase 1 clinical trial in patients with active, difficult-to-treat RA, which is ongoing in Europe. We plan to share initial clinical data in SLE and RA in the second quarter of 2026 and repeat dosing data in RA in the third quarter of 2026. The OUTRACE SjD Study is an ongoing global Phase 1 clinical trial in patients with active, moderate to severe Sjögren’s disease. We plan to share initial clinical data in Sjögren’s disease in the fourth quarter of 2026.</w:t>
      </w:r>
    </w:p>
    <w:p>
      <w:pPr>
        <w:spacing w:after="0" w:line="94"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Velinotamig is a BCMAxCD3 bispecific T cell engager that we are developing for autoimmune diseases. Chongqing Genrix Biopharmaceutical Co., Ltd. (“Genrix”), from which we licensed velinotamig, is enrolling a Phase 1 clinical trial in China in patients with autoimmune diseases, initially in patients with SLE, followed by planned future expansion into other indications, and initial clinical data will be shared in the fourth quarter of 2026. We intend to use the data generated from this Phase 1 clinical trial to accelerate global clinical development. Following the completion of the Genrix Phase 1 clinical trial, we will conduct all further development of velinotamig in autoimmune diseases.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35" w:lineRule="exact"/>
        <w:rPr>
          <w:sz w:val="20"/>
          <w:szCs w:val="20"/>
          <w:color w:val="auto"/>
        </w:rPr>
      </w:pPr>
    </w:p>
    <w:p>
      <w:pPr>
        <w:ind w:left="1080" w:hanging="424"/>
        <w:spacing w:after="0" w:line="25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CLN-049 is a FLT3xCD3 bispecific T cell engager. CLN-049 is being evaluated in an ongoing Phase 1 clinical trial in patients with relapsed/refractory acute myeloid leukemia (“AML”) or myelodysplastic syndrome (“MDS”). At the 2025 American Society for Hematology Annual Meeting, we shared monotherapy efficacy data from the ongoing dose escalation portion of the trial in a heavily pretreated all-comer population of patients with relapsed/refractory AML. We plan to share a clinical data update from the dose escalation portion of the trial in the second half of 2026. We also plan to begin enrolling dose expansion cohorts in the second quarter of 2026 and expect to complete enrollment in the fourth quarter of 2026 to determine the recommended Phase 2 dose for an expected single-arm pivotal registrational trial.</w:t>
      </w:r>
    </w:p>
    <w:p>
      <w:pPr>
        <w:spacing w:after="0" w:line="94" w:lineRule="exact"/>
        <w:rPr>
          <w:rFonts w:ascii="Times New Roman" w:cs="Times New Roman" w:eastAsia="Times New Roman" w:hAnsi="Times New Roman"/>
          <w:sz w:val="18"/>
          <w:szCs w:val="18"/>
          <w:color w:val="auto"/>
        </w:rPr>
      </w:pPr>
    </w:p>
    <w:p>
      <w:pPr>
        <w:ind w:left="1080" w:right="360" w:hanging="424"/>
        <w:spacing w:after="0" w:line="289"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w:t>
      </w:r>
    </w:p>
    <w:p>
      <w:pPr>
        <w:spacing w:after="0" w:line="63" w:lineRule="exact"/>
        <w:rPr>
          <w:rFonts w:ascii="Times New Roman" w:cs="Times New Roman" w:eastAsia="Times New Roman" w:hAnsi="Times New Roman"/>
          <w:sz w:val="17"/>
          <w:szCs w:val="17"/>
          <w:color w:val="auto"/>
        </w:rPr>
      </w:pPr>
    </w:p>
    <w:p>
      <w:pPr>
        <w:ind w:left="1540" w:right="60" w:hanging="331"/>
        <w:spacing w:after="0" w:line="258"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zipalertinib in the pivotal Phase 2b portion of the REZILIENT1 clinical trial in patients with EGFR ex20ins non-small cell lung cancer (“NSCLC”) who progressed after prior systemic therapy. In April 2026, the United States Food and Drug Administration accepted the new drug application for zipalertinib for the treatment of patients with locally advanced or metastatic EGFR ex20ins NSCLC whose disease has progressed on or after platinum-based systemic chemotherapy, with or without amivantamab. The Prescription Drug User Fee Act target action date is February 27, 2027.</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540" w:hanging="331"/>
        <w:spacing w:after="0" w:line="26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Taiho is evaluating zipalertinib in a global Phase 3 clinical trial (“REZILIENT3”) in combination with chemotherapy as a potential first-line treatment for locally advanced or metastatic EGFR ex20ins NSCLC adult patients. Taiho completed enrollment of the trial in February 2026 and expects to obtain top-line results by the end of 2026.</w:t>
      </w:r>
    </w:p>
    <w:p>
      <w:pPr>
        <w:spacing w:after="0" w:line="81"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Taiho is also evaluating zipalertinib in a Phase 2 parallel cohort trial (“REZILIENT2”). Taiho shared emerging data from certain REZILIENT2 cohorts at the International Association for the Study of Lung Cancer 2025 World Conference on Lung Cancer and European Society for Medical Oncology Congress 2025.</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One Main Street, Suite 1350, Cambridge, Massachusetts 02142 and our telephone number is (617) 410-4650.</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in-licensing of product candidate rights, research and development costs, including the conduct of our clinical trials and process development and manufacturing of our product candidates, acquisition of companies or businesses,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the net proceeds of any offering.</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and features of any debt securities which we may issue, in one or more series, as either senior or subordinated debt or as senior or subordinated convertible debt. The following description and any description of debt securities in the applicable prospectus supplement may not be complete and is subject to, and is qualified in its entirety by reference to, the indenture relating to such debt securities that we will file with the SEC in connection with a public offering of debt securities.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We have filed the form of indenture as an exhibit to the registration statement of which this prospectus is a part, and supplemental indentures and forms of debt securities containing the terms of any debt securities we may offer will be filed as exhibits to the registration of which this prospectus is a part or will be incorporated by reference from reports that we will file with the SEC.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 Unless otherwise specified in the applicable prospectus supplement, the debt securities will represent direct, unsecured obligations of the Company and will rank equally with all of our other unsecured indebtedness.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and/or Conversion Rights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which can be exchanged for or converted into shares of our common stock or preferred shares. If we do, we will describe the terms of exchange or conversion in the applicable prospectus supplement relating to these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that will be represented by either:</w:t>
      </w:r>
    </w:p>
    <w:p>
      <w:pPr>
        <w:spacing w:after="0" w:line="131" w:lineRule="exact"/>
        <w:rPr>
          <w:sz w:val="20"/>
          <w:szCs w:val="20"/>
          <w:color w:val="auto"/>
        </w:rPr>
      </w:pPr>
    </w:p>
    <w:p>
      <w:pPr>
        <w:ind w:left="1080" w:right="5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which means that there will be one or more global securities registered in the name of a depositary or a nominee of a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will specify in the prospectus supplement applicable to a particular offering whether the debt securities offered will be book-entry or certificated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Certificated Debt Securities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we issue certificated debt securities, a holder may transfer or exchange such debt securities at the trustee’s office or at the paying agent’s office or agency in accordance with the terms of the indenture. A holder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holder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the debt securities will not contain any provisions that may afford holders of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we will not, in any transaction or series of transactions, merge or consolidate with or into, or sell, assign, convey or transfer, lease or otherwise dispose of all or substantially all of our properties and assets, unless:</w:t>
      </w:r>
    </w:p>
    <w:p>
      <w:pPr>
        <w:spacing w:after="0" w:line="67" w:lineRule="exact"/>
        <w:rPr>
          <w:sz w:val="20"/>
          <w:szCs w:val="20"/>
          <w:color w:val="auto"/>
        </w:rPr>
      </w:pPr>
    </w:p>
    <w:p>
      <w:pPr>
        <w:ind w:left="1080" w:right="20" w:hanging="424"/>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indenture as supplemented, and in each case, the indenture shall remain in full force and effect; and</w:t>
      </w:r>
    </w:p>
    <w:p>
      <w:pPr>
        <w:spacing w:after="0" w:line="93"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67" w:lineRule="exact"/>
        <w:rPr>
          <w:sz w:val="20"/>
          <w:szCs w:val="20"/>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any principal of, or premium, if any, on, the debt securities when it becomes due and payable at maturity, upon acceleration, redemption or otherwise;</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any interest on any debt security of a series when the same becomes due and payable, and the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observance or performance of any other covenant in the debt securities of a series or the indenture for 60 days after written notice from the trustee or the holders of not less than 25% in the aggregate principal amount of the debt securities of such series then outstanding, which notice must specify the default, demand that it be remedied and state that the notice is a “Notice of Default”;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any of our significant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 as may be specified in the applicable prospectus supplement.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principal amount of the debt securities of any series then outstanding have the right to waive any existing default or event of default with respect to such series or compliance with any provision of the indenture (with respect to such series) or the debt securities of such series with written notice to the trustee. Upon any such waiver, such default with respect to such series shall cease to exist, and any event of default with respect to such series arising therefrom shall be deemed to have been cured for every purpose of the indenture; but no such waiver shall extend to any subsequent or other default or event of default or impair any right consequent thereto.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with respect to the Company) occurs, and is continuing, then the trustee, by written notice, or the holders of not less than 25% in aggregate principal amount of the outstanding debt securities of that series may declare that the entire principal amount, plus the premium, if any, of all the debt securities of that series then outstanding plus accrued and unpaid interest to the date of acceleration are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9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events of default (other than nonpayment of accelerated principal, premium or interest) have been cured or waived;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installments of interest and overdue principal have been paid;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with respect to the Company occurs, such principal, premium, if any, and interest amount with respect to all the debt securities of that series shall be due and payable immediately without any declaration or other act on part of the trustee or the holders of debt securities of that series.</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to the trustee;</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offer to the trustee indemnity satisfactory to the trustee against any loss, liability or expense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such request;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7" w:lineRule="exact"/>
        <w:rPr>
          <w:sz w:val="20"/>
          <w:szCs w:val="20"/>
          <w:color w:val="auto"/>
        </w:rPr>
      </w:pPr>
    </w:p>
    <w:p>
      <w:pPr>
        <w:ind w:left="1080" w:right="3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of the Company permitted under the indenture will assume all of our obligations under the indenture and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mistake, ambiguity, defect or inconsistency, or make any other change that does not materially and adversely affect the rights of any 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successor trustee under the indenture with respect to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not less than a majority of the aggregate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85" w:lineRule="exact"/>
        <w:rPr>
          <w:sz w:val="20"/>
          <w:szCs w:val="20"/>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of the debt securities;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 or reduce the amount of, or postpone the date fixed for, the payment of any sinking fund or analogous obligation;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by the debt securities or reduce the premium payable upon any redemption of the debt securities, or change the time before which no such redemption may be made;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or premium, if any, on, any debt securities (except a rescission of acceleration of the debt securities of any series by the holders of at least a majority in principal amount of the outstanding debt securities of such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 or</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the above provisions or the acceleration provisions of the indenture, except to increase any percentage of debt securities the holders of which must consent to any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67" w:lineRule="exact"/>
        <w:rPr>
          <w:sz w:val="20"/>
          <w:szCs w:val="20"/>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or legal defeasance: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under certain covenants contained in the indenture, as well as any additional covenants which may be contained in an applicable supplemental indenture, or a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which through the scheduled payment of principal and interest in accordance with their terms will provide, not later than the due date of any payment, money;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which in each case specified above, provides an amount sufficient to pay the principal of, premium, if any, and interest, if any, on the debt securities of the series, on the scheduled due dates or on a selected date of redemption in accordance with the terms of the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or there has been a change in any applicable U.S. federal income tax law with the effect that, and such opinion shall confirm that, the holders of the outstanding debt securities of such series or persons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92"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indenture and any applicable supplemental indenture after a covenant defeasance of the indenture and any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direct non-callable obligations of, or non-callable obligations guaranteed by, the United States of America for the payment of which obligation or guarantee the full faith and credit of the United States of America is pledged.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the Company,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under the same circumstances in the conduct of his or her own affairs. Subject to that provision, the trustee will be under no obligation to exercise any of its rights or powers under the indenture at the request of any of the holders of the debt securities, unless they have offered to the trustee indemnity or security against the costs, expenses and liabilities which may be incurred therein or thereby.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Second Amended and Restated Certificate of Incorporation, as amended (our “certificate of incorporation”), our Third Amended and Restated Bylaws (our “bylaws”), and applicable provisions of Delaware corporate law. You should read our certificate of incorporation and bylaws, which are filed as exhibits to our most recent Annual Report on Form 10-K, for the provisions that are important to you.</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and 10,000,000 shares of preferred stock. As of April 1, 2026, 61,451,380 shares of common stock were outstanding and 481,989 shares of preferred stock were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“CGEM.”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from time to time, without further action by our stockholders, to issue up to 10,000,000 shares of convertible preferred stock in one or more series and to fix the rights, preferences, privileges and restrictions thereof.</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our board of directors authorized the issuance of a series of preferred stock designated as Series A Convertible Preferred Stock, par value $0.0001 per share (the “Series A preferred stock”). Each share of the Series A preferred stock is convertible into 10 shares of common stock at the option of the holder at any time, subject to certain limitations, including that the holder will be prohibited from converting Series A preferred stock into common stock if, as a result of such conversion, the holder, together with its affiliates, would beneficially own a number of shares of common stock above a conversion which is initially set at 9.99% (the “Conversion Blocker”) of the total common stock then issued and outstanding immediately following the conversion of such shares of Series A preferred stock. Holders of the Series A preferred stock are permitted to increase the Conversion Blocker to an amount not to exceed 19.99% upon 60 days’ notice. The shares of Series A preferred stock generally have no voting rights, except as required by law and except that the consent of a majority of the holders of the outstanding Series A preferred stock will be required to amend the terms of the Series A preferred stock. In the event of our liquidation, dissolution or winding up, holders of Series A preferred stock will participate pari passu with any distribution of proceeds to holders of common stock. Holders of Series A preferred stock are entitled to receive when, as and if dividends are declared and paid on the common stock, an equivalent dividend, calculated on an as-converted basis. Shares of Series A preferred stock are otherwise not entitled to dividends.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Series A preferred stock ranks (i) senior to any class or series of our capital stock hereafter created specifically ranking by its terms junior to the Series A preferred stock; (ii) on parity with the common stock and any class or series of our capital stock created specifically ranking by its terms on parity with the Series A preferred stock; and (iii) junior to any class or series of our capital stock created specifically ranking by its terms senior to any Series A preferred stock, in each case, as to distributions of assets upon our liquidation, dissolution or winding up, whether voluntarily or involuntarily.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rights with respect to the registration of these securities under the Securities Act. These rights are provided under the terms of the registration rights agreement. The registration rights agreement includes demand registration rights, short-form registration rights and piggyback registration rights. All fees, costs and expenses incurred in connection with registrations under the registration rights agreement will be borne by us, and all selling expenses, including underwriting discounts and selling commissions, will be borne by the holders of the shares being registered.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S-1 Demand Registration Rights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Holders of certain of our registrable securities are entitled to demand registration rights. Under the terms of our registration rights agreement, we will be required, upon the request of a holder of at least a majority of our then outstanding registrable securities, to file a registration statement and use reasonable best efforts to effect the registration for public resale of these shares and any additional registrable securities requested to be included in such registration by any other holders of our registrable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S-3 Demand Registration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of certain of our registrable securities are also entitled to short-form registration rights. Pursuant to our registration rights agreement, at any time that we are eligible to file a registration statement on Form S-3, upon the request of a holder of our registrable securities, we will be required to use our reasonable best efforts to effect a registration of such shares and any additional registrable securities requested to be included in such registration by any other holders of our registrable securities. We will be required to effect up to two registrations in any twelve-month period pursuant to this provision of the registration rights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holders of our registrable securities will be entitled to piggyback registration rights. If we register any of our securities either for our own account or for the account of other security holders, the holders of our outstanding registrable securities will be entitled to include their shares in the registration. Subject to certain exceptions contained in the registration rights agreement, we and the underwriters may limit the number of shares included in the underwritten offering if the underwriters determine that marketing factors require a limitation of the number of shares to be underwritten.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registration rights agreement contains customary cross-indemnification provisions, under which we will be obligated to indemnify holders of registrable securities in the event of material misstatements or omissions in the registration statement attributable to us, and they will be obligated to indemnify us for material misstatements or omissions attributable to them.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pay the registration expenses, subject to certain limited exceptions contained in the registration rights agreement, of the holders of the shares registered pursuant to the demand, short-form and piggyback registration rights described above, including the expenses of one counsel for the selling 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Expiration of Registration Rights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registration rights granted under the registration rights agreement will terminate upon the earliest to occur of: (i) such time after our initial public offering when all registrable securities could be sold under Rule 144 of the Securities Act or a similar exemption without limitation during a three-month period without registration; (ii) the consummation of a transaction or series of transactions in which a person, or a group of persons, acquires from our stockholders, shares representing more than 50% of our outstanding voting stock; and (iii) the consummation of a transaction or series of transactions in which a person, or a group of persons, acquires the right to receive the majority of the proceeds in a final liquidation, dissolution or termination, voluntary or involuntary,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DGCL does not require stockholder approval for any issuance of authorized shares. However, the listing requirements of Nasdaq, which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Certificate of Incorporation and Bylaws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DGCL, our certificate of incorporation and bylaws include a number of provisions that may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119"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Certificate of Incorporation and Bylaws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As of April 1, 2026, 9,518,011 shares of preferred stock are authorized but unissued.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DGCL, our certificate of incorporation or our bylaws, (4) any action to interpret, apply, enforce or determine the validity of our certificate of incorporation or bylaws, or (5) any action asserting a claim that is governed by the internal affairs doctrine; provided, however, that this provision shall not apply to any causes of action arising under the Securities Act or Exchange Act. In addition, our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5480" w:right="3880" w:hanging="482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 -20-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exchange, mortgage or other disposition involving the interested stockholder of 10% or more of the assets of the corporation;</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at our option, elect to offer subscription rights. In general, a subscription right entitles the holder to purchase for cash a specific number of shares of equity securities at a specified exercise price. Subscription rights are normally issued to stockholders as of a specific record date, may be exercised only for a limited period of time and become void following the expiration of such period. If we determine to issue subscription rights, the applicable prospectus supplement will describe, among other things:</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stockholders entitled to receive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securities that may be purchased upon exercise of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subscription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subscription rights may be exercised and when they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required to exercise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arrangement entered into by us in connection with the offering of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of the subscription rights, including the terms, procedures and limitations relating to the exercise of the subscription rights;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subscription rights include “oversubscription rights” so that the holder may purchase more securities if other holders do not purchase their full allotments;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intend to sell the shares of equity securities that are not purchased in the rights offering to an underwriter or other purchaser under a contractual “standby” commitment or other arrangement;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United States federal income tax considerations.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obligating us to sell to the holders, a specified number of shares of common stock, shares of preferred stock, or other securities described in this prospectus or the applicable prospectus supplement at a future date or dates. The price per share may be fixed at the time the share purchase contracts are issued or may be determined by reference to a specific formula set forth in the share purchase contracts. The purchase contracts may be issued separately or as a part of units consisting of a purchase contract and either shares of common stock, shares of preferred stock, our debt securities or debt obligations of third parties, including U.S. Treasury securities, any other security described in the applicable prospectus supplement, or any combination of the foregoing, securing the holder’s obligations to purchase the securities under the share purchase contracts.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of units or vice versa, and such payments may be unsecured or prefunded on some basis. The purchase contracts may require holders to secure their obligations thereunder in a specified manner. In certain circumstances, we may deliver newly issued prepaid purchase contracts upon release to a holder of any collateral securing the holder’s obligations under the original purchase contract.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purchase contracts. The description in the prospectus supplement will only be a summary, and you should read the purchase contracts, and, if applicable, collateral or depositary arrangements, relating to the purchase contracts. Material United States federal income tax considerations applicable to the purchase contracts will also be discussed in the applicable prospectus supplement.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an accompanying prospectus supplement, each purchase contract and any related agreement will be governed by, and construed in accordance with, the laws of the State of New York.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terms of any warrants, including:</w:t>
      </w:r>
    </w:p>
    <w:p>
      <w:pPr>
        <w:spacing w:after="0" w:line="8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terms of any units, including:</w:t>
      </w:r>
    </w:p>
    <w:p>
      <w:pPr>
        <w:spacing w:after="0" w:line="81" w:lineRule="exact"/>
        <w:rPr>
          <w:sz w:val="20"/>
          <w:szCs w:val="20"/>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debt securities, common stock, preferred stock, purchase contracts or warrants constituting the unit;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subscription right, purchase contract,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subscription rights, purchase contracts,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subscription right, purchase contracts,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purchase contract,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purchase contract, purchase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exercise any rights of a holder under the applicable indenture, deposit agreement, subscription right agreement, purchase contract, unit agreement or warrant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subscription rights agreement, purchase contract,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depositary shares, subscription rights,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agent or any underwriters;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of the securities or other consideration therefor, and the proceeds, if any, we will receive from the sale of the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320" w:top="455" w:right="5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Ropes &amp; Gray LLP, Boston, Massachusetts.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Cullinan Therapeutics, Inc. and its subsidiaries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652780</wp:posOffset>
            </wp:positionV>
            <wp:extent cx="2263140" cy="1174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263140" cy="11747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1288415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Up to $200,000,000</w:t>
      </w: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Cullinan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189865</wp:posOffset>
            </wp:positionV>
            <wp:extent cx="1697355" cy="874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69735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3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TD Securities (USA) LLC (“TD Cowen”) dated April 28, 2026, relating to the sale of shares of our common stock, $0.0001 par value per share, offered by this prospectus and the accompanying base prospectus. In accordance with the terms of the sales agreement, we may offer and sell shares of our common stock having an aggregate offering price of up to $200,000,000 from time to time through TD Cowen, acting as our sales agent.</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“CGEM.” On April 23, 2026, the last reported sale price of our common stock on Nasdaq was $12.95 per share.</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and the accompanying base prospectus will be made in negotiated transactions, including block trades or block sales, or by any method permitted by law deemed to be an “at the market offering” as defined in Rule 415(a)(4) promulgated under the Securities Act of 1933, as amended (the “Securities Act”). TD Cowen is not required to sell any specific amount of securities, but will act as our sales agent using commercially reasonable efforts to sell on our behalf all of the common stock requested to be sold by us, consistent with its normal trading and sales practices, on mutually agreed terms between TD Cowen and us, as applicable. There is no arrangement for funds to be received in any escrow, trust or similar arrangement.</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compensation to TD Cowen for sales of our common stock sold pursuant to the sales agreement will be an amount up to 3.0% of the gross proceeds of any shares sold by TD Cowen under the sales agreement. In connection with the sale of the common stock on our behalf, TD Cowen will be deemed to be an “underwriter” within the meaning of the Securities Act, and the compensation paid to TD Cowen will be deemed to be underwriting commissions or discounts. We have also agreed to provide indemnification and contribution to TD Cowen against certain liabilities, including liabilities under the Securities Act and the Securities Exchange Act of 1934, as amended (the “Exchange Act”).</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federal securities laws and, as such, we have elected to comply with certain reduced public company reporting requirements for this prospectus and for future filings. See “Summary - 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certain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S-9 of this prospectus, as well as the sections captioned “Risk Factor Summary” and “Item 1A. Risk Factors” in our most recently filed Annual Report on Form 10-K, which is incorporated by reference into this prospectus, for certain risks you should consider. You should carefully read all of the information set forth in this prospectus and the accompanying base prospectus, as well as the documents incorporated by reference herein and therein,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TD Cowen</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April 28, 2026</w:t>
      </w:r>
    </w:p>
    <w:p>
      <w:pPr>
        <w:sectPr>
          <w:pgSz w:w="11900" w:h="16838" w:orient="portrait"/>
          <w:cols w:equalWidth="0" w:num="1">
            <w:col w:w="11120"/>
          </w:cols>
          <w:pgMar w:left="320" w:top="455" w:right="4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1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8"/>
          </w:tcPr>
          <w:p>
            <w:pPr>
              <w:spacing w:after="0"/>
              <w:rPr>
                <w:sz w:val="17"/>
                <w:szCs w:val="17"/>
                <w:color w:val="auto"/>
              </w:rPr>
            </w:pPr>
          </w:p>
        </w:tc>
        <w:tc>
          <w:tcPr>
            <w:tcW w:w="1260" w:type="dxa"/>
            <w:vAlign w:val="bottom"/>
            <w:gridSpan w:val="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900" w:type="dxa"/>
            <w:vAlign w:val="bottom"/>
            <w:gridSpan w:val="8"/>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600" w:type="dxa"/>
            <w:vAlign w:val="bottom"/>
            <w:gridSpan w:val="6"/>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3320" w:type="dxa"/>
            <w:vAlign w:val="bottom"/>
            <w:gridSpan w:val="11"/>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2140" w:type="dxa"/>
            <w:vAlign w:val="bottom"/>
            <w:gridSpan w:val="5"/>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(the “Securities Act”). Under the shelf registration process, we may from time to time offer shares of our common stock having an aggregate offering price of up to $200,000,000 under this prospectus at prices and on terms to be determined by market conditions at the time of offering.</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offering of our common stock. Before buying any of the common stock that we are offering, we urge you to carefully read this prospectus, the accompanying base prospectus and the information incorporated by reference herein and therein. These documents contain important information that you should consider when making your investment decision.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accompanying base prospectus or the information contained in any document incorporated by reference into this prospectus, on the other hand, that was filed with the SEC prior to the date of this prospectus, you should rely on the information in this prospectus; provided that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the accompanying base prospectus and in any free writing prospectus we may authorize for use in connection with this offering. We have not, and TD Cowen has not, authorized anyone to provide any information other than that contained or incorporated by reference in this prospectus, the accompanying base prospectus or in any free writing prospectus prepared by or on behalf of us or to which we have referred you. We and TD Cowen take no responsibility for, and can provide no assurance as to the reliability of, any other information that others may give you. We are not, and TD Cowen is not, making an offer to sell these securities in any jurisdiction where the offer or sale is not permitted. You should assume that the information appearing or incorporated by reference in this prospectus, the accompanying base prospectus and any free writing prospectus prepared by or on behalf of us that we have authorized for use in connection with this offering is accurate only as of the date of those respective documents. Our business, financial condition, results of operations and prospects may have changed since those dates. You should read this prospectus, the accompanying base prospectus, the documents incorporated by reference herein and therein, and any free writing prospectus prepared by or on behalf of us that we may authorize for use in connection with this offering, in their entirety, before making an investment decision. You should also read and consider the information in the documents we have referred you to in the sections of this prospectus entitled “Where You Can Find More Information” and “Incorporation by Reference.”</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TD Cowen that would permit a public offering of the securities offered by this prospectus and the accompanying base prospectus in any jurisdiction where action for that purpose is required. The securities offered by this prospectus and the accompanying base prospectus may not be offered or sold, directly or indirectly, nor may this prospectus and the accompanying base prospectus or any other offering material or advertisements in connection with the offer and sale of any such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be distributed or published in any jurisdiction, except under circumstances that will result in compliance with the applicable rules and regulations of that jurisdiction. Persons into whose possession this prospectus and the accompanying base prospectus comes are advised to inform themselves about and to observe any restrictions relating to the offering and the distribution of this prospectus and the accompanying base prospectus. This prospectus and the accompanying base prospectus do not constitute an offer to sell or a solicitation of an offer to buy any securities offered by this prospectus and the accompanying base prospectus in any jurisdiction in which such an offer or a solicitation is unlawful.</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“Company,” “we,” “our” and “us” refer, collectively, to Cullinan Therapeutics, Inc., a Delaware corporation, and its consolidated subsidiaries.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00"/>
          </w:cols>
          <w:pgMar w:left="320" w:top="455"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https://www.sec.gov. Copies of certain information filed by us with the SEC are also available on our website at https://www.cullinantherapeutics.com. Our website is not a part of this prospectus and is not incorporated by reference in this prospectus.</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 001-39856)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Proxy Statement on </w:t>
      </w:r>
      <w:hyperlink r:id="rId2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as filed with the SEC on April 28,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SEC on March 10,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2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January 8, 2026 (Item 8.01 only);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January 6, 2021, as the description therein has been updated and superseded by the description of our capital stock contained in </w:t>
      </w:r>
      <w:hyperlink r:id="rId3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as filed with the SEC on March 30, 2021,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One Main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1350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right="4920" w:hanging="438"/>
        <w:spacing w:after="0" w:line="433" w:lineRule="auto"/>
        <w:tabs>
          <w:tab w:leader="none" w:pos="54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410-4650 S-3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certain forward-looking statements within the meaning of Section 27A of the Securities Act and Section 21E of the Exchange Act. These statements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cost of development, and timing of the approval of our clinical-stage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and the period during which the results of the trials will become available;</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and obtain clearance of, any global regulatory filings, including new drug applications or investigational new drug applications on our expected timelines,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governmental legislation and regulations, including adverse effects from any potential future United States government shutdown;</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global economic conditions, including uncertainties related to international trade policies, tariffs and supply chain dynamics, on our business and operations, including our expenses, supply chain, manufacturing processes, preclinical studies, and clinical trials;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currently marketing therapies or developing product candidates with targets or indications similar to our product candidates’ targets or indications;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to manufacture drug substance and drug product for use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of our current and future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advance through clinical development any additional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current and future product candidates, if approved, including our ability to successfully build a specialty sales force and commercial infrastructure to market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pricing, and reimbursement;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the sufficiency of our current resources, and our needs for or ability to obtain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payments that we may receive from Taiho Pharmaceutical Co.,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our pipeline and the potential for such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additional strategic collaborations or arrangements, and our ability to attract collaborators with development, regulatory, and commercialization expertise;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discussed under the section of this prospectus titled “Risk Factors.” If one or more of these risks or uncertainties occur, or if our underlying assumptions prove to be incorrect, actual events or results may vary significantly from those implied or projected by the forward-looking statements.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or implied by any forward-looking statements we may make. No forward-looking statement is a guarantee of future performance.</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the accompanying base prospectus and the documents incorporated by reference herein completely and with the understanding that our actual future results may be materially different from what we expect. You should also carefully review the risk factors, risk factor summary and cautionary statements described in the other documents we file from time to time with the SEC, specifically our most recent Annual Report on Form 10-K, our Quarterly Reports on Form 10-Q and our Current Reports on Form 8-K. We do not assume any obligation to update any forward-looking statements, whether as a result of new information, future events or otherwise, except as required by law.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the accompanying base prospectus and the documents incorporated by reference herein and therein also contain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 accompanying base prospectus and the documents incorporated by reference herein and therein, their estimates, in particular, as they relate to projections, involve numerous assumptions, are subject to risks and uncertainties and are subject to change based on various factors, including those discussed under the section of this prospectus titled “Risk Factors”.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in the documents we incorporate by reference herein. This summary does not contain all of the information that you should consider before deciding to invest in our securities. For a more complete understanding of our company and this offering, you should read carefully this entire prospectus and the accompanying base prospectus, including the information incorporated by reference herein and therein, and any free writing prospectus that we have authorized for use in connection with this offering, including the “Risk Factors” section beginning on page S-9 of this prospectus and the “Risk Factor Summary” and “Risk Factors” sections of our Annual Report on Form 10-K, our financial statements and the related notes and the other documents incorporated by reference in this prospectus.</w:t>
      </w:r>
    </w:p>
    <w:p>
      <w:pPr>
        <w:spacing w:after="0" w:line="3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potential first- or best-in-class, high-impact therapies for autoimmune diseases and cancer. We pursue promising therapeutic targets while leveraging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p>
      <w:pPr>
        <w:spacing w:after="0" w:line="135" w:lineRule="exact"/>
        <w:rPr>
          <w:sz w:val="20"/>
          <w:szCs w:val="20"/>
          <w:color w:val="auto"/>
        </w:rPr>
      </w:pPr>
    </w:p>
    <w:p>
      <w:pPr>
        <w:ind w:left="1240" w:right="40" w:hanging="415"/>
        <w:spacing w:after="0" w:line="255" w:lineRule="auto"/>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CLN-978 is a CD19xCD3 bispecific T cell engager that we are developing for autoimmune diseases. In the Phase 1 OUTRACE Program, CLN-978 is being evaluated in patients with systemic lupus erythematosus (“SLE”), rheumatoid arthritis (“RA”), and Sjögren’s disease (“SjD”). The OUTRACE SLE Study is an ongoing global Phase 1 clinical trial in patients with moderate to severe SLE. The OUTRACE RA Study is a Phase 1 clinical trial in patients with active, difficult-to-treat RA, which is ongoing in Europe. We plan to share initial clinical data in SLE and RA in the second quarter of 2026 and repeat dosing data in RA in the third quarter of 2026. The OUTRACE SjD Study is an ongoing global Phase 1 clinical trial in patients with active, moderate to severe Sjögren’s disease. We plan to share initial clinical data in Sjögren’s disease in the fourth quarter of 2026.</w:t>
      </w:r>
    </w:p>
    <w:p>
      <w:pPr>
        <w:spacing w:after="0" w:line="94" w:lineRule="exact"/>
        <w:rPr>
          <w:rFonts w:ascii="Times New Roman" w:cs="Times New Roman" w:eastAsia="Times New Roman" w:hAnsi="Times New Roman"/>
          <w:sz w:val="18"/>
          <w:szCs w:val="18"/>
          <w:color w:val="auto"/>
        </w:rPr>
      </w:pPr>
    </w:p>
    <w:p>
      <w:pPr>
        <w:ind w:left="1240" w:right="80" w:hanging="415"/>
        <w:spacing w:after="0" w:line="256" w:lineRule="auto"/>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Velinotamig is a BCMAxCD3 bispecific T cell engager that we are developing for autoimmune diseases. Chongqing Genrix Biopharmaceutical Co., Ltd. (“Genrix”), from which we licensed velinotamig, is enrolling a Phase 1 clinical trial in China in patients with autoimmune diseases, initially in patients with SLE, followed by planned future expansion into other indications, and initial clinical data will be shared in the fourth quarter of 2026. We intend to use the data generated from this Phase 1 clinical trial to accelerate global clinical development. Following the completion of the Genrix Phase 1 clinical trial, we will conduct all further development of velinotamig in autoimmune diseases.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35" w:lineRule="exact"/>
        <w:rPr>
          <w:sz w:val="20"/>
          <w:szCs w:val="20"/>
          <w:color w:val="auto"/>
        </w:rPr>
      </w:pPr>
    </w:p>
    <w:p>
      <w:pPr>
        <w:ind w:left="1240" w:right="40" w:hanging="415"/>
        <w:spacing w:after="0" w:line="255"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CLN-049 is a FLT3xCD3 bispecific T cell engager. CLN-049 is being evaluated in an ongoing Phase 1 clinical trial in patients with relapsed/refractory acute myeloid leukemia (“AML”) or myelodysplastic syndrome (“MDS”). At the 2025 American Society for Hematology Annual Meeting, we shared monotherapy efficacy data from the ongoing dose escalation portion of the trial in a heavily pretreated all-comer population of patients with relapsed/refractory AML. We plan to share a clinical data update from the dose escalation portion of the trial in the second half of 2026. We also plan to begin enrolling dose expansion cohorts in the second quarter of 2026 and expect to complete enrollment in the fourth quarter of 2026 to determine the recommended Phase 2 dose for an expected single-arm pivotal registrational trial.</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04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89"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w:t>
      </w:r>
    </w:p>
    <w:p>
      <w:pPr>
        <w:spacing w:after="0" w:line="63" w:lineRule="exact"/>
        <w:rPr>
          <w:rFonts w:ascii="Times New Roman" w:cs="Times New Roman" w:eastAsia="Times New Roman" w:hAnsi="Times New Roman"/>
          <w:sz w:val="17"/>
          <w:szCs w:val="17"/>
          <w:color w:val="auto"/>
        </w:rPr>
      </w:pPr>
    </w:p>
    <w:p>
      <w:pPr>
        <w:ind w:left="1640" w:right="160" w:hanging="289"/>
        <w:spacing w:after="0" w:line="258" w:lineRule="auto"/>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zipalertinib in the pivotal Phase 2b portion of the REZILIENT1 clinical trial in patients with EGFR ex20ins non-small cell lung cancer (“NSCLC”) who progressed after prior systemic therapy. In April 2026, the United States Food and Drug Administration accepted the new drug application for zipalertinib for the treatment of patients with locally advanced or metastatic EGFR ex20ins NSCLC whose disease has progressed on or after platinum-based systemic chemotherapy, with or without amivantamab. The Prescription Drug User Fee Act target action date is February 27, 2027.</w:t>
      </w:r>
    </w:p>
    <w:p>
      <w:pPr>
        <w:spacing w:after="0" w:line="88" w:lineRule="exact"/>
        <w:rPr>
          <w:rFonts w:ascii="Times New Roman" w:cs="Times New Roman" w:eastAsia="Times New Roman" w:hAnsi="Times New Roman"/>
          <w:sz w:val="18"/>
          <w:szCs w:val="18"/>
          <w:color w:val="auto"/>
        </w:rPr>
      </w:pPr>
    </w:p>
    <w:p>
      <w:pPr>
        <w:ind w:left="1640" w:right="520" w:hanging="289"/>
        <w:spacing w:after="0" w:line="266" w:lineRule="auto"/>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Taiho is evaluating zipalertinib in a global Phase 3 clinical trial (“REZILIENT3”) in combination with chemotherapy as a potential first-line treatment for locally advanced or metastatic EGFR ex20ins NSCLC adult patients. Taiho completed enrollment of the trial in February 2026 and expects to obtain top-line results by the end of 2026.</w:t>
      </w:r>
    </w:p>
    <w:p>
      <w:pPr>
        <w:spacing w:after="0" w:line="81" w:lineRule="exact"/>
        <w:rPr>
          <w:rFonts w:ascii="Times New Roman" w:cs="Times New Roman" w:eastAsia="Times New Roman" w:hAnsi="Times New Roman"/>
          <w:sz w:val="18"/>
          <w:szCs w:val="18"/>
          <w:color w:val="auto"/>
        </w:rPr>
      </w:pPr>
    </w:p>
    <w:p>
      <w:pPr>
        <w:ind w:left="1640" w:right="40" w:hanging="289"/>
        <w:spacing w:after="0" w:line="266" w:lineRule="auto"/>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Taiho is also evaluating zipalertinib in a Phase 2 parallel cohort trial (“REZILIENT2”). Taiho shared emerging data from certain REZILIENT2 cohorts at the International Association for the Study of Lung Cancer 2025 World Conference on Lung Cancer and European Society for Medical Oncology Congress 2025.</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One Main Street, Suite 1350, Cambridge, Massachusetts 02142, and our telephone number is</w:t>
      </w:r>
    </w:p>
    <w:p>
      <w:pPr>
        <w:spacing w:after="0" w:line="27" w:lineRule="exact"/>
        <w:rPr>
          <w:sz w:val="20"/>
          <w:szCs w:val="20"/>
          <w:color w:val="auto"/>
        </w:rPr>
      </w:pPr>
    </w:p>
    <w:p>
      <w:pPr>
        <w:ind w:left="300" w:hanging="2"/>
        <w:spacing w:after="0" w:line="255"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410-4650. Our website is located at https://www.cullinantherapeutics.com. The information contained in, or that can be accessed through, our website is not incorporated by reference into this prospectus and should not be considered to be a part of this prospectus. Our website address is included as an inactive textual reference only.</w:t>
      </w:r>
    </w:p>
    <w:p>
      <w:pPr>
        <w:spacing w:after="0" w:line="186" w:lineRule="exact"/>
        <w:rPr>
          <w:sz w:val="20"/>
          <w:szCs w:val="20"/>
          <w:color w:val="auto"/>
        </w:rPr>
      </w:pPr>
    </w:p>
    <w:p>
      <w:pPr>
        <w:ind w:left="300" w:right="120" w:firstLine="426"/>
        <w:spacing w:after="0" w:line="233" w:lineRule="auto"/>
        <w:rPr>
          <w:sz w:val="20"/>
          <w:szCs w:val="20"/>
          <w:color w:val="auto"/>
        </w:rPr>
      </w:pPr>
      <w:r>
        <w:rPr>
          <w:rFonts w:ascii="Times New Roman" w:cs="Times New Roman" w:eastAsia="Times New Roman" w:hAnsi="Times New Roman"/>
          <w:sz w:val="18"/>
          <w:szCs w:val="18"/>
          <w:color w:val="auto"/>
        </w:rPr>
        <w:t xml:space="preserve">We own or have rights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we will assert, to the fullest extent under applicable law, our rights to our trademarks, service marks and trade names.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 million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For so long as we remain a smaller reporting company, we are permitted and intend to rely on exemptions from certain disclosure and other requirements that are applicable to other public companies that are not smaller reporting companies.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Shares of our common stock having an aggregate offering price of up to $200,000,000.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Up to 75,688,151 shares, assuming sales of 15,444,015 shares of our common stock in this</w:t>
      </w:r>
    </w:p>
    <w:p>
      <w:pPr>
        <w:spacing w:after="0" w:line="31" w:lineRule="exact"/>
        <w:rPr>
          <w:sz w:val="20"/>
          <w:szCs w:val="20"/>
          <w:color w:val="auto"/>
        </w:rPr>
      </w:pPr>
    </w:p>
    <w:p>
      <w:pPr>
        <w:ind w:left="4340" w:hanging="3955"/>
        <w:spacing w:after="0" w:line="255"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assuming the sale of all shares in this offering</w:t>
      </w:r>
      <w:r>
        <w:rPr>
          <w:sz w:val="20"/>
          <w:szCs w:val="20"/>
          <w:color w:val="auto"/>
        </w:rPr>
        <w:tab/>
      </w:r>
      <w:r>
        <w:rPr>
          <w:rFonts w:ascii="Times New Roman" w:cs="Times New Roman" w:eastAsia="Times New Roman" w:hAnsi="Times New Roman"/>
          <w:sz w:val="18"/>
          <w:szCs w:val="18"/>
          <w:color w:val="auto"/>
        </w:rPr>
        <w:t>offering at a price of $12.95 per share, which was the closing price of our common stock on the Nasdaq Global Select Market on April 23, 2026. The actual number of shares issued will vary depending on the sales price under this offering.</w:t>
      </w:r>
    </w:p>
    <w:p>
      <w:pPr>
        <w:sectPr>
          <w:pgSz w:w="11900" w:h="16838" w:orient="portrait"/>
          <w:cols w:equalWidth="0" w:num="1">
            <w:col w:w="10900"/>
          </w:cols>
          <w:pgMar w:left="320" w:top="455" w:right="679" w:bottom="1440" w:gutter="0" w:footer="0" w:header="0"/>
        </w:sect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TD Cowen as sales agent. See “Plan of Distribution” on page S-13.</w:t>
      </w:r>
    </w:p>
    <w:p>
      <w:pPr>
        <w:spacing w:after="0" w:line="18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for research and development costs, working capital and general corporate purposes. See “Use of Proceeds” on page S-11.</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beginning on page S-9 of this prospectus, the “Risk Factor Summary” and “Risk Factors” sections of our most recent Annual Report on Form 10-K and incorporated by reference into this prospectus, and other information included and incorporated by reference in this prospectus for a discussion of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“CGEM”</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9"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60,244,136 shares of our common stock outstanding as of December 31, 2025 and excludes as of such date:</w:t>
      </w:r>
    </w:p>
    <w:p>
      <w:pPr>
        <w:spacing w:after="0" w:line="67" w:lineRule="exact"/>
        <w:rPr>
          <w:sz w:val="20"/>
          <w:szCs w:val="20"/>
          <w:color w:val="auto"/>
        </w:rPr>
      </w:pPr>
    </w:p>
    <w:p>
      <w:pPr>
        <w:ind w:left="1240" w:right="420" w:hanging="415"/>
        <w:spacing w:after="0" w:line="282"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13,809,741 shares of common stock issuable upon exercise of stock options outstanding as of December 31, 2025 at a weighted-average exercise price of $15.13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1,644,831 shares of common stock issuable upon the vesting of restricted stock units outstanding as of December 31, 2025;</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5,559,350 shares of common stock issuable upon conversion of 555,935 shares of preferred stock outstanding as of December 31, 2025;</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2,060,549 shares of common stock available for future issuance as of December 31, 2025 under our 2021 Stock Option and Incentive Plan (the “Stock Plan”), as well as any automatic increases in the number of shares of common stock reserved for future issuance under the Stock Plan; and</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2,142,143 shares of common stock available for future issuance as of December 31, 2025 under our 2021 Employee Stock Purchase Plan (the “ESPP”), as well as any automatic increases in the number of shares of common stock reserved for future issuance under the ESPP.</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00"/>
          </w:cols>
          <w:pgMar w:left="320" w:top="455" w:right="6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Before deciding whether to invest in our common stock, you should consider carefully the risks and uncertainties described below and under the section captioned “Risk Factors” contained in our most recent Annual Report</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on Form 10-K and other filings we make with the SEC from time to time, which are incorporated by reference herein in their entirety, together with other information in this prospectus, the accompanying base prospectus, information and documents incorporated by reference herein and therein, and in any free writing prospectus that we authorize for use in connection with this offering. If any of these risks actually occurs, our business, financial condition, results of operations or cash flow could suffer materially. In such event, the trading price of our common stock could decline and you might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suffer immediate dilution of your investment.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It is possible that the offering price of our common stock will be substantially higher than the net tangible book value per share of our common stock. Therefore, if you purchase shares of our common stock in this offering, you may pay a price per share that substantially exceeds our net tangible book value per share after this offering. In such event, you will experience immediate dilution representing the difference between the price you paid in this offering and our as adjusted net tangible book value per share after giving effect to the sales of shares in this offering at the applicable offering prices. To the extent outstanding options are exercised for shares of our common stock at exercise prices that are lower than the price you paid in this offering, you will incur further dilution.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and cash equivalents, including the net proceeds we receive in this offering, and may not use them effectively.</w:t>
      </w:r>
    </w:p>
    <w:p>
      <w:pPr>
        <w:spacing w:after="0" w:line="5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have not designated any portion of the net proceeds from this offering to be used for any particular purpose. 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to fund operations, we may invest our cash and cash equivalents in a manner that does not produce income or that loses value.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our future earnings, if any, to finance the operation and growth of our business and currently do not plan to pay any cash dividends in the foreseeable future. As a result, only appreciation of the price of our common stock will provide a return to stockholders for the foreseeable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or the perception that such sales could occur, could depress the market price of our common stock and impair our ability to raise capital through the sale of additional equity securities. Although we have agreed, subject to certain exceptions set forth in the sales agreement, to obtain the written consent of TD Cowen before we offer to sell, sell, contract to sell, grant any option to sell or otherwise dispose of any shares of common stock or securities convertible or exchangeable or exercisable for shares of common stock, or warrants or rights to purchase common stock during the period beginning on the fifth trading day immediately prior to the date on which a placement notice is delivered to TD Cowen and ending on the second trading date immediately following the settlement date for any shares of common stock sold pursuant to such placement notice, it is possible that we could issue and sell additional shares of our common stock in the public markets. We cannot predict the effect that future sales of our common stock would have on the market price of our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and gross proceeds resulting from those sales, at any one time or in total, is uncertain.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our common stock during the sales period and limits we set with TD Cowen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as a source of financing. We intend to use the net proceeds, if any, from this offering for research and development costs, including the conduct of our clinical trials and process development and manufacturing of our product candidates, working capital and general corporate purposes, which may include the in-licensing of product candidate rights or acquisition of companies or businesses, repayment and refinancing of debt, working capital and capital expenditures. We may temporarily invest the net proceeds in a variety of capital preservation instruments, including investment grade, interest bearing instruments and U.S. government securities, until they are used for their stated purpose. Amounts and timing of our actual expenditures will depend on numerous factors, including our development and commercialization efforts, as well as the amount of cash used in our operations. We therefore cannot estimate with certainty the amount of net proceeds to be used for the purposes described above. As a result, management will retain broad discretion over the allocation of the net proceeds of any offering.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public offering price per share and the adjusted net tangible book value per share of our common stock after this offering. We calculate net tangible book value per share by dividing the net tangible book value, which is tangible assets less total liabilities, by the number of outstanding shares of our common stock. Dilution represents the difference between the amount per share paid by purchasers of shares in this offering and the as adjusted net tangible book value per share of our common stock immediately after giving effect to this offering.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tangible book value on December 31, 2025 was approximately $409.7 million, or $6.80 per share of our common stock.</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assumed sale of shares of our common stock in the aggregate amount of $200,000,000 in this offering at an assumed offering price of $12.95 per share, which was the last reported sale price of our common stock on the Nasdaq Global Select Market on April 23, 2026, and after deducting estimated offering commissions and expenses payable by us, our net tangible book value as of December 31, 2025 would have been approximately $605.1 million, or $7.99 per share of common stock. This represents an immediate increase in net tangible book value of $1.19 per share to our existing stockholders and an immediate dilution of $4.96 per share to investors participating in this offering. The following table illustrates this dilution per share to investors participating in this offering: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12.95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shares in</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offering</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7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As-adjusted net tangible book value per share as of December 31, 2025 after giving effect to this</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the offering</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7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above assumes, for illustrative purposes, that an aggregate of 15,444,015 shares of our common stock are sold at a price of $12.95 per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the last reported sale price of our common stock on the Nasdaq Global Select Market on April 23, 2026, for aggregate gross proceeds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$200,000,000. The shares sold in this offering, if any, will be sold from time to time at various prices. These figures will adjust based on the actual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offering price and the actual number of shares that we sell in the offering.</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60,244,136 shares of our common stock outstanding as of December 31, 2025 and excludes as of such date:</w:t>
      </w:r>
    </w:p>
    <w:p>
      <w:pPr>
        <w:spacing w:after="0" w:line="67" w:lineRule="exact"/>
        <w:rPr>
          <w:sz w:val="20"/>
          <w:szCs w:val="20"/>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13,809,741 shares of common stock issuable upon exercise of stock options outstanding as of December 31, 2025 at a weighted-average exercise price of $15.13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1,644,831 shares of common stock issuable upon the vesting of restricted stock units outstanding as of December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5,559,350 shares of common stock issuable upon conversion of 555,935 shares of preferred stock outstanding as of December 31,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2,060,549 shares of common stock available for future issuance as of December 31, 2025 under our 2021 Stock Option and Incentive Plan (the “Stock Plan”), as well as any automatic increases in the number of shares of common stock reserved for future issuance under the Stock Plan;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2,142,143 shares of common stock available for future issuance as of December 31, 2025 under our 2021 Employee Stock Purchase Plan (the “ESPP”), as well as any automatic increases in the number of shares of common stock reserved for future issuance under the ESPP.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have entered into a sales agreement with TD Cowen, dated April 28, 2026, under which we may issue and sell from time to time up to</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$200,000,000 of shares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will be up to 3.0% of the gross sales price of the shares sold through it pursuant to the sales agreement. We have also agreed to reimburse TD Cowen up to $100,000 of TD Cowen’s actual outside legal expenses incurred by TD Cowen in connection with this offering, and for certain other expenses. We estimate that the total expenses of the offering payable by us, excluding commissions payable to TD Cowen under the sales agreement, will be approximately $250,000.</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and the net proceeds to us in connection with the sales of common stock.</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“CGEM.” The transfer agent of our common stock is Computershare Trust Company, N.A.</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issuance of the common stock offered by this prospectus will be passed upon for us by Ropes &amp; Gray LLP, Boston, Massachusetts. TD Cowen is being represented in connection with this offering by Wilmer Cutler Pickering Hale and Dorr LLP, New York, New York.</w:t>
      </w: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Cullinan Therapeutics, Inc. and subsidiaries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320" w:top="455"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652780</wp:posOffset>
            </wp:positionV>
            <wp:extent cx="1697355" cy="874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697355" cy="8743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color w:val="auto"/>
        </w:rPr>
        <w:t>Up to $200,000,000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0" w:lineRule="exact"/>
        <w:rPr>
          <w:sz w:val="20"/>
          <w:szCs w:val="20"/>
          <w:color w:val="auto"/>
        </w:rPr>
      </w:pPr>
    </w:p>
    <w:p>
      <w:pPr>
        <w:spacing w:after="0" w:line="2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estimates (except in the case of the SEC registration fee) of the amount of fees and expenses to be incurred in connection with the issuance and distribution of the offered securities, other than underwriting discounts and commissions.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1520" w:type="dxa"/>
            <w:vAlign w:val="bottom"/>
          </w:tcPr>
          <w:p>
            <w:pPr>
              <w:ind w:left="140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services</w:t>
            </w:r>
          </w:p>
        </w:tc>
        <w:tc>
          <w:tcPr>
            <w:tcW w:w="1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Legal fees of registrant’s counsel</w:t>
            </w:r>
          </w:p>
        </w:tc>
        <w:tc>
          <w:tcPr>
            <w:tcW w:w="1520" w:type="dxa"/>
            <w:vAlign w:val="bottom"/>
          </w:tcPr>
          <w:p>
            <w:pPr>
              <w:ind w:left="140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agent’s, trustee’s and depositary’s fees and expenses</w:t>
            </w:r>
          </w:p>
        </w:tc>
        <w:tc>
          <w:tcPr>
            <w:tcW w:w="1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520" w:type="dxa"/>
            <w:vAlign w:val="bottom"/>
          </w:tcPr>
          <w:p>
            <w:pPr>
              <w:ind w:left="140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r>
    </w:tbl>
    <w:p>
      <w:pPr>
        <w:spacing w:after="0" w:line="225" w:lineRule="exact"/>
        <w:rPr>
          <w:sz w:val="20"/>
          <w:szCs w:val="20"/>
          <w:color w:val="auto"/>
        </w:rPr>
      </w:pPr>
    </w:p>
    <w:p>
      <w:pPr>
        <w:ind w:left="540" w:right="120" w:hanging="424"/>
        <w:spacing w:after="0" w:line="261"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pursuant to Rule 456(b) and Rule 457(r) of the Securities Act, other than with respect to the $27,620 in SEC registration fees applicable to the offering of up to $200,000,000 of common stock pursuant to the sales agreement prospectus.</w:t>
      </w:r>
    </w:p>
    <w:p>
      <w:pPr>
        <w:ind w:left="540" w:right="14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in our Second Amended and Restated Certificate of Incorporation, as amended (our “certificate of incorporation”), and our Third Amended and Restated Bylaws (our “bylaws”)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080" w:right="2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we entered into in connection with our initial public offering on January 7, 2021 with the underwriters for that offering provides that the underwriters will indemnify, under certain conditions, our directors and officers against certain liabilities under the Securities Act and the Securities Exchange Act of 1934.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0" w:type="dxa"/>
            <w:vAlign w:val="bottom"/>
            <w:gridSpan w:val="6"/>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9"/>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bottom w:val="single" w:sz="8" w:color="auto"/>
            </w:tcBorders>
            <w:gridSpan w:val="2"/>
          </w:tcPr>
          <w:p>
            <w:pPr>
              <w:spacing w:after="0"/>
              <w:rPr>
                <w:sz w:val="24"/>
                <w:szCs w:val="24"/>
                <w:color w:val="auto"/>
              </w:rPr>
            </w:pPr>
          </w:p>
        </w:tc>
        <w:tc>
          <w:tcPr>
            <w:tcW w:w="4980" w:type="dxa"/>
            <w:vAlign w:val="bottom"/>
            <w:tcBorders>
              <w:bottom w:val="single" w:sz="8" w:color="auto"/>
            </w:tcBorders>
            <w:gridSpan w:val="3"/>
          </w:tcPr>
          <w:p>
            <w:pPr>
              <w:spacing w:after="0"/>
              <w:rPr>
                <w:sz w:val="24"/>
                <w:szCs w:val="24"/>
                <w:color w:val="auto"/>
              </w:rPr>
            </w:pPr>
          </w:p>
        </w:tc>
      </w:tr>
      <w:tr>
        <w:trPr>
          <w:trHeight w:val="31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38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380" w:type="dxa"/>
            <w:vAlign w:val="bottom"/>
          </w:tcPr>
          <w:p>
            <w:pPr>
              <w:spacing w:after="0"/>
              <w:rPr>
                <w:sz w:val="24"/>
                <w:szCs w:val="24"/>
                <w:color w:val="auto"/>
              </w:rPr>
            </w:pPr>
          </w:p>
        </w:tc>
        <w:tc>
          <w:tcPr>
            <w:tcW w:w="7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Sales Agreement by and between the Registrant and TD Securities (USA) LLC, dated as of April 28, 2026.</w:t>
            </w:r>
          </w:p>
        </w:tc>
        <w:tc>
          <w:tcPr>
            <w:tcW w:w="220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38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Specimen Common Stock Certificate (incorporated by reference to Exhibit 4.1 of the Registrant’s Registration Statement on Form S-3</w:t>
              </w:r>
            </w:hyperlink>
          </w:p>
        </w:tc>
        <w:tc>
          <w:tcPr>
            <w:tcW w:w="2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20" w:type="dxa"/>
            <w:vAlign w:val="bottom"/>
            <w:gridSpan w:val="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(File No. 333-279452) filed with the SEC on May 16, 2024).</w:t>
              </w:r>
            </w:hyperlink>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380" w:type="dxa"/>
            <w:vAlign w:val="bottom"/>
          </w:tcPr>
          <w:p>
            <w:pPr>
              <w:spacing w:after="0"/>
              <w:rPr>
                <w:sz w:val="24"/>
                <w:szCs w:val="24"/>
                <w:color w:val="auto"/>
              </w:rPr>
            </w:pPr>
          </w:p>
        </w:tc>
        <w:tc>
          <w:tcPr>
            <w:tcW w:w="43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5540" w:type="dxa"/>
            <w:vAlign w:val="bottom"/>
            <w:gridSpan w:val="4"/>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38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Indenture</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600" w:type="dxa"/>
            <w:vAlign w:val="bottom"/>
            <w:gridSpan w:val="6"/>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38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38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365"/>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40" w:type="dxa"/>
            <w:vAlign w:val="bottom"/>
            <w:gridSpan w:val="5"/>
          </w:tcPr>
          <w:p>
            <w:pPr>
              <w:jc w:val="center"/>
              <w:ind w:right="500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15"/>
                <w:szCs w:val="15"/>
                <w:color w:val="auto"/>
              </w:rPr>
            </w:pPr>
          </w:p>
        </w:tc>
        <w:tc>
          <w:tcPr>
            <w:tcW w:w="9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380" w:type="dxa"/>
            <w:vAlign w:val="bottom"/>
          </w:tcPr>
          <w:p>
            <w:pPr>
              <w:spacing w:after="0"/>
              <w:rPr>
                <w:sz w:val="24"/>
                <w:szCs w:val="24"/>
                <w:color w:val="auto"/>
              </w:rPr>
            </w:pPr>
          </w:p>
        </w:tc>
        <w:tc>
          <w:tcPr>
            <w:tcW w:w="2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Ropes &amp; Gray LLP</w:t>
            </w:r>
          </w:p>
        </w:tc>
        <w:tc>
          <w:tcPr>
            <w:tcW w:w="768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380" w:type="dxa"/>
            <w:vAlign w:val="bottom"/>
          </w:tcPr>
          <w:p>
            <w:pPr>
              <w:spacing w:after="0"/>
              <w:rPr>
                <w:sz w:val="24"/>
                <w:szCs w:val="24"/>
                <w:color w:val="auto"/>
              </w:rPr>
            </w:pPr>
          </w:p>
        </w:tc>
        <w:tc>
          <w:tcPr>
            <w:tcW w:w="2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Ropes &amp; Gray LLP</w:t>
            </w:r>
          </w:p>
        </w:tc>
        <w:tc>
          <w:tcPr>
            <w:tcW w:w="768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 for the Registrant</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38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Ropes &amp; Gray LLP (included in Exhibit 5.1)</w:t>
            </w:r>
          </w:p>
        </w:tc>
        <w:tc>
          <w:tcPr>
            <w:tcW w:w="2340" w:type="dxa"/>
            <w:vAlign w:val="bottom"/>
            <w:tcBorders>
              <w:top w:val="single" w:sz="8" w:color="0000EE"/>
            </w:tcBorders>
            <w:gridSpan w:val="2"/>
          </w:tcPr>
          <w:p>
            <w:pPr>
              <w:spacing w:after="0"/>
              <w:rPr>
                <w:sz w:val="24"/>
                <w:szCs w:val="24"/>
                <w:color w:val="auto"/>
              </w:rPr>
            </w:pPr>
          </w:p>
        </w:tc>
        <w:tc>
          <w:tcPr>
            <w:tcW w:w="352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380" w:type="dxa"/>
            <w:vAlign w:val="bottom"/>
          </w:tcPr>
          <w:p>
            <w:pPr>
              <w:spacing w:after="0"/>
              <w:rPr>
                <w:sz w:val="24"/>
                <w:szCs w:val="24"/>
                <w:color w:val="auto"/>
              </w:rPr>
            </w:pPr>
          </w:p>
        </w:tc>
        <w:tc>
          <w:tcPr>
            <w:tcW w:w="4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Ropes &amp; Gray LLP (included in Exhibit 5.2)</w:t>
            </w:r>
          </w:p>
        </w:tc>
        <w:tc>
          <w:tcPr>
            <w:tcW w:w="586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Powers of Attorney (included in the signature pages to the Registration Statement)</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25.1**</w:t>
            </w:r>
          </w:p>
        </w:tc>
        <w:tc>
          <w:tcPr>
            <w:tcW w:w="38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the Trustee under the Indenture</w:t>
            </w:r>
          </w:p>
        </w:tc>
      </w:tr>
    </w:tbl>
    <w:p>
      <w:pPr>
        <w:spacing w:after="0" w:line="90" w:lineRule="exact"/>
        <w:rPr>
          <w:sz w:val="20"/>
          <w:szCs w:val="20"/>
          <w:color w:val="auto"/>
        </w:rPr>
      </w:pPr>
    </w:p>
    <w:p>
      <w:pPr>
        <w:ind w:left="1220" w:hanging="1104"/>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by a Current Report on Form 8-K.</w:t>
      </w:r>
    </w:p>
    <w:p>
      <w:pPr>
        <w:spacing w:after="0" w:line="27"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pursuant to Section 305(b)(2) of the Trust Indenture Act of 1939.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(a)(1)  To file, during any period in which offers or sales are being made, a post-effective amendment to this registration statement:</w:t>
      </w:r>
    </w:p>
    <w:p>
      <w:pPr>
        <w:spacing w:after="0" w:line="131"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130" w:lineRule="exact"/>
        <w:rPr>
          <w:rFonts w:ascii="Times New Roman" w:cs="Times New Roman" w:eastAsia="Times New Roman" w:hAnsi="Times New Roman"/>
          <w:sz w:val="18"/>
          <w:szCs w:val="18"/>
          <w:color w:val="auto"/>
        </w:rPr>
      </w:pPr>
    </w:p>
    <w:p>
      <w:pPr>
        <w:ind w:left="1300" w:right="20" w:hanging="644"/>
        <w:spacing w:after="0" w:line="255"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left="120" w:right="8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1934, as amended (the “Exchange Act”), that are incorporated by reference in this registration statement, or is contained in a form of prospectus filed pursuant to Rule 424(b) that is part of this registration statement.</w:t>
      </w:r>
    </w:p>
    <w:p>
      <w:pPr>
        <w:spacing w:after="0" w:line="67" w:lineRule="exact"/>
        <w:rPr>
          <w:sz w:val="20"/>
          <w:szCs w:val="20"/>
          <w:color w:val="auto"/>
        </w:rPr>
      </w:pPr>
    </w:p>
    <w:p>
      <w:pPr>
        <w:jc w:val="both"/>
        <w:ind w:left="660" w:right="320" w:hanging="544"/>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81" w:lineRule="exact"/>
        <w:rPr>
          <w:rFonts w:ascii="Times New Roman" w:cs="Times New Roman" w:eastAsia="Times New Roman" w:hAnsi="Times New Roman"/>
          <w:sz w:val="18"/>
          <w:szCs w:val="18"/>
          <w:color w:val="auto"/>
        </w:rPr>
      </w:pPr>
    </w:p>
    <w:p>
      <w:pPr>
        <w:ind w:left="660" w:right="800" w:hanging="544"/>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300" w:hanging="644"/>
        <w:spacing w:after="0" w:line="253"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660" w:right="320" w:hanging="544"/>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w:t>
      </w:r>
    </w:p>
    <w:p>
      <w:pPr>
        <w:spacing w:after="0" w:line="13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300"/>
        <w:spacing w:after="0" w:line="282" w:lineRule="auto"/>
        <w:rPr>
          <w:sz w:val="20"/>
          <w:szCs w:val="20"/>
          <w:color w:val="auto"/>
        </w:rPr>
      </w:pPr>
      <w:r>
        <w:rPr>
          <w:rFonts w:ascii="Times New Roman" w:cs="Times New Roman" w:eastAsia="Times New Roman" w:hAnsi="Times New Roman"/>
          <w:sz w:val="18"/>
          <w:szCs w:val="18"/>
          <w:color w:val="auto"/>
        </w:rPr>
        <w:t>Rule 424(b)(1) or (4) or 497(h) under the Securities Act shall be deemed to be part of the registration statement as of the time it was declared effective; and</w:t>
      </w:r>
    </w:p>
    <w:p>
      <w:pPr>
        <w:spacing w:after="0" w:line="67" w:lineRule="exact"/>
        <w:rPr>
          <w:sz w:val="20"/>
          <w:szCs w:val="20"/>
          <w:color w:val="auto"/>
        </w:rPr>
      </w:pPr>
    </w:p>
    <w:p>
      <w:pPr>
        <w:jc w:val="both"/>
        <w:ind w:left="1300" w:right="36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860" w:right="400" w:hanging="543"/>
        <w:spacing w:after="0" w:line="277" w:lineRule="auto"/>
        <w:tabs>
          <w:tab w:leader="none" w:pos="18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73" w:lineRule="exact"/>
        <w:rPr>
          <w:rFonts w:ascii="Times New Roman" w:cs="Times New Roman" w:eastAsia="Times New Roman" w:hAnsi="Times New Roman"/>
          <w:sz w:val="17"/>
          <w:szCs w:val="17"/>
          <w:color w:val="auto"/>
        </w:rPr>
      </w:pPr>
    </w:p>
    <w:p>
      <w:pPr>
        <w:jc w:val="both"/>
        <w:ind w:left="1860" w:right="120" w:hanging="543"/>
        <w:spacing w:after="0" w:line="266"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1"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April 28, 2026.</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Nadim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Nadim Ahmed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Cullinan Therapeutics, Inc. hereby severally constitute and appoint Nadim Ahmed and Mary Kay Fenton,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Cullinan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1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Nadim Ahmed</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Nadim Ahmed</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Kay Fenton</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Allen, M.D., Ph.D.</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Andrew Allen, M.D., Ph.D.</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Mittie Doyle, M.D., FACR</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Mittie Doyle, M.D., FACR</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Meek</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David Meek</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II-6</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1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Rosenberg</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Anthony Rosenberg</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Thistle</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Mary Thistle</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Webster</w:t>
            </w:r>
          </w:p>
        </w:tc>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Stephen Webster</w:t>
            </w: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II-7</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Cullinan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TD Securities (USA)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Reference is made to the Sales Agreement, dated May 11, 2023, among the Company and Cowen and Company, LLC, predecessor in interest to the Agent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The Prior Agreement is hereby terminated as of the date hereof by mutual agreement of the parties thereto pursuant to Section 11 thereof.</w:t>
      </w:r>
    </w:p>
    <w:p>
      <w:pPr>
        <w:spacing w:after="0" w:line="176" w:lineRule="exact"/>
        <w:rPr>
          <w:sz w:val="20"/>
          <w:szCs w:val="20"/>
          <w:color w:val="auto"/>
        </w:rPr>
      </w:pPr>
    </w:p>
    <w:p>
      <w:pPr>
        <w:jc w:val="both"/>
        <w:ind w:right="340" w:firstLine="436"/>
        <w:spacing w:after="0" w:line="272"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and Sale of Shares</w:t>
      </w:r>
      <w:r>
        <w:rPr>
          <w:rFonts w:ascii="Times New Roman" w:cs="Times New Roman" w:eastAsia="Times New Roman" w:hAnsi="Times New Roman"/>
          <w:sz w:val="17"/>
          <w:szCs w:val="17"/>
          <w:color w:val="auto"/>
        </w:rPr>
        <w:t>. The Company agrees that, from time to time during the term of this Agreement, on the terms and subject to the conditions set forth herein, it may issue and sell through the Agent, acting as agent and/or principal, up to $200,000,000 of shares of common stock, $0.0001 par value per share, of the Company (the “</w:t>
      </w:r>
      <w:r>
        <w:rPr>
          <w:rFonts w:ascii="Times New Roman" w:cs="Times New Roman" w:eastAsia="Times New Roman" w:hAnsi="Times New Roman"/>
          <w:sz w:val="17"/>
          <w:szCs w:val="17"/>
          <w:b w:val="1"/>
          <w:bCs w:val="1"/>
          <w:u w:val="single" w:color="auto"/>
          <w:color w:val="auto"/>
        </w:rPr>
        <w:t>Common Stock</w:t>
      </w:r>
      <w:r>
        <w:rPr>
          <w:rFonts w:ascii="Times New Roman" w:cs="Times New Roman" w:eastAsia="Times New Roman" w:hAnsi="Times New Roman"/>
          <w:sz w:val="17"/>
          <w:szCs w:val="17"/>
          <w:color w:val="auto"/>
        </w:rPr>
        <w:t>”), subject to the limitations set forth in Section 5(c) (the “</w:t>
      </w:r>
      <w:r>
        <w:rPr>
          <w:rFonts w:ascii="Times New Roman" w:cs="Times New Roman" w:eastAsia="Times New Roman" w:hAnsi="Times New Roman"/>
          <w:sz w:val="17"/>
          <w:szCs w:val="17"/>
          <w:b w:val="1"/>
          <w:bCs w:val="1"/>
          <w:u w:val="single" w:color="auto"/>
          <w:color w:val="auto"/>
        </w:rPr>
        <w:t>Placement Shares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that became automatically effective upon its filing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issue any Placement Shares. The Company acknowledges and agrees that sales of Placement Shares under this Agreement may be made through affiliates of the Agent, and that the Agent may otherwise fulfill its obligations pursuant to this Agreement to or through an affiliated broker-dealer.</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S-3ASR, including (a) a base prospectus, relating to certain securities, including the Common Stock, to be issued from time to time by the Company, and (b) a prospectus specifically relating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ATM Prospectus</w:t>
      </w:r>
      <w:r>
        <w:rPr>
          <w:rFonts w:ascii="Times New Roman" w:cs="Times New Roman" w:eastAsia="Times New Roman" w:hAnsi="Times New Roman"/>
          <w:sz w:val="18"/>
          <w:szCs w:val="18"/>
          <w:color w:val="auto"/>
        </w:rPr>
        <w:t>”), and shall, if necessary, prepare prospectus supplements specifically</w:t>
      </w:r>
    </w:p>
    <w:p>
      <w:pPr>
        <w:sectPr>
          <w:pgSz w:w="11900" w:h="16838" w:orient="portrait"/>
          <w:cols w:equalWidth="0" w:num="1">
            <w:col w:w="11020"/>
          </w:cols>
          <w:pgMar w:left="440" w:top="117" w:right="439" w:bottom="1440" w:gutter="0" w:footer="0" w:header="0"/>
        </w:sectPr>
      </w:pPr>
    </w:p>
    <w:bookmarkStart w:id="64" w:name="page65"/>
    <w:bookmarkEnd w:id="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the Placement Shares to the base prospectus or ATM Prospectus included as part of such registration statement, in each case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furnished or will furnish to the Agent, for use by the Agent, a copy of the ATM Prospectus included as part of such registration statement, as supplemented by any prospectus supplements specifically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amended or supplemented by the ATM Prospectus and any prospectus supplement with respect to the Placement Shares, if any, in the form in which such base prospectus, ATM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ATM Prospectus, the Prospectus or any amendment or supplement thereto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or the Prospectus shall be deemed to refer to and include the filing after the execution hereof of any document under the Exchange Act deemed to be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3"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and shall be addressed to each of the recipients from the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5" w:name="page66"/>
    <w:bookmarkEnd w:id="6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90" w:lineRule="exact"/>
        <w:rPr>
          <w:sz w:val="20"/>
          <w:szCs w:val="20"/>
          <w:color w:val="auto"/>
        </w:rPr>
      </w:pPr>
    </w:p>
    <w:p>
      <w:pPr>
        <w:ind w:firstLine="436"/>
        <w:spacing w:after="0" w:line="251"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In the event the Company engages the Agent for a sale of Placement Shares that would constitute a “block” within the meaning of Rule 10b-18(a)(5) under the Exchange Act (a “</w:t>
      </w:r>
      <w:r>
        <w:rPr>
          <w:rFonts w:ascii="Times New Roman" w:cs="Times New Roman" w:eastAsia="Times New Roman" w:hAnsi="Times New Roman"/>
          <w:sz w:val="18"/>
          <w:szCs w:val="18"/>
          <w:b w:val="1"/>
          <w:bCs w:val="1"/>
          <w:u w:val="single" w:color="auto"/>
          <w:color w:val="auto"/>
        </w:rPr>
        <w:t>Block Sale</w:t>
      </w:r>
      <w:r>
        <w:rPr>
          <w:rFonts w:ascii="Times New Roman" w:cs="Times New Roman" w:eastAsia="Times New Roman" w:hAnsi="Times New Roman"/>
          <w:sz w:val="18"/>
          <w:szCs w:val="18"/>
          <w:color w:val="auto"/>
        </w:rPr>
        <w:t>”), the Company will provide the Agent, at the Agent’s request and upon reasonable advance notice to the Company, on or prior to the Settlement Date (as defined below), the opinions of counsel, accountant’s letter and officers’ certificates set forth in Section 8 hereof, each dated the Settlement Date, and such other documents and information as the Agent shall reasonably request. Unless otherwise specified by the Company in a Placement Notice, the Agent may sell Placement Shares in negotiated transactions, including block trades or Block Sales, or by any method permitted by law deemed to be an “at the market offering” as defined in Rule 415 of the Securities Act, including sales made directly on or through Nasdaq, on or through any other existing trading market for the Common Stock, to or through a market maker or by any other method permitted by law. The Agent shall not purchase Placement Shares for its own account as principal unless expressly authorized to do so by the Company in a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6" w:name="page67"/>
    <w:bookmarkEnd w:id="66"/>
    <w:p>
      <w:pPr>
        <w:ind w:left="580" w:hanging="184"/>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80" w:firstLine="436"/>
        <w:spacing w:after="0" w:line="254" w:lineRule="auto"/>
        <w:tabs>
          <w:tab w:leader="none" w:pos="6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w:t>
      </w:r>
    </w:p>
    <w:p>
      <w:pPr>
        <w:spacing w:after="0" w:line="191" w:lineRule="exact"/>
        <w:rPr>
          <w:rFonts w:ascii="Times New Roman" w:cs="Times New Roman" w:eastAsia="Times New Roman" w:hAnsi="Times New Roman"/>
          <w:sz w:val="18"/>
          <w:szCs w:val="18"/>
          <w:color w:val="auto"/>
        </w:rPr>
      </w:pPr>
    </w:p>
    <w:p>
      <w:pPr>
        <w:ind w:left="-40" w:right="120" w:firstLine="436"/>
        <w:spacing w:after="0" w:line="273" w:lineRule="auto"/>
        <w:tabs>
          <w:tab w:leader="none" w:pos="65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7"/>
          <w:szCs w:val="17"/>
          <w:b w:val="1"/>
          <w:bCs w:val="1"/>
          <w:u w:val="single" w:color="auto"/>
          <w:color w:val="auto"/>
        </w:rPr>
        <w:t>Earnings Announcement</w:t>
      </w:r>
      <w:r>
        <w:rPr>
          <w:rFonts w:ascii="Times New Roman" w:cs="Times New Roman" w:eastAsia="Times New Roman" w:hAnsi="Times New Roman"/>
          <w:sz w:val="17"/>
          <w:szCs w:val="17"/>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 the Company and the Agent agree that (A) no sale of Placement Shares will take place, (B) the Company shall not request the sale of any Placement Shares and shall cancel any effective Placement Notices instructing the Agent to make any sales and (C) the Agent shall not be obligated to sell or offer to sell any Placement Shares.</w:t>
      </w:r>
    </w:p>
    <w:p>
      <w:pPr>
        <w:spacing w:after="0" w:line="171" w:lineRule="exact"/>
        <w:rPr>
          <w:sz w:val="20"/>
          <w:szCs w:val="20"/>
          <w:color w:val="auto"/>
        </w:rPr>
      </w:pPr>
    </w:p>
    <w:p>
      <w:pPr>
        <w:ind w:left="580" w:hanging="184"/>
        <w:spacing w:after="0"/>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436"/>
        <w:spacing w:after="0" w:line="256" w:lineRule="auto"/>
        <w:tabs>
          <w:tab w:leader="none" w:pos="6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Trading Day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87" w:lineRule="exact"/>
        <w:rPr>
          <w:rFonts w:ascii="Times New Roman" w:cs="Times New Roman" w:eastAsia="Times New Roman" w:hAnsi="Times New Roman"/>
          <w:sz w:val="18"/>
          <w:szCs w:val="18"/>
          <w:color w:val="auto"/>
        </w:rPr>
      </w:pPr>
    </w:p>
    <w:p>
      <w:pPr>
        <w:ind w:left="-40" w:firstLine="436"/>
        <w:spacing w:after="0" w:line="255"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0" w:right="479" w:bottom="1440" w:gutter="0" w:footer="0" w:header="0"/>
        </w:sectPr>
      </w:pPr>
    </w:p>
    <w:bookmarkStart w:id="67" w:name="page68"/>
    <w:bookmarkEnd w:id="6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87" w:lineRule="exact"/>
        <w:rPr>
          <w:sz w:val="20"/>
          <w:szCs w:val="20"/>
          <w:color w:val="auto"/>
        </w:rPr>
      </w:pPr>
    </w:p>
    <w:p>
      <w:pPr>
        <w:ind w:left="4" w:firstLine="436"/>
        <w:spacing w:after="0" w:line="252" w:lineRule="auto"/>
        <w:tabs>
          <w:tab w:leader="none" w:pos="6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dollar amount of shares of Common Stock for which the Company has filed the ATM Prospectus.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97" w:lineRule="exact"/>
        <w:rPr>
          <w:sz w:val="20"/>
          <w:szCs w:val="20"/>
          <w:color w:val="auto"/>
        </w:rPr>
      </w:pPr>
    </w:p>
    <w:p>
      <w:pPr>
        <w:ind w:left="4" w:right="40" w:firstLine="436"/>
        <w:spacing w:after="0" w:line="257" w:lineRule="auto"/>
        <w:tabs>
          <w:tab w:leader="none" w:pos="6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68" w:name="page69"/>
    <w:bookmarkEnd w:id="68"/>
    <w:p>
      <w:pPr>
        <w:ind w:firstLine="436"/>
        <w:spacing w:after="0" w:line="252"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transactions contemplated by this Agreement meet the requirements for and comply with the conditions for the use of Form S-3 (including General Instructions I.A and I.B.1.) under the Securities Act. The Registration Statement will be filed with the Commission prior to the issuance of any Placement Notices by the Company. At the time the Registration Statement originally becomes or became effective and at the time the Company’s Annual Report on Form 10-K for the year ended December 31, 2025,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ATM Prospectus. The Company has not received, and has no notice from the Commission of, any notice pursuant to Rule 401(g)(1) under the Securities Act objecting to the use of the shelf registration statement form. No stop order of the Commission preventing or suspending the use of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97"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the Registration Statement, the Prospectus and any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9" w:name="page70"/>
    <w:bookmarkEnd w:id="69"/>
    <w:p>
      <w:pPr>
        <w:ind w:left="-80" w:right="280" w:firstLine="436"/>
        <w:spacing w:after="0" w:line="289" w:lineRule="auto"/>
        <w:tabs>
          <w:tab w:leader="none" w:pos="6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57" w:lineRule="exact"/>
        <w:rPr>
          <w:rFonts w:ascii="Times New Roman" w:cs="Times New Roman" w:eastAsia="Times New Roman" w:hAnsi="Times New Roman"/>
          <w:sz w:val="17"/>
          <w:szCs w:val="17"/>
          <w:color w:val="auto"/>
        </w:rPr>
      </w:pPr>
    </w:p>
    <w:p>
      <w:pPr>
        <w:ind w:left="-80" w:right="240" w:firstLine="436"/>
        <w:spacing w:after="0" w:line="282" w:lineRule="auto"/>
        <w:tabs>
          <w:tab w:leader="none" w:pos="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qualifies as an “experienced issuer” (within the meaning of FINRA Conduct Rule 5110(j)(6)) for purposes of the exemption from filing under FINRA Conduct Rule 5110(h)(1)(C).</w:t>
      </w:r>
    </w:p>
    <w:p>
      <w:pPr>
        <w:spacing w:after="0" w:line="161" w:lineRule="exact"/>
        <w:rPr>
          <w:rFonts w:ascii="Times New Roman" w:cs="Times New Roman" w:eastAsia="Times New Roman" w:hAnsi="Times New Roman"/>
          <w:sz w:val="18"/>
          <w:szCs w:val="18"/>
          <w:color w:val="auto"/>
        </w:rPr>
      </w:pPr>
    </w:p>
    <w:p>
      <w:pPr>
        <w:ind w:left="-80" w:right="20" w:firstLine="436"/>
        <w:spacing w:after="0" w:line="258" w:lineRule="auto"/>
        <w:tabs>
          <w:tab w:leader="none" w:pos="6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83" w:lineRule="exact"/>
        <w:rPr>
          <w:rFonts w:ascii="Times New Roman" w:cs="Times New Roman" w:eastAsia="Times New Roman" w:hAnsi="Times New Roman"/>
          <w:sz w:val="18"/>
          <w:szCs w:val="18"/>
          <w:color w:val="auto"/>
        </w:rPr>
      </w:pPr>
    </w:p>
    <w:p>
      <w:pPr>
        <w:ind w:left="-80" w:right="20" w:firstLine="436"/>
        <w:spacing w:after="0" w:line="266" w:lineRule="auto"/>
        <w:tabs>
          <w:tab w:leader="none" w:pos="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5" w:lineRule="exact"/>
        <w:rPr>
          <w:rFonts w:ascii="Times New Roman" w:cs="Times New Roman" w:eastAsia="Times New Roman" w:hAnsi="Times New Roman"/>
          <w:sz w:val="18"/>
          <w:szCs w:val="18"/>
          <w:color w:val="auto"/>
        </w:rPr>
      </w:pPr>
    </w:p>
    <w:p>
      <w:pPr>
        <w:ind w:left="-80" w:right="140" w:firstLine="436"/>
        <w:spacing w:after="0" w:line="266" w:lineRule="auto"/>
        <w:tabs>
          <w:tab w:leader="none" w:pos="6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80" w:right="40" w:firstLine="436"/>
        <w:spacing w:after="0" w:line="256" w:lineRule="auto"/>
        <w:tabs>
          <w:tab w:leader="none" w:pos="6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left="-80" w:firstLine="436"/>
        <w:spacing w:after="0" w:line="258" w:lineRule="auto"/>
        <w:tabs>
          <w:tab w:leader="none" w:pos="5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left="-80" w:right="100" w:firstLine="436"/>
        <w:spacing w:after="0" w:line="261" w:lineRule="auto"/>
        <w:tabs>
          <w:tab w:leader="none" w:pos="5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20" w:top="270" w:right="539" w:bottom="1440" w:gutter="0" w:footer="0" w:header="0"/>
        </w:sectPr>
      </w:pPr>
    </w:p>
    <w:bookmarkStart w:id="70" w:name="page71"/>
    <w:bookmarkEnd w:id="70"/>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to the extent that the failure to be so qualified or be in good standing would not, singly or in the aggregate, reasonably be expected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36"/>
        <w:spacing w:after="0" w:line="267" w:lineRule="auto"/>
        <w:tabs>
          <w:tab w:leader="none" w:pos="69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“subsidiaries” (for purposes of this Agreement, as defined in Rule 405 under the Securities Act) (each, a “</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u w:val="single" w:color="auto"/>
          <w:color w:val="auto"/>
        </w:rPr>
        <w:t>Subsidiaries</w:t>
      </w:r>
      <w:r>
        <w:rPr>
          <w:rFonts w:ascii="Times New Roman" w:cs="Times New Roman" w:eastAsia="Times New Roman" w:hAnsi="Times New Roman"/>
          <w:sz w:val="17"/>
          <w:szCs w:val="17"/>
          <w:color w:val="auto"/>
        </w:rPr>
        <w:t>”) has been duly incorporated, organized or formed, is validly existing as a corporation or other business entity in good standing under the laws of the jurisdiction of its incorporation, organization or formation (to the extent the concept of good standing is applicable in such jurisdiction), has the corporate or other business entity power and authority to own or lease its property and to conduct its business as described in each of the Registration Statement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all of the issued shares of capital stock of each Subsidiary have been duly and validly authorized and issued, are fully paid and non-assessable (to the extent the concept of good standing is applicable in such jurisdiction) and are owned directly or indirectly by the Company, free and clear of all liens, encumbrances, equities or claims. The Company does not own or control, directly or indirectly, any corporation, association or other entity, other than the Subsidiaries listed on Exhibit 21.1 to the Company’s most recent Annual Report on Form</w:t>
      </w:r>
    </w:p>
    <w:p>
      <w:pPr>
        <w:spacing w:after="0" w:line="6" w:lineRule="exact"/>
        <w:rPr>
          <w:rFonts w:ascii="Times New Roman" w:cs="Times New Roman" w:eastAsia="Times New Roman" w:hAnsi="Times New Roman"/>
          <w:sz w:val="17"/>
          <w:szCs w:val="17"/>
          <w:color w:val="auto"/>
        </w:rPr>
      </w:pPr>
    </w:p>
    <w:p>
      <w:pPr>
        <w:ind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8" w:lineRule="exact"/>
        <w:rPr>
          <w:rFonts w:ascii="Times New Roman" w:cs="Times New Roman" w:eastAsia="Times New Roman" w:hAnsi="Times New Roman"/>
          <w:sz w:val="17"/>
          <w:szCs w:val="17"/>
          <w:color w:val="auto"/>
        </w:rPr>
      </w:pPr>
    </w:p>
    <w:p>
      <w:pPr>
        <w:ind w:firstLine="436"/>
        <w:spacing w:after="0" w:line="25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Except as disclosed in the Prospectus,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in all material respects, the information required to be shown with respect to such Stock Plans and the options or other rights granted thereunder.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71" w:name="page72"/>
    <w:bookmarkEnd w:id="71"/>
    <w:p>
      <w:pPr>
        <w:ind w:firstLine="436"/>
        <w:spacing w:after="0" w:line="266" w:lineRule="auto"/>
        <w:tabs>
          <w:tab w:leader="none" w:pos="7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“Business—License Agreements,” “Business—Governmental Regulation,” “Legal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or any agreement or other instrument binding upon the Company or any of its Subsidiaries or (iv) any judgment, order or decree of any governmental body, agency or court having jurisdiction over the Company or any Subsidiary, except in the case of clauses (i), (iii) and (iv), where such contravention would not, singly or in the aggregate, reasonably be expected to have a Material Adverse Effect,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in connection with the offer and sale of the Placement Shares.</w:t>
      </w:r>
    </w:p>
    <w:p>
      <w:pPr>
        <w:spacing w:after="0" w:line="191" w:lineRule="exact"/>
        <w:rPr>
          <w:rFonts w:ascii="Times New Roman" w:cs="Times New Roman" w:eastAsia="Times New Roman" w:hAnsi="Times New Roman"/>
          <w:sz w:val="18"/>
          <w:szCs w:val="18"/>
          <w:color w:val="auto"/>
        </w:rPr>
      </w:pPr>
    </w:p>
    <w:p>
      <w:pPr>
        <w:ind w:right="280" w:firstLine="436"/>
        <w:spacing w:after="0" w:line="261" w:lineRule="auto"/>
        <w:tabs>
          <w:tab w:leader="none" w:pos="6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Registration Statement and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2" w:name="page73"/>
    <w:bookmarkEnd w:id="72"/>
    <w:p>
      <w:pPr>
        <w:ind w:left="4" w:right="20" w:firstLine="436"/>
        <w:spacing w:after="0" w:line="261" w:lineRule="auto"/>
        <w:tabs>
          <w:tab w:leader="none" w:pos="67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otherwise have been validly waived in connection with the issuance and sale of the Placement Shares contemplated hereby and as described in the Prospectus.</w:t>
      </w:r>
    </w:p>
    <w:p>
      <w:pPr>
        <w:spacing w:after="0" w:line="179" w:lineRule="exact"/>
        <w:rPr>
          <w:rFonts w:ascii="Times New Roman" w:cs="Times New Roman" w:eastAsia="Times New Roman" w:hAnsi="Times New Roman"/>
          <w:sz w:val="18"/>
          <w:szCs w:val="18"/>
          <w:color w:val="auto"/>
        </w:rPr>
      </w:pPr>
    </w:p>
    <w:p>
      <w:pPr>
        <w:ind w:left="4" w:firstLine="436"/>
        <w:spacing w:after="0" w:line="253" w:lineRule="auto"/>
        <w:tabs>
          <w:tab w:leader="none" w:pos="6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94"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reasonably be expected to have a Material Adverse Effect,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and there are no statutes, regulations, contracts or other documents to which the Company or any of its assets is subject or by which the Company is bound that are required to be described in the Registration Statement or the Prospectus or to be filed as exhibits to the Registration Statement that are not described in all material respects or filed as required.</w:t>
      </w:r>
    </w:p>
    <w:p>
      <w:pPr>
        <w:spacing w:after="0" w:line="191"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equity compensation plans or agreements described in the Prospectus), nor declared, paid or otherwise made any dividend or distribution of any kind on its capital stock other than ordinary and customary dividends; and</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short-term debt or long-term debt of the Company and its Subsidiaries taken as a whole.</w:t>
      </w:r>
    </w:p>
    <w:p>
      <w:pPr>
        <w:spacing w:after="0" w:line="206" w:lineRule="exact"/>
        <w:rPr>
          <w:rFonts w:ascii="Times New Roman" w:cs="Times New Roman" w:eastAsia="Times New Roman" w:hAnsi="Times New Roman"/>
          <w:sz w:val="18"/>
          <w:szCs w:val="18"/>
          <w:color w:val="auto"/>
        </w:rPr>
      </w:pPr>
    </w:p>
    <w:p>
      <w:pPr>
        <w:ind w:left="4" w:right="280" w:firstLine="436"/>
        <w:spacing w:after="0" w:line="258" w:lineRule="auto"/>
        <w:tabs>
          <w:tab w:leader="none" w:pos="7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73" w:name="page74"/>
    <w:bookmarkEnd w:id="73"/>
    <w:p>
      <w:pPr>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w:t>
      </w:r>
    </w:p>
    <w:p>
      <w:pPr>
        <w:spacing w:after="0" w:line="1" w:lineRule="exact"/>
        <w:rPr>
          <w:sz w:val="20"/>
          <w:szCs w:val="20"/>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for any such default or violation that would not, individually or in the aggregate, have a Material Adverse Effect.</w:t>
      </w:r>
    </w:p>
    <w:p>
      <w:pPr>
        <w:spacing w:after="0" w:line="206"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and have paid all taxes required to be paid thereon (except for cases in which the failure to file or pay would not, singly or in the aggregate,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w:t>
      </w:r>
    </w:p>
    <w:p>
      <w:pPr>
        <w:spacing w:after="0" w:line="176" w:lineRule="exact"/>
        <w:rPr>
          <w:sz w:val="20"/>
          <w:szCs w:val="20"/>
          <w:color w:val="auto"/>
        </w:rPr>
      </w:pPr>
    </w:p>
    <w:p>
      <w:pPr>
        <w:ind w:left="4" w:right="140" w:firstLine="436"/>
        <w:spacing w:after="0" w:line="256" w:lineRule="auto"/>
        <w:tabs>
          <w:tab w:leader="none" w:pos="7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in the Company’s reasonable judgement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7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and good and marketable title to all personal property (other than intellectual property which is addressed exclusively in Section 6(mm), Section 6(yy) and Section 6(zz) below) owned by them which is material to the business of the Company and its Subsidiaries, in each case free and clear of all liens, encumbrances and defects except such as are described in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would not reasonably be expected to materially interfere with the use made and proposed to be made of such property and buildings by the Company and its Subsidiaries, in each case expect as described in the Prospectus.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74" w:name="page75"/>
    <w:bookmarkEnd w:id="74"/>
    <w:p>
      <w:pPr>
        <w:ind w:left="4" w:right="260" w:firstLine="436"/>
        <w:spacing w:after="0" w:line="254" w:lineRule="auto"/>
        <w:tabs>
          <w:tab w:leader="none" w:pos="76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possess, and are in material compliance with the terms of all certificates, licenses, permits and similar authorizations issued by the appropriate federal, state or foreign regulatory authorities necessary to conduct their respective businesses (collectively,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currently conducted. All Permits are in full force and effect and neither the Company nor any of its Subsidiaries is in violation of any term of any Permit in any material respect. Each of the Company and its Subsidiaries has fulfilled and performed all of its respective obligations with respect to the Permits in all material respects and, to the knowledge of the Company, no event has occurred which allows, or after notice or lapse of time would allow, revocation or termination thereof or results in any other impairment of the rights of the holder of any Permit. Neither the Company nor any of its Subsidiaries has received any written notice, or to the knowledge of the Company any oral notice of proceedings relating to the revocation or modification of any such certificate, authorization or permit which, singly or in the aggregate, if the subject of an unfavorable decision, ruling or finding,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4" w:firstLine="436"/>
        <w:spacing w:after="0" w:line="268" w:lineRule="auto"/>
        <w:tabs>
          <w:tab w:leader="none" w:pos="78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w:t>
      </w:r>
    </w:p>
    <w:p>
      <w:pPr>
        <w:spacing w:after="0" w:line="4" w:lineRule="exact"/>
        <w:rPr>
          <w:rFonts w:ascii="Times New Roman" w:cs="Times New Roman" w:eastAsia="Times New Roman" w:hAnsi="Times New Roman"/>
          <w:sz w:val="17"/>
          <w:szCs w:val="17"/>
          <w:color w:val="auto"/>
        </w:rPr>
      </w:pPr>
    </w:p>
    <w:p>
      <w:pPr>
        <w:ind w:left="4" w:right="380" w:hanging="4"/>
        <w:spacing w:after="0" w:line="260"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the Company’s internal control over financial reporting that has materially affected, or is reasonably likely to materially affect, the Company’s internal control over financial reporting.</w:t>
      </w:r>
    </w:p>
    <w:p>
      <w:pPr>
        <w:spacing w:after="0" w:line="181"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76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established and maintain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4"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7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cause or result in, under the Exchange Act or otherwise, stabilization or manipulation of the price of any security of the Company to facilitate the sale or resale of the Placement Shares or (ii) any action designed to cause or result in a violation of Regulation M under the Exchange Act.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75" w:name="page76"/>
    <w:bookmarkEnd w:id="75"/>
    <w:p>
      <w:pPr>
        <w:ind w:left="-20" w:firstLine="436"/>
        <w:spacing w:after="0" w:line="271" w:lineRule="auto"/>
        <w:tabs>
          <w:tab w:leader="none" w:pos="76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u w:val="single" w:color="auto"/>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w:t>
      </w:r>
    </w:p>
    <w:p>
      <w:pPr>
        <w:spacing w:after="0" w:line="173" w:lineRule="exact"/>
        <w:rPr>
          <w:rFonts w:ascii="Times New Roman" w:cs="Times New Roman" w:eastAsia="Times New Roman" w:hAnsi="Times New Roman"/>
          <w:sz w:val="17"/>
          <w:szCs w:val="17"/>
          <w:color w:val="auto"/>
        </w:rPr>
      </w:pPr>
    </w:p>
    <w:p>
      <w:pPr>
        <w:ind w:left="-20" w:right="80" w:firstLine="436"/>
        <w:spacing w:after="0" w:line="258" w:lineRule="auto"/>
        <w:tabs>
          <w:tab w:leader="none" w:pos="7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and as currently required, with, and there is and has been no failure on the part of the Company and, to the Company’s knowledge, any of the Company’s directors or officers, in their capacities as such, to comply, in all material respects and as currently required, with, any applicable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83" w:lineRule="exact"/>
        <w:rPr>
          <w:rFonts w:ascii="Times New Roman" w:cs="Times New Roman" w:eastAsia="Times New Roman" w:hAnsi="Times New Roman"/>
          <w:sz w:val="18"/>
          <w:szCs w:val="18"/>
          <w:color w:val="auto"/>
        </w:rPr>
      </w:pPr>
    </w:p>
    <w:p>
      <w:pPr>
        <w:ind w:left="-20" w:firstLine="436"/>
        <w:spacing w:after="0" w:line="253"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controlled affiliates, or any director, officer, or employee thereof,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u w:val="single" w:color="auto"/>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designed to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76" w:name="page77"/>
    <w:bookmarkEnd w:id="76"/>
    <w:p>
      <w:pPr>
        <w:ind w:left="-20" w:firstLine="436"/>
        <w:spacing w:after="0" w:line="254" w:lineRule="auto"/>
        <w:tabs>
          <w:tab w:leader="none" w:pos="7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Times New Roman" w:cs="Times New Roman" w:eastAsia="Times New Roman" w:hAnsi="Times New Roman"/>
          <w:sz w:val="18"/>
          <w:szCs w:val="18"/>
          <w:color w:val="auto"/>
        </w:rPr>
      </w:pPr>
    </w:p>
    <w:p>
      <w:pPr>
        <w:jc w:val="both"/>
        <w:ind w:left="-20" w:right="300" w:firstLine="436"/>
        <w:spacing w:after="0" w:line="266"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60" w:right="140" w:firstLine="7"/>
        <w:spacing w:after="0" w:line="266" w:lineRule="auto"/>
        <w:tabs>
          <w:tab w:leader="none" w:pos="12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60" w:firstLine="7"/>
        <w:spacing w:after="0" w:line="266" w:lineRule="auto"/>
        <w:tabs>
          <w:tab w:leader="none" w:pos="124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 Crimea Region and the non-government controlled areas of the Zaporizhzhia and Kherson Regions of Ukraine, the so-called Donetsk People’s Republic, and the so-called Luhansk People’s Republic, Cuba, Iran and North Korea).</w:t>
      </w:r>
    </w:p>
    <w:p>
      <w:pPr>
        <w:spacing w:after="0" w:line="176" w:lineRule="exact"/>
        <w:rPr>
          <w:sz w:val="20"/>
          <w:szCs w:val="20"/>
          <w:color w:val="auto"/>
        </w:rPr>
      </w:pPr>
    </w:p>
    <w:p>
      <w:pPr>
        <w:ind w:left="-20" w:right="20" w:firstLine="436"/>
        <w:spacing w:after="0" w:line="282"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60" w:right="220" w:firstLine="7"/>
        <w:spacing w:after="0" w:line="282" w:lineRule="auto"/>
        <w:tabs>
          <w:tab w:leader="none" w:pos="12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60" w:right="480" w:firstLine="7"/>
        <w:spacing w:after="0" w:line="282" w:lineRule="auto"/>
        <w:tabs>
          <w:tab w:leader="none" w:pos="124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20" w:right="220" w:firstLine="436"/>
        <w:spacing w:after="0" w:line="312" w:lineRule="auto"/>
        <w:tabs>
          <w:tab w:leader="none" w:pos="7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40" w:lineRule="exact"/>
        <w:rPr>
          <w:sz w:val="20"/>
          <w:szCs w:val="20"/>
          <w:color w:val="auto"/>
        </w:rPr>
      </w:pPr>
    </w:p>
    <w:p>
      <w:pPr>
        <w:ind w:left="-20" w:right="220" w:firstLine="436"/>
        <w:spacing w:after="0" w:line="255" w:lineRule="auto"/>
        <w:tabs>
          <w:tab w:leader="none" w:pos="8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valid, binding and enforceable licenses or other rights under the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and its Subsidiaries in the manner described in the Registration Statement or the Prospectus (collectively, the “</w:t>
      </w:r>
      <w:r>
        <w:rPr>
          <w:rFonts w:ascii="Times New Roman" w:cs="Times New Roman" w:eastAsia="Times New Roman" w:hAnsi="Times New Roman"/>
          <w:sz w:val="18"/>
          <w:szCs w:val="18"/>
          <w:b w:val="1"/>
          <w:bCs w:val="1"/>
          <w:u w:val="single" w:color="auto"/>
          <w:color w:val="auto"/>
        </w:rPr>
        <w:t>Company Intellectual Property</w:t>
      </w:r>
      <w:r>
        <w:rPr>
          <w:rFonts w:ascii="Times New Roman" w:cs="Times New Roman" w:eastAsia="Times New Roman" w:hAnsi="Times New Roman"/>
          <w:sz w:val="18"/>
          <w:szCs w:val="18"/>
          <w:color w:val="auto"/>
        </w:rPr>
        <w:t>”), and the Company owns or has valid, binding and enforceable licenses or other rights to practice such Company Intellectual Property; the intellectual property owned by the Company or any of its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77" w:name="page78"/>
    <w:bookmarkEnd w:id="77"/>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free and clear of all material liens and encumbrances; to the knowledge of the Company, the patents, trademarks and copyrights owned or licensed by the Company or any of its Subsidiaries are valid, enforceable and subsisting; the Company and its Subsidiaries have complied with the terms of each agreement pursuant to which intellectual property has been licensed to the Company or any Subsidiary, and all such agreements are in full force and effect. Other than as disclosed in the Registration Statement and the Prospectus, (i) neither the Company nor any of its Subsidiaries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or any of its Subsidiaries is infringing, misappropriating, diluting or otherwise violating any rights of others with respect to any of the Company’s or any of its Subsidiaries’ product candidates, processes or intellectual property, and the Company is unaware of any facts which would form a reasonable basis for any such action, suit, proceeding or claim, (iii) no action, suit, claim or other proceeding is pending, or, to the knowledge of the Company, is threatened, challenging the validity, enforceability, scope, registration, ownership or use of any of the patents or patent applications included in the Company Intellectual Property, or challenging the Company’s or any of its Subsidiaries’ rights in or to any Company Intellectual Property, and the Company is unaware of any facts which would form a reasonable basis for any such action, suit, proceeding or claim, (iv) neither the Company nor any of its Subsidiaries has received notice of any claim of infringement, misappropriation or conflict with any asserted rights of others with respect to any of the Company’s or any of its Subsidiaries’ product candidates, technology, processes or Company Intellectual Property, (v) to the knowledge of the Company, the development, manufacture, sale, and any currently proposed use of any of the product candidates or processes of the Company or any of its Subsidiaries referred to in the Registration Statement or the Prospectus do not currently, and will not upon commercialization, to the knowledge of the Company, infringe any right or valid patent claim of any third party, (vi) no third party has any ownership right in or to any Company Intellectual Property that is owned by the Company or any of its Subsidiaries, other than any co-owner of any patent constituting Company Intellectual Property who is listed on the records of the U.S. Patent and Trademark Office and any co-owner of any patent application constituting Company Intellectual Property who is named in such patent application, and, to the knowledge of the Company, no third party has any ownership right in or to any Company Intellectual Property licensed to the Company or any of its Subsidiaries, other than any licensor to the Company or such Subsidiary of such Company Intellectual Property, other than any co-owner of any patent constituting Company Intellectual Property who is listed on the records of the U.S. Patent and Trademark Office and any co-owner of any patent application constituting Company Intellectual Property who is named in such patent application,</w:t>
      </w:r>
    </w:p>
    <w:p>
      <w:pPr>
        <w:spacing w:after="0" w:line="8" w:lineRule="exact"/>
        <w:rPr>
          <w:sz w:val="20"/>
          <w:szCs w:val="20"/>
          <w:color w:val="auto"/>
        </w:rPr>
      </w:pPr>
    </w:p>
    <w:p>
      <w:pPr>
        <w:ind w:left="4" w:right="240" w:hanging="4"/>
        <w:spacing w:after="0" w:line="251" w:lineRule="auto"/>
        <w:tabs>
          <w:tab w:leader="none" w:pos="3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reasonable measures to protect their confidential information and trade secrets and to maintain and safeguard the Company Intellectual Property, including the execution of appropriate nondisclosure and confidentiality agreements, (viii) to the knowledge of the Company, no employee, consultant or independent contractor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any of its Subsidiaries or actions undertaken while employed or engaged with the Company of any of its Subsidiaries, and (ix) to the knowledge of the Company, there is no infringement by third parties of any Company Intellectual Property.</w:t>
      </w:r>
    </w:p>
    <w:p>
      <w:pPr>
        <w:spacing w:after="0" w:line="193"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7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is, and since January 7, 2021 has been, in material compliance with all statutes, rules, regulations, and policies applicable to the Company’s business, including but not limited to statutes, rules, and regulations related to the ownership, testing, development, registration, licensure, manufacture, processing, use, recordkeeping, filing of reports, storage, distribution, packaging, labeling, promotion, import, export or disposal of any product candidate</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78" w:name="page79"/>
    <w:bookmarkEnd w:id="7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developed or manufactured by or on behalf of the Company or such Subsidiary, including, without limitation, the U.S. Federal Food, Drug and Cosmetic Act (21 U.S.C. § 301 et seq.), the Public Health Service Act (42 U.S.C. § 201 et seq.), the regulations promulgated pursuant to such laws, including, without limitation, 21 C.F.R. Parts 50, 54, 56, 58 and 312, the U.S. Animal Welfare Act and comparable state laws, and all other local, state, federal, national and foreign laws, rules, and regulations, applicable to the Company or any of its Subsidiaries (collectively, the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(ii) has not received any written notice, from any court or arbitrator or governmental or regulatory authority or third party alleging or asserting material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8"/>
          <w:szCs w:val="18"/>
          <w:b w:val="1"/>
          <w:bCs w:val="1"/>
          <w:u w:val="single" w:color="auto"/>
          <w:color w:val="auto"/>
        </w:rPr>
        <w:t>Authorizations</w:t>
      </w:r>
      <w:r>
        <w:rPr>
          <w:rFonts w:ascii="Times New Roman" w:cs="Times New Roman" w:eastAsia="Times New Roman" w:hAnsi="Times New Roman"/>
          <w:sz w:val="18"/>
          <w:szCs w:val="18"/>
          <w:color w:val="auto"/>
        </w:rPr>
        <w:t>”); (iii) possesses all material Authorizations and such Authorizations are valid and in full force and effect and, to the Company’s knowledge, are not in violation of any term of such Authorizations; (iv) has not received any written notice, or to the knowledge of the Company any oral notice, of any claim, action, suit, proceeding, hearing, enforcement, investigation, arbitration or other action, or notice of adverse finding, any FDA Form 483, warning letter, untitled letter or other communication, from any governmental or regulatory authority alleging or asserting noncompliance with any Applicable Laws or Authorizations nor, to the knowledge of the Company, is any such claim, action, suit, proceeding, hearing, enforcement, investigation, arbitration or other action or communication threatened;</w:t>
      </w:r>
    </w:p>
    <w:p>
      <w:pPr>
        <w:spacing w:after="0" w:line="2" w:lineRule="exact"/>
        <w:rPr>
          <w:sz w:val="20"/>
          <w:szCs w:val="20"/>
          <w:color w:val="auto"/>
        </w:rPr>
      </w:pPr>
    </w:p>
    <w:p>
      <w:pPr>
        <w:ind w:left="4" w:right="140" w:hanging="4"/>
        <w:spacing w:after="0" w:line="251"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written notice, or to the knowledge of the Company any oral notice, from any court or arbitrator or governmental or regulatory authority that such court, arbitrator or authority has taken, is taking or intends to take action to materially limit, suspend, materially modify or revoke any Authorizations nor, to the knowledge of the Company, is any such limitation, suspension, modification or revocation threatened; (vi) has filed, obtained, maintained or submitted all material reports, documents, forms, notices, applications, records, claims, submissions and supplements or amendments as required by any Applicable Laws or Authorizations and that all such material reports, documents, forms, notices, applications, records, claims, submissions and supplements or amendments were complete and accurate on the date filed in all material respects (or were corrected or supplemented by a subsequent submission); and (vii) is not a party to any corporate integrity agreements, monitoring agreements, consent decrees, settlement orders, or similar agreements with or imposed by any governmental or regulatory authority.</w:t>
      </w:r>
    </w:p>
    <w:p>
      <w:pPr>
        <w:spacing w:after="0" w:line="193" w:lineRule="exact"/>
        <w:rPr>
          <w:rFonts w:ascii="Times New Roman" w:cs="Times New Roman" w:eastAsia="Times New Roman" w:hAnsi="Times New Roman"/>
          <w:sz w:val="18"/>
          <w:szCs w:val="18"/>
          <w:color w:val="auto"/>
        </w:rPr>
      </w:pPr>
    </w:p>
    <w:p>
      <w:pPr>
        <w:ind w:left="4" w:firstLine="436"/>
        <w:spacing w:after="0" w:line="253" w:lineRule="auto"/>
        <w:tabs>
          <w:tab w:leader="none" w:pos="78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clinical and preclinical studies and trials conducted by or on behalf of or sponsored by the Company or any of its Subsidiaries that are described in the Registration Statement or the Prospectus or the results of which are referred to in the Registration Statement or the Prospectus, or are intended to be submitted to the U.S. Food and Drug Administration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the European Medicines Agency (the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or similar foreign, state, and local governmental or regulatory authorities (collectively, the “</w:t>
      </w:r>
      <w:r>
        <w:rPr>
          <w:rFonts w:ascii="Times New Roman" w:cs="Times New Roman" w:eastAsia="Times New Roman" w:hAnsi="Times New Roman"/>
          <w:sz w:val="18"/>
          <w:szCs w:val="18"/>
          <w:b w:val="1"/>
          <w:bCs w:val="1"/>
          <w:u w:val="single" w:color="auto"/>
          <w:color w:val="auto"/>
        </w:rPr>
        <w:t>Regulatory Authorities</w:t>
      </w:r>
      <w:r>
        <w:rPr>
          <w:rFonts w:ascii="Times New Roman" w:cs="Times New Roman" w:eastAsia="Times New Roman" w:hAnsi="Times New Roman"/>
          <w:sz w:val="18"/>
          <w:szCs w:val="18"/>
          <w:color w:val="auto"/>
        </w:rPr>
        <w:t>”), were and, if ongoing, are being conducted in all material respects in accordance with the protocols or study plans established for each such clinical trial or preclinical study and with all Applicable Laws and Authorizations; (ii) the descriptions in the Registration Statement and the Prospectus of the results of such trials and tests are accurate and complete in all material respects; and fairly present the data derived from such studies and trials; (iii) the Company has no knowledge of any other trials the results of which are materially inconsistent with or otherwise could reasonably be expected to discredit or call into question the results described or referred to in the Registration Statement or the Prospectus; (iv) neither the Company nor any of its Subsidiaries has received any written notices, correspondence or other communication from any Regulatory Authority or any other governmental agency or any institutional review board or ethics committee, or other similar entity imposing the termination, suspension, or material modification of any clinical or preclinical trials that are described in the Registration Statement or the Prospectus or the results of which are referred to in the Registration Statement or the Prospectus; nor is the Company aware of any facts that would form a reasonable basis for any such termination, suspension or material modification.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79" w:name="page80"/>
    <w:bookmarkEnd w:id="79"/>
    <w:p>
      <w:pPr>
        <w:ind w:left="4" w:right="200" w:firstLine="436"/>
        <w:spacing w:after="0" w:line="258" w:lineRule="auto"/>
        <w:tabs>
          <w:tab w:leader="none" w:pos="7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nor, to the knowledge of the Company, any of its or any of its Subsidiaries’ officers, directors or managing employees (as defined in 42 U.S.C. § 1320a-5(b)), is or has been excluded, suspended or debarred from participation in any national or regional health care program, debarred by FDA or comparable authorities pursuant to 21 U.S.C. § 335a or similar laws, or made subject to any pending or, to the knowledge of the Company, threatened action which would reasonably be expected to result in such exclusion, suspension or debarment.</w:t>
      </w:r>
    </w:p>
    <w:p>
      <w:pPr>
        <w:spacing w:after="0" w:line="183" w:lineRule="exact"/>
        <w:rPr>
          <w:rFonts w:ascii="Times New Roman" w:cs="Times New Roman" w:eastAsia="Times New Roman" w:hAnsi="Times New Roman"/>
          <w:sz w:val="18"/>
          <w:szCs w:val="18"/>
          <w:color w:val="auto"/>
        </w:rPr>
      </w:pPr>
    </w:p>
    <w:p>
      <w:pPr>
        <w:ind w:left="4" w:right="240" w:firstLine="436"/>
        <w:spacing w:after="0" w:line="276" w:lineRule="auto"/>
        <w:tabs>
          <w:tab w:leader="none" w:pos="789"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ind w:left="4" w:hanging="4"/>
        <w:spacing w:after="0" w:line="255" w:lineRule="auto"/>
        <w:tabs>
          <w:tab w:leader="none" w:pos="2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5"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7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 in all material respects.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shell company (as defined in Rule 405) and has not been a shell company for at least 12 calendar months previously.</w:t>
      </w:r>
    </w:p>
    <w:p>
      <w:pPr>
        <w:spacing w:after="0" w:line="22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failed to pay any dividend or sinking fund installment on preferred stock or</w:t>
      </w:r>
    </w:p>
    <w:p>
      <w:pPr>
        <w:spacing w:after="0" w:line="27" w:lineRule="exact"/>
        <w:rPr>
          <w:sz w:val="20"/>
          <w:szCs w:val="20"/>
          <w:color w:val="auto"/>
        </w:rPr>
      </w:pPr>
    </w:p>
    <w:p>
      <w:pPr>
        <w:ind w:left="4" w:right="280" w:hanging="4"/>
        <w:spacing w:after="0" w:line="260"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on any installment or payment due on indebtedness for borrowed money or on any rental on one or more long-term leases, in each case which, individually or in the aggregate, could reasonably be expected to result in a Material Adverse Effect.</w:t>
      </w:r>
    </w:p>
    <w:p>
      <w:pPr>
        <w:spacing w:after="0" w:line="181"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8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80" w:name="page81"/>
    <w:bookmarkEnd w:id="80"/>
    <w:p>
      <w:pPr>
        <w:ind w:left="864" w:hanging="424"/>
        <w:spacing w:after="0"/>
        <w:tabs>
          <w:tab w:leader="none" w:pos="8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7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7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and patent applications owned by or licensed to the Company or any of its Subsidiaries or under which the Company or any of its Subsidiaries has rights have, to the knowledge of the Company, been duly and properly filed and maintained; to the knowledge of the Company, no person having a duty of candor to the Intellectual Property Office or the U.S. Patent and Trademark Office (“</w:t>
      </w:r>
      <w:r>
        <w:rPr>
          <w:rFonts w:ascii="Times New Roman" w:cs="Times New Roman" w:eastAsia="Times New Roman" w:hAnsi="Times New Roman"/>
          <w:sz w:val="18"/>
          <w:szCs w:val="18"/>
          <w:b w:val="1"/>
          <w:bCs w:val="1"/>
          <w:u w:val="single" w:color="auto"/>
          <w:color w:val="auto"/>
        </w:rPr>
        <w:t>USPTO</w:t>
      </w:r>
      <w:r>
        <w:rPr>
          <w:rFonts w:ascii="Times New Roman" w:cs="Times New Roman" w:eastAsia="Times New Roman" w:hAnsi="Times New Roman"/>
          <w:sz w:val="18"/>
          <w:szCs w:val="18"/>
          <w:color w:val="auto"/>
        </w:rPr>
        <w:t>” and together with the Intellectual Property Office, the “</w:t>
      </w:r>
      <w:r>
        <w:rPr>
          <w:rFonts w:ascii="Times New Roman" w:cs="Times New Roman" w:eastAsia="Times New Roman" w:hAnsi="Times New Roman"/>
          <w:sz w:val="18"/>
          <w:szCs w:val="18"/>
          <w:b w:val="1"/>
          <w:bCs w:val="1"/>
          <w:u w:val="single" w:color="auto"/>
          <w:color w:val="auto"/>
        </w:rPr>
        <w:t>Intellectual Property Authorities</w:t>
      </w:r>
      <w:r>
        <w:rPr>
          <w:rFonts w:ascii="Times New Roman" w:cs="Times New Roman" w:eastAsia="Times New Roman" w:hAnsi="Times New Roman"/>
          <w:sz w:val="18"/>
          <w:szCs w:val="18"/>
          <w:color w:val="auto"/>
        </w:rPr>
        <w:t>”) with respect to the prosecution of such patents and patent applications has breached such duty; and the Company is not aware of any facts required to be disclosed to the Intellectual Property Authorities that were not disclosed to the Intellectual Property Authorities and which would preclude the grant of a patent in connection with any such application or could form the basis of a finding of invalidity with respect to any patents that have issued with respect to such applications.</w:t>
      </w:r>
    </w:p>
    <w:p>
      <w:pPr>
        <w:spacing w:after="0" w:line="189" w:lineRule="exact"/>
        <w:rPr>
          <w:sz w:val="20"/>
          <w:szCs w:val="20"/>
          <w:color w:val="auto"/>
        </w:rPr>
      </w:pPr>
    </w:p>
    <w:p>
      <w:pPr>
        <w:ind w:left="4" w:firstLine="436"/>
        <w:spacing w:after="0" w:line="253" w:lineRule="auto"/>
        <w:tabs>
          <w:tab w:leader="none" w:pos="8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u w:val="single" w:color="auto"/>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w:t>
      </w:r>
    </w:p>
    <w:p>
      <w:pPr>
        <w:spacing w:after="0" w:line="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(2) licensed for the purpose of making derivative works or (3) redistributed at no charge.</w:t>
      </w:r>
    </w:p>
    <w:p>
      <w:pPr>
        <w:spacing w:after="0" w:line="206"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87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have complied and are presently in compliance in all material respects with all internal and external privacy policies, contractual obligations, applicable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b w:val="1"/>
          <w:bCs w:val="1"/>
          <w:u w:val="single" w:color="auto"/>
          <w:color w:val="auto"/>
        </w:rPr>
        <w:t>Data Security Obligations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such data,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(ii) the Company has not received any written notification of or complaint regarding and is unaware of any other facts that, individually or in the aggregate, would reasonably indicate non-compliance with any Data Security Obligation; and (iii) of there is no action, suit or proceeding by or before any court or governmental agency, authority or body pending or, to the knowledge of the Company, threatened alleging material non-compliance with any Data Security Obligation.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81" w:name="page82"/>
    <w:bookmarkEnd w:id="81"/>
    <w:p>
      <w:pPr>
        <w:ind w:right="20" w:firstLine="436"/>
        <w:spacing w:after="0" w:line="254" w:lineRule="auto"/>
        <w:tabs>
          <w:tab w:leader="none" w:pos="8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have taken all technical and organizational measures reasonably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in all material respects, reasonable information technology, information security, cyber security and data protection controls, policies and procedures, including oversight, access controls, encryption, technological and physical safeguards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u w:val="single" w:color="auto"/>
          <w:color w:val="auto"/>
        </w:rPr>
        <w:t>Breach</w:t>
      </w:r>
      <w:r>
        <w:rPr>
          <w:rFonts w:ascii="Times New Roman" w:cs="Times New Roman" w:eastAsia="Times New Roman" w:hAnsi="Times New Roman"/>
          <w:sz w:val="18"/>
          <w:szCs w:val="18"/>
          <w:color w:val="auto"/>
        </w:rPr>
        <w:t>”). There has been no such Breach, and the Company and its Subsidiaries have not been notified in writing of and have no knowledge of any event or condition that would reasonably be expected to result in, any such Breach.</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8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sz w:val="20"/>
          <w:szCs w:val="20"/>
          <w:color w:val="auto"/>
        </w:rPr>
      </w:pPr>
    </w:p>
    <w:p>
      <w:pPr>
        <w:ind w:firstLine="436"/>
        <w:spacing w:after="0" w:line="252"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82" w:name="page83"/>
    <w:bookmarkEnd w:id="8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3" w:lineRule="exact"/>
        <w:rPr>
          <w:sz w:val="20"/>
          <w:szCs w:val="20"/>
          <w:color w:val="auto"/>
        </w:rPr>
      </w:pPr>
    </w:p>
    <w:p>
      <w:pPr>
        <w:ind w:firstLine="436"/>
        <w:spacing w:after="0" w:line="255"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8" w:lineRule="exact"/>
        <w:rPr>
          <w:rFonts w:ascii="Times New Roman" w:cs="Times New Roman" w:eastAsia="Times New Roman" w:hAnsi="Times New Roman"/>
          <w:sz w:val="18"/>
          <w:szCs w:val="18"/>
          <w:color w:val="auto"/>
        </w:rPr>
      </w:pPr>
    </w:p>
    <w:p>
      <w:pPr>
        <w:ind w:right="20" w:firstLine="436"/>
        <w:spacing w:after="0" w:line="269" w:lineRule="auto"/>
        <w:tabs>
          <w:tab w:leader="none" w:pos="68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75" w:lineRule="exact"/>
        <w:rPr>
          <w:rFonts w:ascii="Times New Roman" w:cs="Times New Roman" w:eastAsia="Times New Roman" w:hAnsi="Times New Roman"/>
          <w:sz w:val="17"/>
          <w:szCs w:val="17"/>
          <w:color w:val="auto"/>
        </w:rPr>
      </w:pPr>
    </w:p>
    <w:p>
      <w:pPr>
        <w:ind w:right="260" w:firstLine="436"/>
        <w:spacing w:after="0" w:line="258"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83" w:name="page84"/>
    <w:bookmarkEnd w:id="83"/>
    <w:p>
      <w:pPr>
        <w:ind w:left="4" w:right="40" w:firstLine="436"/>
        <w:spacing w:after="0" w:line="255" w:lineRule="auto"/>
        <w:tabs>
          <w:tab w:leader="none" w:pos="68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6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7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whether or not the transactions contemplated hereunder are consummated or this Agreement is terminated in accordance with the provisions of Section 11 hereunder, will pay or cause to be paid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stock or transfer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w:t>
      </w:r>
    </w:p>
    <w:p>
      <w:pPr>
        <w:spacing w:after="0" w:line="9" w:lineRule="exact"/>
        <w:rPr>
          <w:rFonts w:ascii="Times New Roman" w:cs="Times New Roman" w:eastAsia="Times New Roman" w:hAnsi="Times New Roman"/>
          <w:sz w:val="17"/>
          <w:szCs w:val="17"/>
          <w:color w:val="auto"/>
        </w:rPr>
      </w:pPr>
    </w:p>
    <w:p>
      <w:pPr>
        <w:ind w:left="4" w:hanging="4"/>
        <w:spacing w:after="0" w:line="253" w:lineRule="auto"/>
        <w:tabs>
          <w:tab w:leader="none" w:pos="4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and disbursements of the Agent’s outside legal counsel (A) in an amount not to exceed $100,000 arising out of executing this Agreement and the Company’s delivery of the initial certificate pursuant to Section 7(m) and (B) in an amount not to exceed $25,000 in connection with each Representation Date (as defined below) on which the Company is required to provide a certificate pursuant to Section 7(m) (in addition to the fees and associated expenses referred to in clause (vii) above).</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left="4" w:firstLine="436"/>
        <w:spacing w:after="0" w:line="255" w:lineRule="auto"/>
        <w:tabs>
          <w:tab w:leader="none" w:pos="65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90" w:lineRule="exact"/>
        <w:rPr>
          <w:sz w:val="20"/>
          <w:szCs w:val="20"/>
          <w:color w:val="auto"/>
        </w:rPr>
      </w:pPr>
    </w:p>
    <w:p>
      <w:pPr>
        <w:ind w:right="40" w:firstLine="436"/>
        <w:spacing w:after="0" w:line="261"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and the Net Proceeds to the Company with respect to such Placement Shares during the relevant period.</w:t>
      </w:r>
    </w:p>
    <w:p>
      <w:pPr>
        <w:spacing w:after="0" w:line="188" w:lineRule="exact"/>
        <w:rPr>
          <w:rFonts w:ascii="Times New Roman" w:cs="Times New Roman" w:eastAsia="Times New Roman" w:hAnsi="Times New Roman"/>
          <w:sz w:val="18"/>
          <w:szCs w:val="18"/>
          <w:color w:val="auto"/>
        </w:rPr>
      </w:pPr>
    </w:p>
    <w:p>
      <w:pPr>
        <w:ind w:right="60" w:firstLine="436"/>
        <w:spacing w:after="0" w:line="282" w:lineRule="auto"/>
        <w:tabs>
          <w:tab w:leader="none" w:pos="7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85" w:name="page86"/>
    <w:bookmarkEnd w:id="85"/>
    <w:p>
      <w:pPr>
        <w:ind w:firstLine="987"/>
        <w:spacing w:after="0" w:line="282" w:lineRule="auto"/>
        <w:tabs>
          <w:tab w:leader="none" w:pos="12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right="600" w:firstLine="987"/>
        <w:spacing w:after="0" w:line="282" w:lineRule="auto"/>
        <w:tabs>
          <w:tab w:leader="none" w:pos="1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that is “furnished” pursuant to Item 2.02 or Item 7.01 of Form 8-K) under the Exchange Act;</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 Block Sale in accordance with Section 3 of this Agreement (each event or date of filing of one or more of the documents referred to in clauses (i) through (v)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within one Trading Day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one Trading Day of each Representation Date, the Company shall have furnished to the Agent such further information, certificates and documents as the Agent may reasonably request.</w:t>
      </w:r>
    </w:p>
    <w:p>
      <w:pPr>
        <w:spacing w:after="0" w:line="192" w:lineRule="exact"/>
        <w:rPr>
          <w:sz w:val="20"/>
          <w:szCs w:val="20"/>
          <w:color w:val="auto"/>
        </w:rPr>
      </w:pPr>
    </w:p>
    <w:p>
      <w:pPr>
        <w:ind w:right="20" w:firstLine="436"/>
        <w:spacing w:after="0" w:line="254"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Ropes &amp; Gray LLP,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86" w:name="page87"/>
    <w:bookmarkEnd w:id="86"/>
    <w:p>
      <w:pPr>
        <w:ind w:right="100" w:firstLine="436"/>
        <w:spacing w:after="0" w:line="254"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Opinion</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of Lathrop GPM LLP,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 for subsequent Representation Dates, Intellectual Property Counsel may furnish the Agent with a letter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given on such date and modified as necessary to relate to the Registration Statement and the Prospectus, as amended and supplemented to the date of such letter.</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jc w:val="both"/>
        <w:ind w:firstLine="436"/>
        <w:spacing w:after="0" w:line="266" w:lineRule="auto"/>
        <w:tabs>
          <w:tab w:leader="none" w:pos="6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 except where the failure to maintain such insurance could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or Environmental Laws could not reasonably be expected to result in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87" w:name="page88"/>
    <w:bookmarkEnd w:id="87"/>
    <w:p>
      <w:pPr>
        <w:ind w:right="540" w:firstLine="436"/>
        <w:spacing w:after="0" w:line="266"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commercially reasonable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in its capacity as principal or agent hereunder,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4" w:lineRule="auto"/>
        <w:tabs>
          <w:tab w:leader="none" w:pos="7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the extent required),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8" w:name="page89"/>
    <w:bookmarkEnd w:id="88"/>
    <w:p>
      <w:pPr>
        <w:ind w:left="-20" w:firstLine="436"/>
        <w:spacing w:after="0" w:line="254" w:lineRule="auto"/>
        <w:tabs>
          <w:tab w:leader="none" w:pos="6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8"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2" w:lineRule="exact"/>
        <w:rPr>
          <w:sz w:val="20"/>
          <w:szCs w:val="20"/>
          <w:color w:val="auto"/>
        </w:rPr>
      </w:pPr>
    </w:p>
    <w:p>
      <w:pPr>
        <w:ind w:left="740" w:hanging="324"/>
        <w:spacing w:after="0"/>
        <w:tabs>
          <w:tab w:leader="none" w:pos="7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225" w:lineRule="exact"/>
        <w:rPr>
          <w:rFonts w:ascii="Times New Roman" w:cs="Times New Roman" w:eastAsia="Times New Roman" w:hAnsi="Times New Roman"/>
          <w:sz w:val="18"/>
          <w:szCs w:val="18"/>
          <w:color w:val="auto"/>
        </w:rPr>
      </w:pPr>
    </w:p>
    <w:p>
      <w:pPr>
        <w:ind w:left="-20" w:firstLine="436"/>
        <w:spacing w:after="0" w:line="256" w:lineRule="auto"/>
        <w:tabs>
          <w:tab w:leader="none" w:pos="7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the Agent shall be deemed to be (i) an affirmation that the representations, warranties and agreements of the Company herein contained and contained in any certificate delivered to the Agent pursuant hereto are true and correct at the time of delivery of such Placement Notice, and (ii) an undertaking that such representations, warranties and agreements will be true and correct on the date and time of each sale of any Placement Shares pursuant to this Agreement and on any applicable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87" w:lineRule="exact"/>
        <w:rPr>
          <w:sz w:val="20"/>
          <w:szCs w:val="20"/>
          <w:color w:val="auto"/>
        </w:rPr>
      </w:pPr>
    </w:p>
    <w:p>
      <w:pPr>
        <w:ind w:left="-20" w:right="320" w:firstLine="436"/>
        <w:spacing w:after="0" w:line="261" w:lineRule="auto"/>
        <w:tabs>
          <w:tab w:leader="none" w:pos="6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80" w:lineRule="exact"/>
        <w:rPr>
          <w:sz w:val="20"/>
          <w:szCs w:val="20"/>
          <w:color w:val="auto"/>
        </w:rPr>
      </w:pPr>
    </w:p>
    <w:p>
      <w:pPr>
        <w:ind w:left="-20" w:right="400" w:firstLine="436"/>
        <w:spacing w:after="0" w:line="282" w:lineRule="auto"/>
        <w:tabs>
          <w:tab w:leader="none" w:pos="6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61"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6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ATM Prospectus</w:t>
      </w:r>
      <w:r>
        <w:rPr>
          <w:rFonts w:ascii="Times New Roman" w:cs="Times New Roman" w:eastAsia="Times New Roman" w:hAnsi="Times New Roman"/>
          <w:sz w:val="18"/>
          <w:szCs w:val="18"/>
          <w:color w:val="auto"/>
        </w:rPr>
        <w:t>. The Company shall have filed with the Commission the ATM Prospectus pursuant to Rule 424(b) under the Securities Act not later than the Commission’s close of business on the second Business Day following the date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89" w:name="page90"/>
    <w:bookmarkEnd w:id="89"/>
    <w:p>
      <w:pPr>
        <w:ind w:firstLine="436"/>
        <w:spacing w:after="0" w:line="253"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right="360" w:firstLine="436"/>
        <w:spacing w:after="0" w:line="266" w:lineRule="auto"/>
        <w:tabs>
          <w:tab w:leader="none" w:pos="6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Wilmer Cutler Pickering Hale and Dorr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90" w:name="page91"/>
    <w:bookmarkEnd w:id="90"/>
    <w:p>
      <w:pPr>
        <w:ind w:left="4" w:right="220" w:firstLine="436"/>
        <w:spacing w:after="0" w:line="282" w:lineRule="auto"/>
        <w:tabs>
          <w:tab w:leader="none" w:pos="6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161" w:lineRule="exact"/>
        <w:rPr>
          <w:rFonts w:ascii="Times New Roman" w:cs="Times New Roman" w:eastAsia="Times New Roman" w:hAnsi="Times New Roman"/>
          <w:sz w:val="18"/>
          <w:szCs w:val="18"/>
          <w:color w:val="auto"/>
        </w:rPr>
      </w:pPr>
    </w:p>
    <w:p>
      <w:pPr>
        <w:ind w:left="4" w:right="340" w:firstLine="436"/>
        <w:spacing w:after="0" w:line="258" w:lineRule="auto"/>
        <w:tabs>
          <w:tab w:leader="none" w:pos="6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4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4" w:right="500" w:hanging="4"/>
        <w:spacing w:after="0" w:line="260"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1"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11(a).</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91" w:name="page92"/>
    <w:bookmarkEnd w:id="91"/>
    <w:p>
      <w:pPr>
        <w:ind w:left="624" w:hanging="184"/>
        <w:spacing w:after="0"/>
        <w:tabs>
          <w:tab w:leader="none" w:pos="6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The Company agrees to indemnify and hold harmless the Agent, its affiliates and each of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in connection with,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w:t>
      </w:r>
    </w:p>
    <w:p>
      <w:pPr>
        <w:spacing w:after="0" w:line="9" w:lineRule="exact"/>
        <w:rPr>
          <w:rFonts w:ascii="Times New Roman" w:cs="Times New Roman" w:eastAsia="Times New Roman" w:hAnsi="Times New Roman"/>
          <w:sz w:val="17"/>
          <w:szCs w:val="17"/>
          <w:color w:val="auto"/>
        </w:rPr>
      </w:pPr>
    </w:p>
    <w:p>
      <w:pPr>
        <w:ind w:left="4" w:right="60" w:hanging="4"/>
        <w:spacing w:after="0" w:line="253" w:lineRule="auto"/>
        <w:tabs>
          <w:tab w:leader="none" w:pos="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6"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89"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92" w:name="page93"/>
    <w:bookmarkEnd w:id="92"/>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w:t>
      </w:r>
    </w:p>
    <w:p>
      <w:pPr>
        <w:spacing w:after="0" w:line="11" w:lineRule="exact"/>
        <w:rPr>
          <w:sz w:val="20"/>
          <w:szCs w:val="20"/>
          <w:color w:val="auto"/>
        </w:rPr>
      </w:pPr>
    </w:p>
    <w:p>
      <w:pPr>
        <w:ind w:left="4" w:right="140" w:hanging="4"/>
        <w:spacing w:after="0" w:line="255"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83"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69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93" w:name="page94"/>
    <w:bookmarkEnd w:id="9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reasonable and documented legal or other expenses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4" w:lineRule="exact"/>
        <w:rPr>
          <w:sz w:val="20"/>
          <w:szCs w:val="20"/>
          <w:color w:val="auto"/>
        </w:rPr>
      </w:pPr>
    </w:p>
    <w:p>
      <w:pPr>
        <w:ind w:right="200" w:firstLine="436"/>
        <w:spacing w:after="0" w:line="258" w:lineRule="auto"/>
        <w:tabs>
          <w:tab w:leader="none" w:pos="7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94" w:name="page95"/>
    <w:bookmarkEnd w:id="94"/>
    <w:p>
      <w:pPr>
        <w:ind w:left="660" w:hanging="264"/>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436"/>
        <w:spacing w:after="0" w:line="252" w:lineRule="auto"/>
        <w:tabs>
          <w:tab w:leader="none" w:pos="6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reasonable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reasonable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5"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firstLine="436"/>
        <w:spacing w:after="0" w:line="261" w:lineRule="auto"/>
        <w:tabs>
          <w:tab w:leader="none" w:pos="6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right="120" w:firstLine="436"/>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left="-40" w:right="40" w:firstLine="436"/>
        <w:spacing w:after="0" w:line="266" w:lineRule="auto"/>
        <w:tabs>
          <w:tab w:leader="none" w:pos="6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3" w:lineRule="exact"/>
        <w:rPr>
          <w:rFonts w:ascii="Times New Roman" w:cs="Times New Roman" w:eastAsia="Times New Roman" w:hAnsi="Times New Roman"/>
          <w:sz w:val="18"/>
          <w:szCs w:val="18"/>
          <w:color w:val="auto"/>
        </w:rPr>
      </w:pPr>
    </w:p>
    <w:p>
      <w:pPr>
        <w:ind w:left="-40" w:right="100" w:firstLine="436"/>
        <w:spacing w:after="0" w:line="257" w:lineRule="auto"/>
        <w:tabs>
          <w:tab w:leader="none" w:pos="6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80" w:top="270" w:right="499" w:bottom="1440" w:gutter="0" w:footer="0" w:header="0"/>
        </w:sectPr>
      </w:pPr>
    </w:p>
    <w:bookmarkStart w:id="95" w:name="page96"/>
    <w:bookmarkEnd w:id="95"/>
    <w:p>
      <w:pPr>
        <w:ind w:left="4" w:right="260" w:firstLine="436"/>
        <w:spacing w:after="0" w:line="282" w:lineRule="auto"/>
        <w:tabs>
          <w:tab w:leader="none" w:pos="71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Head of Equity Capital Markets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CIBLegal@tdsecurities.com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Lisa Firenze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Lisa.Firenze@wilmerhale.com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One Main Street, Suite 1350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Mary Kay Fenton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Boston, Massachusetts 02199</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Thomas J. Danielski</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Thomas.Danielski@ropesgray.com</w:t>
      </w:r>
    </w:p>
    <w:p>
      <w:pPr>
        <w:spacing w:after="0" w:line="20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55" w:lineRule="auto"/>
        <w:tabs>
          <w:tab w:leader="none" w:pos="3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2"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this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96" w:name="page97"/>
    <w:bookmarkEnd w:id="96"/>
    <w:p>
      <w:pPr>
        <w:ind w:left="-40" w:right="20" w:firstLine="436"/>
        <w:spacing w:after="0" w:line="254" w:lineRule="auto"/>
        <w:tabs>
          <w:tab w:leader="none" w:pos="6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affiliate is a registered broker-dealer.</w:t>
      </w:r>
    </w:p>
    <w:p>
      <w:pPr>
        <w:spacing w:after="0" w:line="191" w:lineRule="exact"/>
        <w:rPr>
          <w:rFonts w:ascii="Times New Roman" w:cs="Times New Roman" w:eastAsia="Times New Roman" w:hAnsi="Times New Roman"/>
          <w:sz w:val="18"/>
          <w:szCs w:val="18"/>
          <w:color w:val="auto"/>
        </w:rPr>
      </w:pPr>
    </w:p>
    <w:p>
      <w:pPr>
        <w:ind w:left="-40" w:right="60" w:firstLine="436"/>
        <w:spacing w:after="0" w:line="282" w:lineRule="auto"/>
        <w:tabs>
          <w:tab w:leader="none" w:pos="6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ind w:left="-40" w:firstLine="436"/>
        <w:spacing w:after="0" w:line="252" w:lineRule="auto"/>
        <w:tabs>
          <w:tab w:leader="none" w:pos="6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of this Agreement may be amended by either party from time to time by sending a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3" w:lineRule="exact"/>
        <w:rPr>
          <w:rFonts w:ascii="Times New Roman" w:cs="Times New Roman" w:eastAsia="Times New Roman" w:hAnsi="Times New Roman"/>
          <w:sz w:val="18"/>
          <w:szCs w:val="18"/>
          <w:color w:val="auto"/>
        </w:rPr>
      </w:pPr>
    </w:p>
    <w:p>
      <w:pPr>
        <w:ind w:left="-40" w:right="100" w:firstLine="436"/>
        <w:spacing w:after="0" w:line="257" w:lineRule="auto"/>
        <w:tabs>
          <w:tab w:leader="none" w:pos="6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70" w:right="499" w:bottom="1440" w:gutter="0" w:footer="0" w:header="0"/>
        </w:sectPr>
      </w:pPr>
    </w:p>
    <w:bookmarkStart w:id="97" w:name="page98"/>
    <w:bookmarkEnd w:id="97"/>
    <w:p>
      <w:pPr>
        <w:jc w:val="both"/>
        <w:ind w:right="80" w:firstLine="436"/>
        <w:spacing w:after="0" w:line="270" w:lineRule="auto"/>
        <w:tabs>
          <w:tab w:leader="none" w:pos="71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w:t>
      </w:r>
      <w:r>
        <w:rPr>
          <w:rFonts w:ascii="Times New Roman" w:cs="Times New Roman" w:eastAsia="Times New Roman" w:hAnsi="Times New Roman"/>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2" w:lineRule="exact"/>
        <w:rPr>
          <w:rFonts w:ascii="Times New Roman" w:cs="Times New Roman" w:eastAsia="Times New Roman" w:hAnsi="Times New Roman"/>
          <w:sz w:val="17"/>
          <w:szCs w:val="17"/>
          <w:color w:val="auto"/>
        </w:rPr>
      </w:pP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right="740" w:firstLine="436"/>
        <w:spacing w:after="0" w:line="282"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6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firstLine="436"/>
        <w:spacing w:after="0" w:line="254" w:lineRule="auto"/>
        <w:tabs>
          <w:tab w:leader="none" w:pos="7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in all material respects with the requirements of Rule 433 applicable to any Permitted Free Writing Prospectus, including timely filing with the Commission where required, legending and record keeping.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0" w:firstLine="436"/>
        <w:spacing w:after="0" w:line="258"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98" w:name="page99"/>
    <w:bookmarkEnd w:id="98"/>
    <w:p>
      <w:pPr>
        <w:ind w:left="4" w:right="440" w:firstLine="436"/>
        <w:spacing w:after="0" w:line="282" w:lineRule="auto"/>
        <w:tabs>
          <w:tab w:leader="none" w:pos="6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68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6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8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ind w:left="4" w:right="40" w:firstLine="436"/>
        <w:spacing w:after="0" w:line="261" w:lineRule="auto"/>
        <w:tabs>
          <w:tab w:leader="none" w:pos="7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99" w:name="page100"/>
    <w:bookmarkEnd w:id="99"/>
    <w:p>
      <w:pPr>
        <w:ind w:right="40" w:firstLine="436"/>
        <w:spacing w:after="0" w:line="25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1" w:lineRule="exact"/>
        <w:rPr>
          <w:rFonts w:ascii="Times New Roman" w:cs="Times New Roman" w:eastAsia="Times New Roman" w:hAnsi="Times New Roman"/>
          <w:sz w:val="18"/>
          <w:szCs w:val="18"/>
          <w:color w:val="auto"/>
        </w:rPr>
      </w:pPr>
    </w:p>
    <w:p>
      <w:pPr>
        <w:ind w:firstLine="436"/>
        <w:spacing w:after="0" w:line="28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tenth paragraph under the heading “Plan of Distribution” in the ATM Prospectus.</w:t>
      </w:r>
    </w:p>
    <w:p>
      <w:pPr>
        <w:spacing w:after="0" w:line="15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00" w:name="page101"/>
    <w:bookmarkEnd w:id="10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Mary Kay Fenton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Murphy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980"/>
          </w:cols>
          <w:pgMar w:left="440" w:top="270" w:right="4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22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Cullinan Therapeutics, Inc.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22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TD Securities (USA) LLC —At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April 28, 2026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Cullinan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TD Securities (USA) LLC (“</w:t>
      </w:r>
      <w:r>
        <w:rPr>
          <w:rFonts w:ascii="Times New Roman" w:cs="Times New Roman" w:eastAsia="Times New Roman" w:hAnsi="Times New Roman"/>
          <w:sz w:val="18"/>
          <w:szCs w:val="18"/>
          <w:b w:val="1"/>
          <w:bCs w:val="1"/>
          <w:u w:val="single" w:color="auto"/>
          <w:color w:val="auto"/>
        </w:rPr>
        <w:t>TD Cowen</w:t>
      </w:r>
      <w:r>
        <w:rPr>
          <w:rFonts w:ascii="Times New Roman" w:cs="Times New Roman" w:eastAsia="Times New Roman" w:hAnsi="Times New Roman"/>
          <w:sz w:val="18"/>
          <w:szCs w:val="18"/>
          <w:color w:val="auto"/>
        </w:rPr>
        <w:t>”), I hereby request on behalf of the Company that TD Cowen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66" w:right="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The Company</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Nadim Ahmed</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00"/>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4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Murphy</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Follis</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Adriano Pierroz</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Sanford</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Associate</w:t>
            </w:r>
          </w:p>
        </w:tc>
      </w:tr>
    </w:tbl>
    <w:p>
      <w:pPr>
        <w:sectPr>
          <w:pgSz w:w="11900" w:h="16838" w:orient="portrait"/>
          <w:cols w:equalWidth="0" w:num="1">
            <w:col w:w="11020"/>
          </w:cols>
          <w:pgMar w:left="440" w:top="266" w:right="4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the Agent compensation in cash of up to 3.0% of the gross proceeds from the sales of Placement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ectPr>
          <w:pgSz w:w="11900" w:h="16838" w:orient="portrait"/>
          <w:cols w:equalWidth="0" w:num="1">
            <w:col w:w="11020"/>
          </w:cols>
          <w:pgMar w:left="440" w:top="266" w:right="4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Each of Nadim Ahmed, the duly qualified and elected Chief Executive Officer of Cullinan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Mary Kay Fenton, the duly qualified and elected Chief Financial Officer of the Company, does hereby certify in his respective capacity and on behalf of the Company, pursuant to Section 7(m) of the Sales Agreement, dated April 28, 2026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between the Company and TD Securities (USA) LLC, that, after due inquiry, to the best of the knowledge of the undersigned:</w:t>
      </w:r>
    </w:p>
    <w:p>
      <w:pPr>
        <w:spacing w:after="0" w:line="180" w:lineRule="exact"/>
        <w:rPr>
          <w:sz w:val="20"/>
          <w:szCs w:val="20"/>
          <w:color w:val="auto"/>
        </w:rPr>
      </w:pPr>
    </w:p>
    <w:p>
      <w:pPr>
        <w:ind w:right="20" w:firstLine="436"/>
        <w:spacing w:after="0" w:line="255"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that those representations and warranties that address matters only as of a particular date were true and correct as of such date),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(except that those representations and warranties that address matters only as of a particular date were true and correct as of such date).</w:t>
      </w:r>
    </w:p>
    <w:p>
      <w:pPr>
        <w:spacing w:after="0" w:line="188" w:lineRule="exact"/>
        <w:rPr>
          <w:rFonts w:ascii="Times New Roman" w:cs="Times New Roman" w:eastAsia="Times New Roman" w:hAnsi="Times New Roman"/>
          <w:sz w:val="18"/>
          <w:szCs w:val="18"/>
          <w:color w:val="auto"/>
        </w:rPr>
      </w:pPr>
    </w:p>
    <w:p>
      <w:pPr>
        <w:ind w:right="540" w:firstLine="436"/>
        <w:spacing w:after="0" w:line="282" w:lineRule="auto"/>
        <w:tabs>
          <w:tab w:leader="none" w:pos="7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300" w:firstLine="436"/>
        <w:spacing w:after="0" w:line="266" w:lineRule="auto"/>
        <w:tabs>
          <w:tab w:leader="none" w:pos="7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such individual’s respective capacity as Chief Executive Officer or Chief Financial Officer of the Company, has executed this Officers’ Certificate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Nadim Ahmed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Mary Kay Fenton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CULLINAN THERAPEUTICS, INC.</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920"/>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 as Trustee</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680"/>
        <w:spacing w:after="0"/>
        <w:tabs>
          <w:tab w:leader="none" w:pos="4820" w:val="left"/>
          <w:tab w:leader="none" w:pos="5240" w:val="left"/>
        </w:tabs>
        <w:rPr>
          <w:sz w:val="20"/>
          <w:szCs w:val="20"/>
          <w:color w:val="auto"/>
        </w:rPr>
      </w:pPr>
      <w:r>
        <w:rPr>
          <w:rFonts w:ascii="Times New Roman" w:cs="Times New Roman" w:eastAsia="Times New Roman" w:hAnsi="Times New Roman"/>
          <w:sz w:val="18"/>
          <w:szCs w:val="18"/>
          <w:color w:val="auto"/>
        </w:rPr>
        <w:t>Dated as of [ </w:t>
        <w:tab/>
        <w:t>], [ </w:t>
        <w:tab/>
        <w:t>]</w:t>
      </w:r>
    </w:p>
    <w:p>
      <w:pPr>
        <w:sectPr>
          <w:pgSz w:w="11900" w:h="16838" w:orient="portrait"/>
          <w:cols w:equalWidth="0" w:num="1">
            <w:col w:w="10020"/>
          </w:cols>
          <w:pgMar w:left="1440" w:top="117" w:right="4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7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r>
      <w:tr>
        <w:trPr>
          <w:trHeight w:val="459"/>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OF CONSTRUCTION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ISSUABLE IN SERIES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 TO HOLD ASSETS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SECURITYHOLDER LISTS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AND EXCHANGE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2.9.</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2.10.</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WHEN TREASURY SECURITIES DISREGARDED; DETERMINATION OF HOLDERS’ ACTION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2.13.</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INTEREST; DEFAULTED INTEREST; COMPUTATION OF INTEREST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2.14.</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2.15.</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PROVISIONS FOR GLOBAL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2.16.</w:t>
            </w:r>
          </w:p>
        </w:tc>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PERSONS DEEMED OWNERS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65"/>
        </w:trPr>
        <w:tc>
          <w:tcPr>
            <w:tcW w:w="760" w:type="dxa"/>
            <w:vAlign w:val="bottom"/>
          </w:tcPr>
          <w:p>
            <w:pPr>
              <w:spacing w:after="0"/>
              <w:rPr>
                <w:sz w:val="24"/>
                <w:szCs w:val="24"/>
                <w:color w:val="auto"/>
              </w:rPr>
            </w:pPr>
          </w:p>
        </w:tc>
        <w:tc>
          <w:tcPr>
            <w:tcW w:w="87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-i-</w:t>
            </w:r>
          </w:p>
        </w:tc>
        <w:tc>
          <w:tcPr>
            <w:tcW w:w="1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7" w:name="page108"/>
    <w:bookmarkEnd w:id="107"/>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TO 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REDEMPTION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3.4.</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3.5.</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3.6.</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SECURITIES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STAY, EXTENSION OR USURY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4.4.</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4.5.</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EXISTENCE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SUCCESSOR CORPORATION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CONSOLIDATION, MERGER AND SALE OF ASSETS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5.2.</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6.3.</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6.4.</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PAST DEFAULTS AND EVENTS OF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6.5.</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 BY MAJORITY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6.6.</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SUITS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6.7.</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6.8.</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6.9.</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6.10.</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6.11.</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UNDERTAKING FOR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4"/>
        </w:trPr>
        <w:tc>
          <w:tcPr>
            <w:tcW w:w="760" w:type="dxa"/>
            <w:vAlign w:val="bottom"/>
          </w:tcPr>
          <w:p>
            <w:pPr>
              <w:spacing w:after="0"/>
              <w:rPr>
                <w:sz w:val="24"/>
                <w:szCs w:val="24"/>
                <w:color w:val="auto"/>
              </w:rPr>
            </w:pPr>
          </w:p>
        </w:tc>
        <w:tc>
          <w:tcPr>
            <w:tcW w:w="78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-ii-</w:t>
            </w:r>
          </w:p>
        </w:tc>
        <w:tc>
          <w:tcPr>
            <w:tcW w:w="2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8" w:name="page109"/>
    <w:bookmarkEnd w:id="108"/>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DUTIES OF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7.2.</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7.3.</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7.4.</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TRUSTEE’S DISCLAIMER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7.5.</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7.6.</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7.7.</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7.8.</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OF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7.9.</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TRUSTEE BY CONSOLIDATION, MERGER OR CONVERSION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7.10.</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7.11.</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7.12.</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8.2.</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 CONSENT OF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8.3.</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8.4.</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8.5.</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8.6.</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DISCHARGE OF INDENTURE; DEFEASANCE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9.1.</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DISCHARGE OF INDENTURE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9.2.</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DEFEASANCE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9.3.</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9.4.</w:t>
            </w:r>
          </w:p>
        </w:tc>
        <w:tc>
          <w:tcPr>
            <w:tcW w:w="8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LEGAL DEFEASANCE OR COVENANT DEFEASANCE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5"/>
        </w:trPr>
        <w:tc>
          <w:tcPr>
            <w:tcW w:w="760" w:type="dxa"/>
            <w:vAlign w:val="bottom"/>
          </w:tcPr>
          <w:p>
            <w:pPr>
              <w:spacing w:after="0"/>
              <w:rPr>
                <w:sz w:val="24"/>
                <w:szCs w:val="24"/>
                <w:color w:val="auto"/>
              </w:rPr>
            </w:pPr>
          </w:p>
        </w:tc>
        <w:tc>
          <w:tcPr>
            <w:tcW w:w="80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9" w:name="page110"/>
    <w:bookmarkEnd w:id="109"/>
    <w:tbl>
      <w:tblPr>
        <w:tblLayout w:type="fixed"/>
        <w:tblInd w:w="0" w:type="dxa"/>
        <w:tblCellMar>
          <w:top w:w="0" w:type="dxa"/>
          <w:left w:w="0" w:type="dxa"/>
          <w:bottom w:w="0" w:type="dxa"/>
          <w:right w:w="0" w:type="dxa"/>
        </w:tblCellMar>
      </w:tblPr>
      <w:tr>
        <w:trPr>
          <w:trHeight w:val="216"/>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9.5.</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U.S. AND FOREIGN GOVERNMENT OBLIGATIONS TO BE HELD IN TRUST; OTHER</w:t>
            </w:r>
          </w:p>
        </w:tc>
        <w:tc>
          <w:tcPr>
            <w:tcW w:w="6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PROVISIONS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9.7.</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MONEYS HELD BY PAYING AGENT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9.8.</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MONEYS HELD BY TRUSTEE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10.3.</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COMMUNICATIONS BY HOLDERS WITH OTHER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10.5.</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 REQUIRED IN CERTIFICATE AND OPINION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10.7.</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DAYS; LEGAL HOLIDAYS; PLACE OF PAYMENT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10.8.</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10.9.</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10.10.</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10.11.</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10.12.</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MULTIPLE COUNTERPARTS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10.13.</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10.14.</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10.15.</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IN A FOREIGN CURRENCY OR IN EUROS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 CURRENCY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65"/>
        </w:trPr>
        <w:tc>
          <w:tcPr>
            <w:tcW w:w="860" w:type="dxa"/>
            <w:vAlign w:val="bottom"/>
          </w:tcPr>
          <w:p>
            <w:pPr>
              <w:spacing w:after="0"/>
              <w:rPr>
                <w:sz w:val="24"/>
                <w:szCs w:val="24"/>
                <w:color w:val="auto"/>
              </w:rPr>
            </w:pPr>
          </w:p>
        </w:tc>
        <w:tc>
          <w:tcPr>
            <w:tcW w:w="946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-iv-</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0" w:name="page111"/>
    <w:bookmarkEnd w:id="110"/>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5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CROSS-REFERENCE TABLE</w:t>
            </w:r>
          </w:p>
        </w:tc>
      </w:tr>
      <w:tr>
        <w:trPr>
          <w:trHeight w:val="392"/>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TIA SECTION</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91"/>
        </w:trPr>
        <w:tc>
          <w:tcPr>
            <w:tcW w:w="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3"/>
              </w:rPr>
              <w:t>310(a)(1)(2)(5)</w:t>
            </w:r>
          </w:p>
        </w:tc>
        <w:tc>
          <w:tcPr>
            <w:tcW w:w="17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7.10</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310(a)(3)(4)</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310(b)</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7.8; 7.10</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310(c)</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311(a)(b)</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311(c)</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312(b)(c)</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313(a)(b)</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313(c)</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7.6; 10.2</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313(d)</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4.2; 4.4; 10.2</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314(b)</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314(c)(1)(2)</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10.4; 10.5</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314(c)(3)</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314(d)</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314(e)</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314(f)</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7.1, 7.2</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315(b)</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7.5; 10.2</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315(c)</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315(d)</w:t>
            </w:r>
          </w:p>
        </w:tc>
        <w:tc>
          <w:tcPr>
            <w:tcW w:w="4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7.1; 7.2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66"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TIA SECTION</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91"/>
        </w:trPr>
        <w:tc>
          <w:tcPr>
            <w:tcW w:w="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315(e)</w:t>
            </w:r>
          </w:p>
        </w:tc>
        <w:tc>
          <w:tcPr>
            <w:tcW w:w="2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6.11</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316(a)(last sentence)</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316(a)(1)(A)</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316(a)(1)(B)</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316(a)(2)</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316(b)</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316(c)</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317(a)(1)</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317(a)(2)</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317(b)</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2.5; 7.12</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3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Note: This Cross-Reference Table shall not, for any purpose, be deemed to be a part of the Indenture.</w:t>
      </w:r>
    </w:p>
    <w:p>
      <w:pPr>
        <w:spacing w:after="0" w:line="1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019"/>
          </w:cols>
          <w:pgMar w:left="440" w:top="263" w:right="1440" w:bottom="1440" w:gutter="0" w:footer="0" w:header="0"/>
        </w:sectPr>
      </w:pPr>
    </w:p>
    <w:bookmarkStart w:id="112" w:name="page113"/>
    <w:bookmarkEnd w:id="112"/>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 [ ] by and between Cullinan Therapeutics, Inc., a Delaware corporation, as Issuer (the “Company”) and [ ], as Trustee (the “Trustee”).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NOW, THEREFORE, THIS INDENTURE WITNESSETH:</w:t>
      </w:r>
    </w:p>
    <w:p>
      <w:pPr>
        <w:spacing w:after="0" w:line="229"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DEFINITIONS.</w:t>
      </w:r>
    </w:p>
    <w:p>
      <w:pPr>
        <w:spacing w:after="0" w:line="225" w:lineRule="exact"/>
        <w:rPr>
          <w:sz w:val="20"/>
          <w:szCs w:val="20"/>
          <w:color w:val="auto"/>
        </w:rPr>
      </w:pPr>
    </w:p>
    <w:p>
      <w:pPr>
        <w:ind w:right="460" w:firstLine="440"/>
        <w:spacing w:after="0" w:line="258" w:lineRule="auto"/>
        <w:rPr>
          <w:sz w:val="20"/>
          <w:szCs w:val="20"/>
          <w:color w:val="auto"/>
        </w:rPr>
      </w:pPr>
      <w:r>
        <w:rPr>
          <w:rFonts w:ascii="Times New Roman" w:cs="Times New Roman" w:eastAsia="Times New Roman" w:hAnsi="Times New Roman"/>
          <w:sz w:val="18"/>
          <w:szCs w:val="18"/>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“Agent” means any Registrar, Paying Agent, co-registrar or agent for service of notices and demands.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committee duly authorized to act therefor.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“Capital Stock” means, with respect to any Person, any and all shares or other equivalents (however designated) of capital stock, shares, partnership interests or any other participation, right or other interest in the nature of an equity interest in such Person or any option, warrant or other security convertible into any of the foregoing.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113" w:name="page114"/>
    <w:bookmarkEnd w:id="11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“Company Order” means a written order signed in the name of the Company by two Officers, one of whom must be its Chief Executive Officer, its Chief Business Officer or its Chief Financial Officer.</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“Company Request” means any written request signed in the name of the Company by its Chief Executive Officer, its President, its Global Controller, its Vice President, Legal (U.S.), its Chief Business Officer, its Chief Financial Officer or its Treasurer] and attested to by any of its Chief Executive Officer, its President, its Global Controller, its Vice President, Legal (U.S.), its Chief Business Officer, its Chief Financial Officer or its treasurer; provided, however, that the signatory and attestor shall be different persons.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“Corporate Trust Office” means the office of the Trustee at the address specified in Section 10.2 or such other address as to which the Trustee may give notice to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“Default” means any event that is, or that with the passing of time or giving of notice or both would be, an Event of Default.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“Dollars” means the currency of the United States of America.</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“Euro” means the single currency of participating member states of the economic and monetary union as contemplated in the Treaty on European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Currency” means any currency or currency unit issued by a government other than the government of the United States of America.</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“GAAP” means generally accepted accounting principles consistently applied as in effect in the United States of America from time to time.</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 or “Securityholder” means the Person in whose name a Security is registered on the Registrar’s books.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means this Indenture as amended, restated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when used with respect to any Security, means the Stated Maturity of an installment of interest on such Security.</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“Officer” means the [Chief Executive Officer, the President, any Vice President, the Chief Operating Officer, the Chief Financial Officer, the Treasurer or the Secretary] of the Company, or any other officer designated by the Board of Directors, as the case may be.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“Officers’ Certificate” means, with respect to any Person, a certificate signed by the [Chairman, Chief Executive Officer, President or any Senior or Executive Vice President and the Chief Operating Officer, Chief Financial Officer or any Treasurer of such Person], that shall comply with applicable provisions of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15" w:name="page116"/>
    <w:bookmarkEnd w:id="115"/>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means a written opinion from legal counsel, which counsel is reasonably acceptable to the Trustee. The counsel may be an employee of or counsel to the Company.</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“Redemption Date,” when used with respect to any Security to be redeemed, means the date fixed for such redemption pursuant to this Indenture.</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within the Corporate Trust Office of the Trustee including any vice president, assistant vice president, assistant secretary, assistant treasurer or any other officer of the Trustee who shall have direct responsibility for the administration of this Indenture, or any other officer of the Trustee to whom such matter is referred because of his or her knowledge of and familiarity with the particular subject.</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“SEC” means the United States Securities and Exchange Commission as constituted from time to time, or any successor performing substantially the same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means the securities that are issued under this Indenture, as amended or supplemented from time to time pursuant to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“Series” or “Series of Securities” means each series of debentures, notes or other debt instruments of the Company created pursuant to Sections 2.1 and 2.2.</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16" w:name="page117"/>
    <w:bookmarkEnd w:id="116"/>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“TIA” means the Trust Indenture Act of 1939 (15 U.S. Code Section 77aaa-77bbbb) as in effect on the date of this Indenture (except as provided in Section 8.3).</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INCORPORATION BY REFERENCE OF TRUST INDENTURE ACT.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“Commission”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securities”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securityholder” means a Holder or Securityholder.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to be qualified”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trustee” or “institutional trustee”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“obligor on the indenture securities” means the Company.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in the TIA by reference to another statute or defined by SEC rule have the meanings therein assigned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RULES OF CONSTRUCTION.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225" w:lineRule="exact"/>
        <w:rPr>
          <w:rFonts w:ascii="Times New Roman" w:cs="Times New Roman" w:eastAsia="Times New Roman" w:hAnsi="Times New Roman"/>
          <w:sz w:val="18"/>
          <w:szCs w:val="18"/>
          <w:color w:val="auto"/>
        </w:rPr>
      </w:pPr>
    </w:p>
    <w:p>
      <w:pPr>
        <w:ind w:left="5400" w:right="2580" w:hanging="4413"/>
        <w:spacing w:after="0" w:line="454" w:lineRule="auto"/>
        <w:tabs>
          <w:tab w:leader="none" w:pos="12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 -5-</w:t>
      </w:r>
    </w:p>
    <w:p>
      <w:pPr>
        <w:sectPr>
          <w:pgSz w:w="11900" w:h="16838" w:orient="portrait"/>
          <w:cols w:equalWidth="0" w:num="1">
            <w:col w:w="11000"/>
          </w:cols>
          <w:pgMar w:left="440" w:top="270" w:right="459" w:bottom="1440" w:gutter="0" w:footer="0" w:header="0"/>
        </w:sectPr>
      </w:pPr>
    </w:p>
    <w:bookmarkStart w:id="117" w:name="page118"/>
    <w:bookmarkEnd w:id="117"/>
    <w:p>
      <w:pPr>
        <w:ind w:left="1240" w:hanging="253"/>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each gender; and</w:t>
      </w:r>
    </w:p>
    <w:p>
      <w:pPr>
        <w:spacing w:after="0" w:line="225"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ISSUABLE IN SERIES.</w:t>
      </w:r>
    </w:p>
    <w:p>
      <w:pPr>
        <w:spacing w:after="0" w:line="225"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ESTABLISHMENT OF TERMS OF SERIES OF SECURITIES.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68" w:lineRule="exact"/>
        <w:rPr>
          <w:sz w:val="20"/>
          <w:szCs w:val="20"/>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w:t>
      </w:r>
    </w:p>
    <w:p>
      <w:pPr>
        <w:spacing w:after="0" w:line="225" w:lineRule="exact"/>
        <w:rPr>
          <w:rFonts w:ascii="Times New Roman" w:cs="Times New Roman" w:eastAsia="Times New Roman" w:hAnsi="Times New Roman"/>
          <w:sz w:val="18"/>
          <w:szCs w:val="18"/>
          <w:color w:val="auto"/>
        </w:rPr>
      </w:pPr>
    </w:p>
    <w:p>
      <w:pPr>
        <w:jc w:val="both"/>
        <w:ind w:right="380" w:firstLine="987"/>
        <w:spacing w:after="0" w:line="266"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18" w:name="page119"/>
    <w:bookmarkEnd w:id="118"/>
    <w:p>
      <w:pPr>
        <w:ind w:firstLine="987"/>
        <w:spacing w:after="0" w:line="261"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and premium, if any, on, the Securities of the Series shall be payable, or the method of such payment, if by wire transfer, mail or other means;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issuable;</w:t>
      </w:r>
    </w:p>
    <w:p>
      <w:pPr>
        <w:spacing w:after="0" w:line="206" w:lineRule="exact"/>
        <w:rPr>
          <w:rFonts w:ascii="Times New Roman" w:cs="Times New Roman" w:eastAsia="Times New Roman" w:hAnsi="Times New Roman"/>
          <w:sz w:val="18"/>
          <w:szCs w:val="18"/>
          <w:color w:val="auto"/>
        </w:rPr>
      </w:pPr>
    </w:p>
    <w:p>
      <w:pPr>
        <w:ind w:right="360" w:firstLine="987"/>
        <w:spacing w:after="0" w:line="282" w:lineRule="auto"/>
        <w:tabs>
          <w:tab w:leader="none" w:pos="132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3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61" w:lineRule="exact"/>
        <w:rPr>
          <w:rFonts w:ascii="Times New Roman" w:cs="Times New Roman" w:eastAsia="Times New Roman" w:hAnsi="Times New Roman"/>
          <w:sz w:val="18"/>
          <w:szCs w:val="18"/>
          <w:color w:val="auto"/>
        </w:rPr>
      </w:pPr>
    </w:p>
    <w:p>
      <w:pPr>
        <w:ind w:right="200" w:firstLine="987"/>
        <w:spacing w:after="0" w:line="266" w:lineRule="auto"/>
        <w:tabs>
          <w:tab w:leader="none" w:pos="13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and premium, if any, on, the Securities of the Series will be made;</w:t>
      </w:r>
    </w:p>
    <w:p>
      <w:pPr>
        <w:spacing w:after="0" w:line="161"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3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9" w:name="page120"/>
    <w:bookmarkEnd w:id="119"/>
    <w:p>
      <w:pPr>
        <w:ind w:right="100" w:firstLine="987"/>
        <w:spacing w:after="0" w:line="266"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the Securities of the Series;</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 4 or ARTICLE 5 that applies to Securities of the Series;</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of the Securities into or exchange of the Securities for shares of common stock or preferred stock of the Company that apply to Securities of the Series;</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depositories, interest rate calculation agents, exchange rate calculation agents or other agents with respect to Securities of such Series if other than those appointed herein;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Securities shall be subordinated in right of payment to other Indebtedness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Securities of the Series, in whole or any specified part, shall be defeasible pursuant to Article 9; and</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EXECUTION AND AUTHENTICATION.</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two Officers of the Company or an Officer and an Assistant Secretary of the Company. Each such signature may be either manual, electronic or facsimile. The Company’s seal may be impressed, affixed, imprinted or reproduced on the Securities and may be in facsimile form.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0" w:name="page121"/>
    <w:bookmarkEnd w:id="120"/>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18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7.1) shall be fully protected in relying on:</w:t>
      </w:r>
    </w:p>
    <w:p>
      <w:pPr>
        <w:spacing w:after="0" w:line="27" w:lineRule="exact"/>
        <w:rPr>
          <w:sz w:val="20"/>
          <w:szCs w:val="20"/>
          <w:color w:val="auto"/>
        </w:rPr>
      </w:pPr>
    </w:p>
    <w:p>
      <w:pPr>
        <w:ind w:left="4" w:right="320" w:hanging="4"/>
        <w:spacing w:after="0" w:line="255"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6"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any Series: (a) if the Trustee, being advised in writing by outside counsel, determines that such action may not lawfully be taken; or (b) if the Trustee in good faith shall reasonably determine that such action would expose the Trustee to personal liability, or cause it to have a conflict of interest with respect to Holders of any then outstanding Series of Securities.</w:t>
      </w:r>
    </w:p>
    <w:p>
      <w:pPr>
        <w:spacing w:after="0" w:line="180"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REGISTRAR AND PAYING AGENT.</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except for any service of process upon the Company.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spacing w:after="0" w:line="19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83"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shall enter into an appropriate agency agreement with any Registrar or Paying Agent not a party to this Indenture. The agreement shall implement the provisions of this Indenture that relate to such Agent. The Company shall notify the Trustee in writing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PAYING AGENT TO HOLD ASSETS IN TRUST.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 SECURITYHOLDER LISTS.</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TRANSFER AND EXCHANGE.</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Securities are issued as Global Securities, the provisions of Section 2.15 shall apply.</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 REPLACEMENT SECURITIES.</w:t>
      </w:r>
    </w:p>
    <w:p>
      <w:pPr>
        <w:spacing w:after="0" w:line="225"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OUTSTANDING SECURITIES.</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Securities outstanding at any time are all Securities authenticated by the Trustee, except for those canceled by it, those delivered to it for cancellation and those described in this Section 2.9 as not outstanding.</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76"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Security does not cease to be outstanding solely because the Company or an Affiliate holds the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WHEN TREASURY SECURITIES DISREGARDED; DETERMINATION OF HOLDERS’ ACTION.</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a Responsible Officer of the Trustee actually knows are so owned shall be so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24" w:name="page125"/>
    <w:bookmarkEnd w:id="12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TEMPORARY SECURITIES.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execute, and, upon receipt of a Company Order, the Trustee shall authenticate and deliver,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upon receipt of a Company Order, the Trustee shall authenticate and deliver, definitive Securities in exchange for temporary Securities without charge to the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CANCELLATION.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at the written direction of the Company, or, at the written direction of the Company, the Registrar or the Paying Agent (if the Trustee is not serving in those capacities), and no one else, shall cancel and dispose of (subject to the record retention requirements of the Exchange Act and the Trustee) in accordance with its standard procedures,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 PAYMENT OF INTEREST; DEFAULTED INTEREST; COMPUTATION OF INTEREST.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25" w:name="page126"/>
    <w:bookmarkEnd w:id="12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delivered to each Securityholder, with a copy to the Trustee, a notice that states the special record date, the payment date and the amount of defaulted interest, and interest payable on such defaulted interest, if any, to be paid.</w:t>
      </w:r>
    </w:p>
    <w:p>
      <w:pPr>
        <w:spacing w:after="0" w:line="18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CUSIP NUMBER.</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 The Company shall promptly notify the Trustee in writing of any change in the “CUSIP” numbers assigned to the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PROVISIONS FOR GLOBAL SECURITIES.</w:t>
      </w:r>
    </w:p>
    <w:p>
      <w:pPr>
        <w:spacing w:after="0" w:line="225" w:lineRule="exact"/>
        <w:rPr>
          <w:sz w:val="20"/>
          <w:szCs w:val="20"/>
          <w:color w:val="auto"/>
        </w:rPr>
      </w:pPr>
    </w:p>
    <w:p>
      <w:pPr>
        <w:ind w:right="480" w:firstLine="436"/>
        <w:spacing w:after="0" w:line="282"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26" w:name="page127"/>
    <w:bookmarkEnd w:id="1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Global Security issued hereunder shall bear a legend in substantially the following form:</w:t>
      </w:r>
    </w:p>
    <w:p>
      <w:pPr>
        <w:spacing w:after="0" w:line="117"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83" w:lineRule="exact"/>
        <w:rPr>
          <w:sz w:val="20"/>
          <w:szCs w:val="20"/>
          <w:color w:val="auto"/>
        </w:rPr>
      </w:pPr>
    </w:p>
    <w:p>
      <w:pPr>
        <w:ind w:right="400" w:firstLine="436"/>
        <w:spacing w:after="0" w:line="282"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61" w:lineRule="exact"/>
        <w:rPr>
          <w:rFonts w:ascii="Times New Roman" w:cs="Times New Roman" w:eastAsia="Times New Roman" w:hAnsi="Times New Roman"/>
          <w:sz w:val="18"/>
          <w:szCs w:val="18"/>
          <w:color w:val="auto"/>
        </w:rPr>
      </w:pPr>
    </w:p>
    <w:p>
      <w:pPr>
        <w:ind w:right="100" w:firstLine="436"/>
        <w:spacing w:after="0" w:line="273" w:lineRule="auto"/>
        <w:tabs>
          <w:tab w:leader="none" w:pos="66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PERSONS DEEMED OWNERS.</w:t>
      </w:r>
    </w:p>
    <w:p>
      <w:pPr>
        <w:spacing w:after="0" w:line="225" w:lineRule="exact"/>
        <w:rPr>
          <w:sz w:val="20"/>
          <w:szCs w:val="20"/>
          <w:color w:val="auto"/>
        </w:rPr>
      </w:pPr>
    </w:p>
    <w:p>
      <w:pPr>
        <w:ind w:right="260" w:firstLine="440"/>
        <w:spacing w:after="0" w:line="281" w:lineRule="auto"/>
        <w:rPr>
          <w:sz w:val="20"/>
          <w:szCs w:val="20"/>
          <w:color w:val="auto"/>
        </w:rPr>
      </w:pPr>
      <w:r>
        <w:rPr>
          <w:rFonts w:ascii="Times New Roman" w:cs="Times New Roman" w:eastAsia="Times New Roman" w:hAnsi="Times New Roman"/>
          <w:sz w:val="17"/>
          <w:szCs w:val="17"/>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NOTICES TO TRUSTEE.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in writing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SELECTION BY TRUSTEE OF SECURITIES TO BE REDEEMED.</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subject, in the case of Global Securities, to the applicable rules and procedures of the Depository and, if such Securities are listed on any securities exchange, by a method that complies with the requirements of such exchange.</w:t>
      </w:r>
    </w:p>
    <w:p>
      <w:pPr>
        <w:spacing w:after="0" w:line="183"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 Notwithstanding the above, the applicable procedures of the Depository regarding the selection of Securities issued as Global Securities shall govern.</w:t>
      </w:r>
    </w:p>
    <w:p>
      <w:pPr>
        <w:spacing w:after="0" w:line="19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Neither the Trustee nor any Agent will have any responsibility for any action taken or not taken by the Depository. The Trustee and the Paying Agent will have no responsibility or obligation to any beneficial owner of a Global Security or a depository participant or other Person with respect to the accuracy of the records of the Depository or its nominee or of any participant or member thereof with respect to any ownership interest in the Securities or with respect to the delivery to any participant, member, beneficial owner or other Person (other than the Depository) of any notice (including any Redemption Notice) or the payment of any amount,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128" w:name="page129"/>
    <w:bookmarkEnd w:id="12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or with respect to such Securities. The rights of beneficial owners in any Global Securities will be exercised only through the Depository subject to the Depository Procedures. The Trustee may rely and shall be fully protected in relying upon information furnished by the Depository with respect to its members, participants and any beneficial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NOTICE OF REDEMPTION.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or, with respect to Securities issued as Global Securities, such notice shall be delivered in accordance with the applicable procedures of the Depository. The notice shall identify the Securities to be redeemed and shall state:</w:t>
      </w:r>
    </w:p>
    <w:p>
      <w:pPr>
        <w:spacing w:after="0" w:line="75" w:lineRule="exact"/>
        <w:rPr>
          <w:sz w:val="20"/>
          <w:szCs w:val="20"/>
          <w:color w:val="auto"/>
        </w:rPr>
      </w:pPr>
    </w:p>
    <w:p>
      <w:pPr>
        <w:ind w:left="1240" w:hanging="253"/>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that such redemption price shall become due and payable on the Redemption Date;</w:t>
      </w:r>
    </w:p>
    <w:p>
      <w:pPr>
        <w:spacing w:after="0" w:line="22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a Series called for redemption must be surrendered to the Paying Agent to collect the redemption price, and the place or places where each such Security is to be surrendered for such payment;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75"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printed on the Securities being redeemed;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the Company’s sole expense; provided, however, that the Company has delivered to the Trustee prior to the notice date, an Officers’ Certificate requesting that the Trustee give such notice and setting forth the information to be stated in such notice and the form of such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EFFECT OF NOTICE OF REDEMPTION.</w:t>
      </w:r>
    </w:p>
    <w:p>
      <w:pPr>
        <w:spacing w:after="0" w:line="22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Once the notice of redemption described in Section 3.3 is delivered,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DEPOSIT OF REDEMPTION PRICE.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SECURITIES REDEEMED IN PART.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PAYMENT OF SECURITIES.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the principal of, and interest and premium, if any, on, each Series of Securities on the dates and in the manner provided in such Securities and this Indenture.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30" w:name="page131"/>
    <w:bookmarkEnd w:id="130"/>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shall pay interest on overdue principal, and overdue interest, to the extent lawful, at the rate specified in the Series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SEC REPORTS.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will not be responsible and shall have no liability whatsoever to determine whether any financial information has been filed or posted on the EDGAR system (or any successor electronic delivery procedure) or have any duty to monitor or determine whether the Company has delivered the reports described under this Section 4.2 or otherwise complied with its obligation under this Section 4.2.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WAIVER OF STAY, EXTENSION OR USURY LAWS.</w:t>
      </w:r>
    </w:p>
    <w:p>
      <w:pPr>
        <w:spacing w:after="0" w:line="225" w:lineRule="exact"/>
        <w:rPr>
          <w:sz w:val="20"/>
          <w:szCs w:val="20"/>
          <w:color w:val="auto"/>
        </w:rPr>
      </w:pPr>
    </w:p>
    <w:p>
      <w:pPr>
        <w:jc w:val="both"/>
        <w:ind w:right="80" w:firstLine="440"/>
        <w:spacing w:after="0" w:line="274"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COMPLIANCE CERTIFICATE.</w:t>
      </w:r>
    </w:p>
    <w:p>
      <w:pPr>
        <w:spacing w:after="0" w:line="225" w:lineRule="exact"/>
        <w:rPr>
          <w:sz w:val="20"/>
          <w:szCs w:val="20"/>
          <w:color w:val="auto"/>
        </w:rPr>
      </w:pPr>
    </w:p>
    <w:p>
      <w:pPr>
        <w:ind w:right="20" w:firstLine="436"/>
        <w:spacing w:after="0" w:line="253"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during which any Securities were outstanding,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94"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Default or Event of Default has occurred and is continuing or (ii) if any Holder seeks to exercise any remedy hereunder with respect to a claimed Default under this Indenture or the Securities, within ten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CORPORATE EXISTENCE.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LIMITATION ON CONSOLIDATION, MERGER AND SALE OF ASSETS.</w:t>
      </w:r>
    </w:p>
    <w:p>
      <w:pPr>
        <w:spacing w:after="0" w:line="225" w:lineRule="exact"/>
        <w:rPr>
          <w:sz w:val="20"/>
          <w:szCs w:val="20"/>
          <w:color w:val="auto"/>
        </w:rPr>
      </w:pPr>
    </w:p>
    <w:p>
      <w:pPr>
        <w:ind w:firstLine="436"/>
        <w:spacing w:after="0" w:line="261"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192" w:lineRule="exact"/>
        <w:rPr>
          <w:sz w:val="20"/>
          <w:szCs w:val="20"/>
          <w:color w:val="auto"/>
        </w:rPr>
      </w:pPr>
    </w:p>
    <w:p>
      <w:pPr>
        <w:ind w:right="40" w:firstLine="436"/>
        <w:spacing w:after="0" w:line="261"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consolidation, merger or transfer of assets contemplated by this Section 5.1, the Company shall deliver, or cause to be delivered,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SUCCESSOR PERSON SUBSTITUTED.</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EVENTS OF DEFAULT.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68" w:lineRule="exact"/>
        <w:rPr>
          <w:sz w:val="20"/>
          <w:szCs w:val="20"/>
          <w:color w:val="auto"/>
        </w:rPr>
      </w:pPr>
    </w:p>
    <w:p>
      <w:pPr>
        <w:ind w:right="14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in the payment of any principal of, or premium, if any, on, the Securities when the same becomes due and payable at Maturity, upon acceleration, redemption or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33" w:name="page134"/>
    <w:bookmarkEnd w:id="133"/>
    <w:p>
      <w:pPr>
        <w:ind w:left="-120" w:right="80" w:firstLine="987"/>
        <w:spacing w:after="0" w:line="282" w:lineRule="auto"/>
        <w:tabs>
          <w:tab w:leader="none" w:pos="11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a default in the payment of any interest on any Security of a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1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75" w:lineRule="exact"/>
        <w:rPr>
          <w:rFonts w:ascii="Times New Roman" w:cs="Times New Roman" w:eastAsia="Times New Roman" w:hAnsi="Times New Roman"/>
          <w:sz w:val="18"/>
          <w:szCs w:val="18"/>
          <w:color w:val="auto"/>
        </w:rPr>
      </w:pPr>
    </w:p>
    <w:p>
      <w:pPr>
        <w:ind w:left="1120" w:hanging="253"/>
        <w:spacing w:after="0"/>
        <w:tabs>
          <w:tab w:leader="none" w:pos="1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25" w:lineRule="exact"/>
        <w:rPr>
          <w:rFonts w:ascii="Times New Roman" w:cs="Times New Roman" w:eastAsia="Times New Roman" w:hAnsi="Times New Roman"/>
          <w:sz w:val="18"/>
          <w:szCs w:val="18"/>
          <w:color w:val="auto"/>
        </w:rPr>
      </w:pPr>
    </w:p>
    <w:p>
      <w:pPr>
        <w:ind w:left="1120" w:hanging="253"/>
        <w:spacing w:after="0"/>
        <w:tabs>
          <w:tab w:leader="none" w:pos="1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30" w:lineRule="exact"/>
        <w:rPr>
          <w:rFonts w:ascii="Times New Roman" w:cs="Times New Roman" w:eastAsia="Times New Roman" w:hAnsi="Times New Roman"/>
          <w:sz w:val="18"/>
          <w:szCs w:val="18"/>
          <w:color w:val="auto"/>
        </w:rPr>
      </w:pPr>
    </w:p>
    <w:p>
      <w:pPr>
        <w:ind w:left="1840" w:hanging="533"/>
        <w:spacing w:after="0"/>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case;</w:t>
      </w:r>
    </w:p>
    <w:p>
      <w:pPr>
        <w:spacing w:after="0" w:line="130" w:lineRule="exact"/>
        <w:rPr>
          <w:rFonts w:ascii="Times New Roman" w:cs="Times New Roman" w:eastAsia="Times New Roman" w:hAnsi="Times New Roman"/>
          <w:sz w:val="18"/>
          <w:szCs w:val="18"/>
          <w:color w:val="auto"/>
        </w:rPr>
      </w:pPr>
    </w:p>
    <w:p>
      <w:pPr>
        <w:ind w:left="1840" w:right="400" w:hanging="533"/>
        <w:spacing w:after="0" w:line="282" w:lineRule="auto"/>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all or substantially all of the property of the Company or any Significant Subsidiary; or</w:t>
      </w:r>
    </w:p>
    <w:p>
      <w:pPr>
        <w:spacing w:after="0" w:line="67" w:lineRule="exact"/>
        <w:rPr>
          <w:rFonts w:ascii="Times New Roman" w:cs="Times New Roman" w:eastAsia="Times New Roman" w:hAnsi="Times New Roman"/>
          <w:sz w:val="18"/>
          <w:szCs w:val="18"/>
          <w:color w:val="auto"/>
        </w:rPr>
      </w:pPr>
    </w:p>
    <w:p>
      <w:pPr>
        <w:ind w:left="1840" w:right="40" w:hanging="533"/>
        <w:spacing w:after="0" w:line="282" w:lineRule="auto"/>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Significant Subsidiary, and the order or decree remains unstayed and in effect for 90 consecutive days; or</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1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2.2(19).</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60"/>
          </w:cols>
          <w:pgMar w:left="560" w:top="270" w:right="579" w:bottom="1440" w:gutter="0" w:footer="0" w:header="0"/>
        </w:sectPr>
      </w:pPr>
    </w:p>
    <w:bookmarkStart w:id="134" w:name="page135"/>
    <w:bookmarkEnd w:id="134"/>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“Bankruptcy Law” means Title 11, U.S. Code, or any similar federal, state or foreign law for the relief of debtors. The term “Custodian” means any receiver, trustee, assignee, liquidator or similar official under any Bankruptcy Law.</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Trustee shall not be charged with knowledge of any Event of Default unless written notice thereof shall have been actually received by a Responsible Officer at the Corporate Trust Office of the Trustee from the Company, a Paying Agent, any Holder or any agent of any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ACCELERATION.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(other than an Event of Default arising under Section 6.1(4)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(5) with respect to the Company) occurs and is continuing, the Trustee by written notice to the Company, or the Holders of not less than 25%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the Securities of that Series then outstanding by written notice to the Company and the Trustee, may declare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 principal amount (and premium, if any, on) of all the Securities of that Series then outstanding plus accrued and unpaid interest to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are immediately due and payable, in which case such amounts shall become immediately due and payable; PROVIDED, HOWEVER,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such acceleration but before a judgment or decree based on such acceleration is obtained by the Trustee, the Holders of a majority in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outstanding Securities of that Series may rescind and annul such acceleration and its consequences if (i) all existing Events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other than the nonpayment of accelerated principal, interest or premium, if any, that has become due solely because of the acceleration,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cured or waived, (ii) to the extent the payment of such interest is lawful, interest on overdue installments of interest and overdue principal,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become due otherwise than by such declaration of acceleration, has been paid and (iii) the rescission would not conflict with any judgment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decree. No such rescission shall affect any subsequent Default or impair any right consequent thereto. In case an Event of Default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6.1(4) or (5) with respect to the Company occurs, such principal, premium, if any, and interest amount with respect to all of the Securities of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shall be due and payable immediately without any declaration or other act on the part of the Trustee or the Holders of the Securities of that Series.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REMEDIES.</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the Trustee may, but shall not be obligated to,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35" w:name="page136"/>
    <w:bookmarkEnd w:id="135"/>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WAIVER OF PAST DEFAULTS AND EVENTS OF DEFAULT.</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Subject to Sections 6.2, 6.7 and 8.2, the Holders of a majority in principal amount of the Securities of any Series then outstanding by written notice to the Trustee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CONTROL BY MAJORITY.</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in its sole discretion, may be unduly prejudicial to the rights of another Securityholder or the Trustee,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LIMITATION ON SUITS.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Section 6.7, a Securityholder may not institute any proceeding or pursue any remedy with respect to this Indenture or the Securities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unless:</w:t>
      </w:r>
    </w:p>
    <w:p>
      <w:pPr>
        <w:spacing w:after="0" w:line="99" w:lineRule="exact"/>
        <w:rPr>
          <w:sz w:val="20"/>
          <w:szCs w:val="20"/>
          <w:color w:val="auto"/>
        </w:rPr>
      </w:pPr>
    </w:p>
    <w:p>
      <w:pPr>
        <w:ind w:left="1240" w:hanging="253"/>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Securities of such Series then outstanding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to the Trustee indemnity satisfactory to the Trustee against any loss, liability or expense to be incurred in compliance with such request;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136" w:name="page137"/>
    <w:bookmarkEnd w:id="136"/>
    <w:p>
      <w:pPr>
        <w:ind w:right="600" w:firstLine="987"/>
        <w:spacing w:after="0" w:line="282"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direction inconsistent with such written request has been given to the Trustee during such 60-day period by the Holders of a majority in aggregate principal amount of the Securities of such Series then outstanding.</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 Securityholder may not use this Indenture to prejudice the rights of another Securityholder, or to obtain a preference or priority over another Securityholder.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RIGHTS OF HOLDERS TO RECEIVE PAYMENT.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COLLECTION SUIT BY TRUSTEE.</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TRUSTEE MAY FILE PROOFS OF CLAIM.</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 and to the extent that such payment of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137" w:name="page138"/>
    <w:bookmarkEnd w:id="137"/>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 PRIORITIES.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Trustee for amounts due under Section 7.7;</w:t>
      </w:r>
    </w:p>
    <w:p>
      <w:pPr>
        <w:spacing w:after="0" w:line="117"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 or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Securityholders pursuant to this Section 6.10.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 UNDERTAKING FOR COSTS.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DUTIES OF TRUSTEE.</w:t>
      </w:r>
    </w:p>
    <w:p>
      <w:pPr>
        <w:spacing w:after="0" w:line="225" w:lineRule="exact"/>
        <w:rPr>
          <w:sz w:val="20"/>
          <w:szCs w:val="20"/>
          <w:color w:val="auto"/>
        </w:rPr>
      </w:pPr>
    </w:p>
    <w:p>
      <w:pPr>
        <w:jc w:val="both"/>
        <w:ind w:right="20" w:firstLine="436"/>
        <w:spacing w:after="0" w:line="266"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same circumstances in the conduct of his or her own affairs.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38" w:name="page139"/>
    <w:bookmarkEnd w:id="138"/>
    <w:p>
      <w:pPr>
        <w:ind w:left="660" w:hanging="264"/>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0" w:right="180" w:firstLine="987"/>
        <w:spacing w:after="0" w:line="266" w:lineRule="auto"/>
        <w:tabs>
          <w:tab w:leader="none" w:pos="12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shall be determined solely by the express provisions of this Indenture and the Trustee need perform only those duties that are specifically set forth in this Indenture and no others, and no covenants or obligations shall be implied in this Indenture against the Trustee.</w:t>
      </w:r>
    </w:p>
    <w:p>
      <w:pPr>
        <w:spacing w:after="0" w:line="175" w:lineRule="exact"/>
        <w:rPr>
          <w:rFonts w:ascii="Times New Roman" w:cs="Times New Roman" w:eastAsia="Times New Roman" w:hAnsi="Times New Roman"/>
          <w:sz w:val="18"/>
          <w:szCs w:val="18"/>
          <w:color w:val="auto"/>
        </w:rPr>
      </w:pPr>
    </w:p>
    <w:p>
      <w:pPr>
        <w:ind w:left="-40" w:right="140" w:firstLine="987"/>
        <w:spacing w:after="0" w:line="261" w:lineRule="auto"/>
        <w:tabs>
          <w:tab w:leader="none" w:pos="12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left="-40" w:right="460" w:firstLine="436"/>
        <w:spacing w:after="0" w:line="282" w:lineRule="auto"/>
        <w:tabs>
          <w:tab w:leader="none" w:pos="6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7.1.</w:t>
      </w:r>
    </w:p>
    <w:p>
      <w:pPr>
        <w:spacing w:after="0" w:line="225" w:lineRule="exact"/>
        <w:rPr>
          <w:rFonts w:ascii="Times New Roman" w:cs="Times New Roman" w:eastAsia="Times New Roman" w:hAnsi="Times New Roman"/>
          <w:sz w:val="18"/>
          <w:szCs w:val="18"/>
          <w:color w:val="auto"/>
        </w:rPr>
      </w:pPr>
    </w:p>
    <w:p>
      <w:pPr>
        <w:ind w:left="-40" w:right="480" w:firstLine="987"/>
        <w:spacing w:after="0" w:line="282" w:lineRule="auto"/>
        <w:tabs>
          <w:tab w:leader="none" w:pos="12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40" w:right="100" w:firstLine="987"/>
        <w:spacing w:after="0" w:line="282" w:lineRule="auto"/>
        <w:tabs>
          <w:tab w:leader="none" w:pos="12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Sections 6.2 and 6.5.</w:t>
      </w:r>
    </w:p>
    <w:p>
      <w:pPr>
        <w:spacing w:after="0" w:line="161"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liability, including any financial liability, in the performance of any of its rights or powers if it shall have reasonable grounds for believing that repayment of such funds or adequate indemnity satisfactory to it against such risk or liability is not reasonably assured to it. The Trustee shall be under no obligation to exercise any of the rights or power vested in it by this Indenture at the request or direction of any of the Holder pursuant to this Indenture, unless such Holders shall have offered, and if requested provided, to the Trustee indemnity satisfactory to the Trustee against the costs, expenses and liabilities that might be incurred by it in compliance with such request or direction.</w:t>
      </w:r>
    </w:p>
    <w:p>
      <w:pPr>
        <w:spacing w:after="0" w:line="187" w:lineRule="exact"/>
        <w:rPr>
          <w:rFonts w:ascii="Times New Roman" w:cs="Times New Roman" w:eastAsia="Times New Roman" w:hAnsi="Times New Roman"/>
          <w:sz w:val="18"/>
          <w:szCs w:val="18"/>
          <w:color w:val="auto"/>
        </w:rPr>
      </w:pPr>
    </w:p>
    <w:p>
      <w:pPr>
        <w:ind w:left="-40" w:right="100" w:firstLine="436"/>
        <w:spacing w:after="0" w:line="282" w:lineRule="auto"/>
        <w:tabs>
          <w:tab w:leader="none" w:pos="6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paragraphs (a), (b), (c) and (d) of this Section 7.1 shall govern every provision of this Indenture that in any way relates to the Trustee.</w:t>
      </w:r>
    </w:p>
    <w:p>
      <w:pPr>
        <w:spacing w:after="0" w:line="161" w:lineRule="exact"/>
        <w:rPr>
          <w:rFonts w:ascii="Times New Roman" w:cs="Times New Roman" w:eastAsia="Times New Roman" w:hAnsi="Times New Roman"/>
          <w:sz w:val="18"/>
          <w:szCs w:val="18"/>
          <w:color w:val="auto"/>
        </w:rPr>
      </w:pPr>
    </w:p>
    <w:p>
      <w:pPr>
        <w:jc w:val="both"/>
        <w:ind w:left="-40" w:right="20" w:firstLine="436"/>
        <w:spacing w:after="0" w:line="266" w:lineRule="auto"/>
        <w:tabs>
          <w:tab w:leader="none" w:pos="6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80" w:top="270" w:right="479" w:bottom="1440" w:gutter="0" w:footer="0" w:header="0"/>
        </w:sectPr>
      </w:pPr>
    </w:p>
    <w:bookmarkStart w:id="139" w:name="page140"/>
    <w:bookmarkEnd w:id="139"/>
    <w:p>
      <w:pPr>
        <w:ind w:right="160" w:firstLine="436"/>
        <w:spacing w:after="0" w:line="282" w:lineRule="auto"/>
        <w:tabs>
          <w:tab w:leader="none" w:pos="6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the Registrar and any authenticating agent shall be entitled to the protections, immunities and standard of care set forth in paragraphs (a), (b), (c), (d) and (f) of this Section 7.1 and in Section 7.2 with respect to the Trustee.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RIGHTS OF TRUSTEE.</w:t>
      </w:r>
    </w:p>
    <w:p>
      <w:pPr>
        <w:spacing w:after="0" w:line="225" w:lineRule="exact"/>
        <w:rPr>
          <w:sz w:val="20"/>
          <w:szCs w:val="20"/>
          <w:color w:val="auto"/>
        </w:rPr>
      </w:pPr>
    </w:p>
    <w:p>
      <w:pPr>
        <w:ind w:left="680" w:hanging="244"/>
        <w:spacing w:after="0"/>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y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and may conclusively rely on,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75"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attorneys, and shall not be responsible for the misconduct or negligence of any agent appointed by it with due care.</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reasonably believes to be authorized or within its rights or powers.</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provided to the Trustee security or indemnity against the costs, expenses and liabilities which may be incurred therein or thereby.</w:t>
      </w:r>
    </w:p>
    <w:p>
      <w:pPr>
        <w:spacing w:after="0" w:line="175" w:lineRule="exact"/>
        <w:rPr>
          <w:rFonts w:ascii="Times New Roman" w:cs="Times New Roman" w:eastAsia="Times New Roman" w:hAnsi="Times New Roman"/>
          <w:sz w:val="18"/>
          <w:szCs w:val="18"/>
          <w:color w:val="auto"/>
        </w:rPr>
      </w:pPr>
    </w:p>
    <w:p>
      <w:pPr>
        <w:ind w:right="80" w:firstLine="987"/>
        <w:spacing w:after="0" w:line="312" w:lineRule="auto"/>
        <w:tabs>
          <w:tab w:leader="none" w:pos="1246"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139" w:lineRule="exact"/>
        <w:rPr>
          <w:rFonts w:ascii="Times New Roman" w:cs="Times New Roman" w:eastAsia="Times New Roman" w:hAnsi="Times New Roman"/>
          <w:sz w:val="17"/>
          <w:szCs w:val="17"/>
          <w:color w:val="auto"/>
        </w:rPr>
      </w:pPr>
    </w:p>
    <w:p>
      <w:pPr>
        <w:ind w:right="60" w:firstLine="987"/>
        <w:spacing w:after="0" w:line="282"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of any fact or matter (including, without limitation, a Default or Event of Default) unless such fact or matter is known to a Responsible Officer of the Trustee.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40" w:name="page141"/>
    <w:bookmarkEnd w:id="140"/>
    <w:p>
      <w:pPr>
        <w:ind w:left="1240" w:hanging="253"/>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permissive right of the Trustee to take actions permitted by this Indenture will not be construed as an obligation or duty to do so.</w:t>
      </w:r>
    </w:p>
    <w:p>
      <w:pPr>
        <w:spacing w:after="0" w:line="225" w:lineRule="exact"/>
        <w:rPr>
          <w:rFonts w:ascii="Times New Roman" w:cs="Times New Roman" w:eastAsia="Times New Roman" w:hAnsi="Times New Roman"/>
          <w:sz w:val="18"/>
          <w:szCs w:val="18"/>
          <w:color w:val="auto"/>
        </w:rPr>
      </w:pPr>
    </w:p>
    <w:p>
      <w:pPr>
        <w:ind w:right="120" w:firstLine="987"/>
        <w:spacing w:after="0" w:line="266" w:lineRule="auto"/>
        <w:tabs>
          <w:tab w:leader="none" w:pos="13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32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187" w:lineRule="exact"/>
        <w:rPr>
          <w:rFonts w:ascii="Times New Roman" w:cs="Times New Roman" w:eastAsia="Times New Roman" w:hAnsi="Times New Roman"/>
          <w:sz w:val="18"/>
          <w:szCs w:val="18"/>
          <w:color w:val="auto"/>
        </w:rPr>
      </w:pPr>
    </w:p>
    <w:p>
      <w:pPr>
        <w:ind w:right="60" w:firstLine="987"/>
        <w:spacing w:after="0" w:line="289" w:lineRule="auto"/>
        <w:tabs>
          <w:tab w:leader="none" w:pos="133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7" w:lineRule="exact"/>
        <w:rPr>
          <w:rFonts w:ascii="Times New Roman" w:cs="Times New Roman" w:eastAsia="Times New Roman" w:hAnsi="Times New Roman"/>
          <w:sz w:val="17"/>
          <w:szCs w:val="17"/>
          <w:color w:val="auto"/>
        </w:rPr>
      </w:pPr>
    </w:p>
    <w:p>
      <w:pPr>
        <w:ind w:right="180" w:firstLine="987"/>
        <w:spacing w:after="0" w:line="266" w:lineRule="auto"/>
        <w:tabs>
          <w:tab w:leader="none" w:pos="13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INDIVIDUAL RIGHTS OF TRUSTEE.</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TRUSTEE’S DISCLAIMER.</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or upon the Company’s direction pursuant to the terms of this Indenture, and the Trustee shall not be responsible for any statement or recital herein or any statement in the Securities or any other document in connection with the sale of the Securities or pursuant to this Indenture other than its certificates of authentication.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7.5. NOTICE OF DEFAULT.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with respect to the Securities of any Series, and if it is known to as Responsible Officer of the Trustee, the Trustee shall deliver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it determines that withholding the notice is in the interests of the Securityholders of that Series.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REPORTS BY TRUSTEE TO HOLDERS.</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and to the extent required by the TIA, within 60 days after May 15 of each year, commencing the May 15 following the date of this Indenture, the Trustee shall deliver to each Securityholder a brief report dated as of such May 15 that complies with TIA Section 313(a). The Trustee also shall comply with TIA Sections 313(b) and 313(c).</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delivery to Securityholders shall be filed with the SEC and any stock exchange on which the Securities of that Series are listed. The Company shall promptly notify the Trustee in writing when the Securities of any Series are listed on any stock exchange or any delisting thereof, and the Trustee shall comply with TIA Section 313(d).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COMPENSATION AND INDEMNITY.</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in writing. The Trustee’s compensation shall not be limited by any provision of law on compensation of a trustee of an express trust. The Company shall reimburse the Trustee within 45 days after receipt of request for all reasonable disbursements, expenses and advances incurred or made by it in connection with its duties under this Indenture, including the reasonable compensation, disbursements and expenses of the Trustee’s agents and counsel.</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shall indemnify the Trustee (in any of its capacities), its officers, directors, employees and agents for, and hold them harmless against, any and all losses, liabilities, damages, claims or expense (including taxes, other than taxes based upon, measured by or determined by the income of the Trustee) incurred by it or arising out of or in connection with the acceptance or administration of its duties under this Indenture including the costs and expenses of enforcing this Indenture against the Company (including this Section 7.7) and defending itself against any claim (whether asserted by the Company or any Holder or any other Person) or liability in connection with the exercise or performance of any of its powers or duties hereunder. The Trustee, upon receiving written notice thereof, shall notify the Company promptly of any claim asserted against the Trustee for which it may seek indemnity.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142" w:name="page143"/>
    <w:bookmarkEnd w:id="14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by the Trustee to so notify the Company shall not however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 Notwithstanding the foregoing, the Company need not reimburse the Trustee for any expense or indemnify it against any loss or liability incurred by the Trustee through its negligence or bad faith as established by a final, non-appealable order of a court of competent jurisdiction.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7.7, the term “Trustee” shall include any trustee appointed pursuant to this ARTICLE 7.</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under this Section 7.7 shall survive the termination or satisfaction and discharge of this Indenture or the resignation or removal of the Trustee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 REPLACEMENT OF TRUSTEE.</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in writing at least 90 days in advance of such resignation.</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68" w:lineRule="exact"/>
        <w:rPr>
          <w:sz w:val="20"/>
          <w:szCs w:val="20"/>
          <w:color w:val="auto"/>
        </w:rPr>
      </w:pPr>
    </w:p>
    <w:p>
      <w:pPr>
        <w:ind w:left="1240" w:hanging="253"/>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or ceases to be eligible under, Section 7.10;</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with respect to any Series of Securities for any reason, the Company shall promptly appoint, by Board Resolution, a successor Trustee.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40" w:top="270" w:right="519" w:bottom="1440" w:gutter="0" w:footer="0" w:header="0"/>
        </w:sectPr>
      </w:pPr>
    </w:p>
    <w:bookmarkStart w:id="143" w:name="page144"/>
    <w:bookmarkEnd w:id="143"/>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retiring Trustee shall not be liable for the acts or omissions of any successor Trustee after its succession.</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pursuant to this section 7.8, the Company’s obligations under Section 7.7 shall continue for the benefit of the retiring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 SUCCESSOR TRUSTEE BY CONSOLIDATION, MERGER OR CONVERSION.</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this Article 7, without the execution or filing of any paper or any further act on the part of any of the parties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 ELIGIBILITY; DISQUALIFICATION.</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7.11. PREFERENTIAL COLLECTION OF CLAIMS AGAINST COMPANY.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7.12. PAYING AGENTS.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54" w:lineRule="exact"/>
        <w:rPr>
          <w:sz w:val="20"/>
          <w:szCs w:val="20"/>
          <w:color w:val="auto"/>
        </w:rPr>
      </w:pPr>
    </w:p>
    <w:p>
      <w:pPr>
        <w:ind w:right="160" w:firstLine="987"/>
        <w:spacing w:after="0" w:line="266"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161" w:lineRule="exact"/>
        <w:rPr>
          <w:rFonts w:ascii="Times New Roman" w:cs="Times New Roman" w:eastAsia="Times New Roman" w:hAnsi="Times New Roman"/>
          <w:sz w:val="18"/>
          <w:szCs w:val="18"/>
          <w:color w:val="auto"/>
        </w:rPr>
      </w:pPr>
    </w:p>
    <w:p>
      <w:pPr>
        <w:jc w:val="both"/>
        <w:ind w:right="500" w:firstLine="987"/>
        <w:spacing w:after="0" w:line="266"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AMENDMENTS, SUPPLEMENTS AND WAIVERS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WITHOUT CONSENT OF 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when authorized by a Board Resolution, and the Trustee may amend or supplement this Indenture or the Securities of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without notice to or consent of any Securityholder:</w:t>
      </w:r>
    </w:p>
    <w:p>
      <w:pPr>
        <w:spacing w:after="0" w:line="99" w:lineRule="exact"/>
        <w:rPr>
          <w:sz w:val="20"/>
          <w:szCs w:val="20"/>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Section 5.1;</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Securities in addition to uncertificated Securities;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TIA;</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mistake, ambiguity, defect or inconsistency, or to make any other change herein or in the Securities that does not materially and adversely affect the rights of any Securityholder;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or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145" w:name="page146"/>
    <w:bookmarkEnd w:id="145"/>
    <w:p>
      <w:pPr>
        <w:jc w:val="both"/>
        <w:ind w:right="280" w:firstLine="987"/>
        <w:spacing w:after="0" w:line="26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WITH CONSENT OF HOLDERS.</w:t>
      </w:r>
    </w:p>
    <w:p>
      <w:pPr>
        <w:spacing w:after="0" w:line="225" w:lineRule="exact"/>
        <w:rPr>
          <w:sz w:val="20"/>
          <w:szCs w:val="20"/>
          <w:color w:val="auto"/>
        </w:rPr>
      </w:pPr>
    </w:p>
    <w:p>
      <w:pPr>
        <w:ind w:firstLine="436"/>
        <w:spacing w:after="0" w:line="256"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Securities whose Holders must consent to an amendment, supplement or waiver to this Indenture 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Security;</w:t>
      </w:r>
    </w:p>
    <w:p>
      <w:pPr>
        <w:spacing w:after="0" w:line="22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Security payable in money other than that stated in the Security;</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by the Securities, or reduce the premium payable upon any redemption of the Securities, or change the time before which no such redemption may be made;</w:t>
      </w:r>
    </w:p>
    <w:p>
      <w:pPr>
        <w:spacing w:after="0" w:line="161"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or change any of the provisions with respect to the redemption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146" w:name="page147"/>
    <w:bookmarkEnd w:id="146"/>
    <w:p>
      <w:pPr>
        <w:ind w:left="1240" w:hanging="253"/>
        <w:spacing w:after="0"/>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any changes in Section 6.6 or this Section 8.2, except to increase any percentage of Securities the Holders of which must consent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matter; or</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this Indenture to be taken without the consent of each Holder affected thereby.</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83" w:lineRule="exact"/>
        <w:rPr>
          <w:rFonts w:ascii="Times New Roman" w:cs="Times New Roman" w:eastAsia="Times New Roman" w:hAnsi="Times New Roman"/>
          <w:sz w:val="18"/>
          <w:szCs w:val="18"/>
          <w:color w:val="auto"/>
        </w:rPr>
      </w:pPr>
    </w:p>
    <w:p>
      <w:pPr>
        <w:ind w:right="760" w:firstLine="436"/>
        <w:spacing w:after="0" w:line="282"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COMPLIANCE WITH TRUST INDENTURE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Every amendment to, or supplement of, this Indenture or the Securities shall comply with the TIA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REVOCATION AND EFFECT OF CONSENTS.</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47" w:name="page148"/>
    <w:bookmarkEnd w:id="147"/>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NOTATION ON OR EXCHANGE OF SECURITIES.</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TRUSTEE TO SIGN AMENDMENTS, ETC.</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DISCHARGE OF INDENTURE; DEFEASANCE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DISCHARGE OF INDENTURE.</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83"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48" w:name="page149"/>
    <w:bookmarkEnd w:id="1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satisfaction and discharge of this Indenture, the obligations of the Company in Sections 7.7, 9.5 and 9.6 shall survive.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LEGAL DEFEASANCE.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COVENANT DEFEASANCE.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 CONDITIONS TO LEGAL DEFEASANCE OR COVENANT DEFEASANCE.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9.2 or Section 9.3 to the outstanding Securities of a Series:</w:t>
      </w:r>
    </w:p>
    <w:p>
      <w:pPr>
        <w:spacing w:after="0" w:line="117" w:lineRule="exact"/>
        <w:rPr>
          <w:sz w:val="20"/>
          <w:szCs w:val="20"/>
          <w:color w:val="auto"/>
        </w:rPr>
      </w:pPr>
    </w:p>
    <w:p>
      <w:pPr>
        <w:ind w:firstLine="987"/>
        <w:spacing w:after="0" w:line="282"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49" w:name="page150"/>
    <w:bookmarkEnd w:id="1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92" w:lineRule="exact"/>
        <w:rPr>
          <w:sz w:val="20"/>
          <w:szCs w:val="20"/>
          <w:color w:val="auto"/>
        </w:rPr>
      </w:pPr>
    </w:p>
    <w:p>
      <w:pPr>
        <w:ind w:right="240" w:firstLine="987"/>
        <w:spacing w:after="0" w:line="26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(other than that resulting from borrowing funds to be applied to make such deposit and any similar or simultaneous deposit relating to other Indebtedness and, in each case, the granting of liens and the consummation of other transactions in connection therewith) with respect to the Securities of such Series shall have occurred and be continuing on the date of such deposit;</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cause the Trustee to have a conflicting interest for purposes of the TIA with respect to any securities of the Company;</w:t>
      </w:r>
    </w:p>
    <w:p>
      <w:pPr>
        <w:spacing w:after="0" w:line="161" w:lineRule="exact"/>
        <w:rPr>
          <w:rFonts w:ascii="Times New Roman" w:cs="Times New Roman" w:eastAsia="Times New Roman" w:hAnsi="Times New Roman"/>
          <w:sz w:val="18"/>
          <w:szCs w:val="18"/>
          <w:color w:val="auto"/>
        </w:rPr>
      </w:pPr>
    </w:p>
    <w:p>
      <w:pPr>
        <w:ind w:right="560" w:firstLine="987"/>
        <w:spacing w:after="0" w:line="28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default under,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150" w:name="page151"/>
    <w:bookmarkEnd w:id="150"/>
    <w:p>
      <w:pPr>
        <w:ind w:right="140" w:firstLine="987"/>
        <w:spacing w:after="0" w:line="266"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3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or duly provided for payment under terms mutually satisfactory to the Company and the Trustee, all amounts then due to the Trustee pursuant to Section 7.7.</w:t>
      </w:r>
    </w:p>
    <w:p>
      <w:pPr>
        <w:spacing w:after="0" w:line="189" w:lineRule="exact"/>
        <w:rPr>
          <w:sz w:val="20"/>
          <w:szCs w:val="20"/>
          <w:color w:val="auto"/>
        </w:rPr>
      </w:pPr>
    </w:p>
    <w:p>
      <w:pPr>
        <w:ind w:left="420" w:right="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9.5.</w:t>
        <w:tab/>
        <w:t>DEPOSITED MONEY AND U.S. AND FOREIGN GOVERNMENT OBLIGATIONS TO BE HELD IN TRUST; OTHER MISCELLANEOUS PROVISIONS.</w:t>
      </w:r>
    </w:p>
    <w:p>
      <w:pPr>
        <w:spacing w:after="0" w:line="162"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REINSTATEMENT.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151" w:name="page152"/>
    <w:bookmarkEnd w:id="15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 MONEYS HELD BY PAYING AGENT.</w:t>
      </w:r>
    </w:p>
    <w:p>
      <w:pPr>
        <w:spacing w:after="0" w:line="225"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MONEYS HELD BY TRUSTEE.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TRUST INDENTURE ACT CONTROLS.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 NOTICES.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Any notice or communication shall be given in writing or delivered in Person, delivered by commercial courier service or mailed by first-class mail, postage prepaid, addressed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Main Street, Suite 1350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(617) 410-4650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Mary Kay Fenton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Boston, Massachusetts 02199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(617) 951-7000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Thomas Danielski</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and three Business Days after mailing if sent by registered or certified mail, postage prepaid (except that a notice of change of address shall not be deemed to have been given until actually received by the addressee).</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Any notice or communication mailed to a Securityholder shall be mailed to such Securityholder by first-class mail, postage prepaid, at such Securityholder’s address shown on the register kept by the Registrar.</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76"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color w:val="auto"/>
        </w:rPr>
        <w:t>If the Company delivers a notice or communication to Securityholders, it shall deliver a copy to the Trustee and each Agent at the same time. -41-</w:t>
      </w:r>
    </w:p>
    <w:p>
      <w:pPr>
        <w:sectPr>
          <w:pgSz w:w="11900" w:h="16838" w:orient="portrait"/>
          <w:cols w:equalWidth="0" w:num="1">
            <w:col w:w="10960"/>
          </w:cols>
          <w:pgMar w:left="440" w:top="270" w:right="499" w:bottom="1440" w:gutter="0" w:footer="0" w:header="0"/>
        </w:sectPr>
      </w:pPr>
    </w:p>
    <w:bookmarkStart w:id="153" w:name="page154"/>
    <w:bookmarkEnd w:id="15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case of Global Securities, notices or communications to be given to Securityholders shall be given to the Depository, in accordance with its applicable policies as in effect from time to time.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manner provided for in the foregoing provisions, notices or communications to Securityholders shall be given by the Company by release made to Reuters Economic Services and Bloomberg Business News.</w:t>
      </w:r>
    </w:p>
    <w:p>
      <w:pPr>
        <w:spacing w:after="0" w:line="158"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given by the Company pursuant to this Indenture and delivered using unsecured e-mail, facsimile transmission or other similar unsecured electronic methods (including pdf files) (“</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provided, however, that the Company shall provide to the Trustee an incumbency certificate listing officers with the authority to provide such Instructions (each, an “</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and containing specimen signatures of such Authorized Officers, which incumbency certificate shall be amended by the Company whenever a person is to be added or deleted from the listing. 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(including electronic images of handwritten signatures and digital signatures provided by DocuSign, Adobe Sign or any other digital signature provider identified by any other party hereto and acceptable to Trustee)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54" w:name="page155"/>
    <w:bookmarkEnd w:id="15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such Instructions conflict or are inconsistent with a subsequent written instruction. The Company agrees: (a) to assume all risks arising out of the use of electronic signatures and Electronic Means to submit notices or Instructions to the Trustee, including without limitation the risk of the Trustee acting on unauthorized notice or Instructions, and the risk of interception and misuse by third parties; and (b) to notify the Trustee in writing immediately upon learning of any compromise or unauthorized use of the security procedures. Any notice, direction, request or demand hereunder to or upon the Trustee shall be deemed to have been sufficiently given or made, for all purposes, if it is in writing and actually received by the Trustee, addressed as provided above or sent electronically in PDF format.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COMMUNICATIONS BY HOLDERS WITH OTHER HOLDERS.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CERTIFICATE AND OPINION AS TO CONDITIONS PRECEDENT.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117" w:lineRule="exact"/>
        <w:rPr>
          <w:sz w:val="20"/>
          <w:szCs w:val="20"/>
          <w:color w:val="auto"/>
        </w:rPr>
      </w:pPr>
    </w:p>
    <w:p>
      <w:pPr>
        <w:ind w:firstLine="987"/>
        <w:spacing w:after="0" w:line="282"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10.5 below) stating that, in the opinion of such counsel, all such conditions precedent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STATEMENT REQUIRED IN CERTIFICATE AND OPINION.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and opinion with respect to compliance with a condition or covenant provided for in this Indenture (other than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 shall include:</w:t>
      </w:r>
    </w:p>
    <w:p>
      <w:pPr>
        <w:spacing w:after="0" w:line="99" w:lineRule="exact"/>
        <w:rPr>
          <w:sz w:val="20"/>
          <w:szCs w:val="20"/>
          <w:color w:val="auto"/>
        </w:rPr>
      </w:pPr>
    </w:p>
    <w:p>
      <w:pPr>
        <w:ind w:left="1240" w:hanging="253"/>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complied 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10.6. RULES BY TRUSTEE AND AGENTS.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meetings of Securityholders. The Registrar and Paying Agent may make reasonable rules for their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BUSINESS DAYS; LEGAL HOLIDAYS; PLACE OF PAYMENT.</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 or Place of Payment.</w:t>
      </w:r>
    </w:p>
    <w:p>
      <w:pPr>
        <w:spacing w:after="0" w:line="14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GOVERNING LAW.</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NO ADVERSE INTERPRETATION OF OTHER AGREEMENTS.</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 NO RECOURSE AGAINST OTHERS.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 SUCCESSORS.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10.12. MULTIPLE COUNTERPARTS.</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parties may sign multiple counterparts of this Indenture. Each signed counterpart shall be deemed an original, but all of them together represent one and the same agreement. Delivery of an executed counterpart by facsimile or PDF shall be effective as delivery of a manually executed counterpart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 TABLE OF CONTENTS, HEADINGS, ETC.</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 SEVERABILITY.</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SECURITIES IN A FOREIGN CURRENCY OR IN EUROS.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57" w:name="page158"/>
    <w:bookmarkEnd w:id="157"/>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10.16. FORCE MAJEURE.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 pandemic, nuclear or natural catastrophes or acts of God, and interruptions, loss or malfunctions of utilities, communications or computer (software and hardware) services; provided that the Trustee shall use reasonable efforts consistent with accepted practices in the banking industry to resume performance as soon as practicable under the circumstances.</w:t>
      </w:r>
    </w:p>
    <w:p>
      <w:pPr>
        <w:spacing w:after="0" w:line="183" w:lineRule="exact"/>
        <w:rPr>
          <w:sz w:val="20"/>
          <w:szCs w:val="20"/>
          <w:color w:val="auto"/>
        </w:rPr>
      </w:pPr>
    </w:p>
    <w:p>
      <w:pPr>
        <w:jc w:val="both"/>
        <w:ind w:right="680" w:firstLine="440"/>
        <w:spacing w:after="0" w:line="289" w:lineRule="auto"/>
        <w:rPr>
          <w:sz w:val="20"/>
          <w:szCs w:val="20"/>
          <w:color w:val="auto"/>
        </w:rPr>
      </w:pPr>
      <w:r>
        <w:rPr>
          <w:rFonts w:ascii="Times New Roman" w:cs="Times New Roman" w:eastAsia="Times New Roman" w:hAnsi="Times New Roman"/>
          <w:sz w:val="17"/>
          <w:szCs w:val="17"/>
          <w:color w:val="auto"/>
        </w:rPr>
        <w:t>10.17. WAIVER OF JURY TRIAL. EACH OF THE COMPANY AND THE TRUSTEE HEREBY IRREVOCABLY WAIVES, TO THE FULLEST EXTENT PERMITTED BY PPLICABLE LAW, ANY AND ALL RIGHT TO TRIAL BY JURY IN ANY LEGAL PROCEEDING ARISING OUT OF OR RELATING TO THIS INDENTURE, THE SECURITIES OR THE TRANSACTIONS CONTEMPLATED HEREBY.</w:t>
      </w:r>
    </w:p>
    <w:p>
      <w:pPr>
        <w:spacing w:after="0" w:line="158"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10.18. U.S.A PATRIOT ACT. The parties hereto acknowledge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JUDGMENT CURRENCY.</w:t>
      </w:r>
    </w:p>
    <w:p>
      <w:pPr>
        <w:spacing w:after="0" w:line="225"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58" w:name="page159"/>
    <w:bookmarkEnd w:id="15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if applicable, their respective corporate seals to be hereunto affixed and attested, all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440" w:top="270" w:right="5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91185" cy="7454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591185" cy="745490"/>
                    </a:xfrm>
                    <a:prstGeom prst="rect">
                      <a:avLst/>
                    </a:prstGeom>
                    <a:noFill/>
                  </pic:spPr>
                </pic:pic>
              </a:graphicData>
            </a:graphic>
          </wp:anchor>
        </w:drawing>
      </w:r>
    </w:p>
    <w:p>
      <w:pPr>
        <w:spacing w:after="0" w:line="27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WWW.ROPESGRAY.COM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Main Street, Suite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of Securities by Cullinan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Cullinan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S-3ASR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the date hereof by the Company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issuance and sale from time to time pursuant to Rule 415 under the Securities Act of:</w:t>
      </w:r>
    </w:p>
    <w:p>
      <w:pPr>
        <w:spacing w:after="0" w:line="207" w:lineRule="exact"/>
        <w:rPr>
          <w:sz w:val="20"/>
          <w:szCs w:val="20"/>
          <w:color w:val="auto"/>
        </w:rPr>
      </w:pPr>
    </w:p>
    <w:p>
      <w:pPr>
        <w:ind w:left="660" w:hanging="224"/>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$0.0001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0" w:firstLine="436"/>
        <w:spacing w:after="0" w:line="266" w:lineRule="auto"/>
        <w:tabs>
          <w:tab w:leader="none" w:pos="7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of the Company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which Debt Securities may include senior debt securities or subordinated debt securities issued under an indenture, including any supplemental indenture related thereto, and may be convertible into or exchangeable for other securities;</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fractional interests in the Preferred Stock (the “</w:t>
      </w:r>
      <w:r>
        <w:rPr>
          <w:rFonts w:ascii="Times New Roman" w:cs="Times New Roman" w:eastAsia="Times New Roman" w:hAnsi="Times New Roman"/>
          <w:sz w:val="18"/>
          <w:szCs w:val="18"/>
          <w:u w:val="single" w:color="auto"/>
          <w:color w:val="auto"/>
        </w:rPr>
        <w:t>Depositary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(the “</w:t>
      </w:r>
      <w:r>
        <w:rPr>
          <w:rFonts w:ascii="Times New Roman" w:cs="Times New Roman" w:eastAsia="Times New Roman" w:hAnsi="Times New Roman"/>
          <w:sz w:val="18"/>
          <w:szCs w:val="18"/>
          <w:u w:val="single" w:color="auto"/>
          <w:color w:val="auto"/>
        </w:rPr>
        <w:t>Purchase Contracts</w:t>
      </w:r>
      <w:r>
        <w:rPr>
          <w:rFonts w:ascii="Times New Roman" w:cs="Times New Roman" w:eastAsia="Times New Roman" w:hAnsi="Times New Roman"/>
          <w:sz w:val="18"/>
          <w:szCs w:val="18"/>
          <w:color w:val="auto"/>
        </w:rPr>
        <w:t>”) representing rights or obligations to purchase or sell Common Stock, Preferred Stock or other securities;</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representing rights to purchase Common Stock, Preferred Stock or other securities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780" w:firstLine="436"/>
        <w:spacing w:after="0" w:line="282" w:lineRule="auto"/>
        <w:tabs>
          <w:tab w:leader="none" w:pos="7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representing the right to receive, upon exercise, a number of shares of Common Stock, Preferred Stock, Debt Securities or Depositary Shares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920" w:firstLine="436"/>
        <w:spacing w:after="0" w:line="282" w:lineRule="auto"/>
        <w:tabs>
          <w:tab w:leader="none" w:pos="84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Common Stock, Preferred Stock, Debt Securities, Depositary Shares, Purchase Contracts, Subscription Rights or Warrants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Common Stock, the Preferred Stock, the Debt Securities, the Depositary Shares, the Purchase Contracts, the Subscription Rights, the Warrants and the Units are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opinions expressed below are limited to the laws of the State of New York and the Delaware General Corporation Law.</w:t>
      </w:r>
    </w:p>
    <w:p>
      <w:pPr>
        <w:sectPr>
          <w:pgSz w:w="11900" w:h="16838" w:orient="portrait"/>
          <w:cols w:equalWidth="0" w:num="1">
            <w:col w:w="11020"/>
          </w:cols>
          <w:pgMar w:left="440" w:top="117" w:right="439" w:bottom="1440" w:gutter="0" w:footer="0" w:header="0"/>
        </w:sectPr>
      </w:pPr>
    </w:p>
    <w:bookmarkStart w:id="160" w:name="page161"/>
    <w:bookmarkEnd w:id="16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and subject to the foregoing and the assumptions, qualifications and limitations set forth below, we are of the opinion that:</w:t>
      </w:r>
    </w:p>
    <w:p>
      <w:pPr>
        <w:spacing w:after="0" w:line="225" w:lineRule="exact"/>
        <w:rPr>
          <w:sz w:val="20"/>
          <w:szCs w:val="20"/>
          <w:color w:val="auto"/>
        </w:rPr>
      </w:pPr>
    </w:p>
    <w:p>
      <w:pPr>
        <w:jc w:val="both"/>
        <w:ind w:left="4" w:right="60" w:firstLine="436"/>
        <w:spacing w:after="0" w:line="258"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issuance and sale of any shares of Common Stock have been duly authorized by all necessary corporate action of the Company and (ii) 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 The Common Stock covered in the opinion in this paragraph includes any shares of Common Stock that may be issued upon exercise, conversion or exchange pursuant to the terms of any other Securities.</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Preferred Stock of a particular series and their issuance and sale have been duly authorized by all necessary corporate action of the Company, (ii) a certificate of designations with respect to such series of Preferred Stock has been duly adopted by the Company and filed with the Secretary of State of the State of Delaware, and (iii) such shares of Preferred Stock have been issued and delivered against payment of the purchase price therefor (in an amount in excess of the par value thereof) in accordance with the applicable purchase, underwriting or other agreement, and as contemplated by the Registration Statement, such shares of Preferred Stock will be validly issued, fully paid, and nonassessable. The Preferred Stock covered in the opinion in this paragraph includes any shares of Preferred Stock that may be issued upon exercise, conversion or exchange pursuant to the terms of any other Securities.</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Debt Securities and their issuance and sale have been duly authorized by all necessary corporate action of the Company and (ii) 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the Company enforceable against the Company in accordance with their respective terms. The Debt Securities covered in the opinion in this paragraph include any Debt Securities that may be issued upon exercise, conversion or exchange pursuant to the terms of any other Securities.</w:t>
      </w:r>
    </w:p>
    <w:p>
      <w:pPr>
        <w:spacing w:after="0" w:line="187"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Depositary Shares and their issuance and sale have been duly authorized by all necessary corporate action of the Company, (ii) the shares of Preferred Stock relating to such Depositary Shares have been duly authorized and validly issued and are fully paid and nonassessable as contemplated in paragraph 2 above and have been deposited with the depositary under the applicable deposit agreement, and (iii) the depositary receipts evidencing such Depositary Shares have been duly executed, countersigned and delivered in accordance with the related depositary agreement, and as contemplated by the Registration Statement and the related depositary agreement, the depositary receipts evidencing such Depositary Shares will be validly issued and will entitle the holders thereof to the rights specified in the Depositary Shares and the related depositary agreement. The Depositary Shares covered in the opinion in this paragraph include any Depositary Shares of the Company that may be issued upon exercise, conversion or exchange pursuant to the terms of any other Securities.</w:t>
      </w:r>
    </w:p>
    <w:p>
      <w:pPr>
        <w:spacing w:after="0" w:line="191" w:lineRule="exact"/>
        <w:rPr>
          <w:rFonts w:ascii="Times New Roman" w:cs="Times New Roman" w:eastAsia="Times New Roman" w:hAnsi="Times New Roman"/>
          <w:sz w:val="18"/>
          <w:szCs w:val="18"/>
          <w:color w:val="auto"/>
        </w:rPr>
      </w:pPr>
    </w:p>
    <w:p>
      <w:pPr>
        <w:ind w:left="4" w:firstLine="436"/>
        <w:spacing w:after="0" w:line="261"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Purchase Contracts and their issuance and sale have been duly authorized by all necessary corporate action of the Company and (ii) such Purchase Contracts have been duly executed and delivered in accordance with the applicable definitive purchase, underwriting or similar agreement, and as contemplated by the Registration Statement, such Purchase Contracts will constitute valid and binding obligations of the Company enforceable against the Company in accordance with their respective terms.</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Subscription Rights and their issuance and sale have been duly authorized by all necessary corporate action of the Company and (ii) any applicable subscription rights agreement has been duly authorized, executed and delivered in accordance with any applicable subscription rights agreement, as contemplated by the Registration Statement, such Subscription Rights will constitute valid and binding obligations of the Company enforceable against the Company in accordance with their respective terms.</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any Warrants and their issuance and sale have been duly authorized by all necessary corporate action of the Company and</w:t>
      </w:r>
    </w:p>
    <w:p>
      <w:pPr>
        <w:spacing w:after="0" w:line="27" w:lineRule="exact"/>
        <w:rPr>
          <w:rFonts w:ascii="Times New Roman" w:cs="Times New Roman" w:eastAsia="Times New Roman" w:hAnsi="Times New Roman"/>
          <w:sz w:val="18"/>
          <w:szCs w:val="18"/>
          <w:color w:val="auto"/>
        </w:rPr>
      </w:pPr>
    </w:p>
    <w:p>
      <w:pPr>
        <w:ind w:left="4" w:right="40" w:hanging="4"/>
        <w:spacing w:after="0" w:line="277" w:lineRule="auto"/>
        <w:tabs>
          <w:tab w:leader="none" w:pos="26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Warrants have been duly executed, countersigned and delivered in accordance with the applicable warrant agreement and against payment of the purchase price therefor in accordance with the applicable purchase, underwriting or other agreement, and as contemplated by the Registration Statement, such Warrants will constitute valid and binding obligations of the Company enforceable against the Company in accordance with their terms.</w:t>
      </w:r>
    </w:p>
    <w:p>
      <w:pPr>
        <w:sectPr>
          <w:pgSz w:w="11900" w:h="16838" w:orient="portrait"/>
          <w:cols w:equalWidth="0" w:num="1">
            <w:col w:w="11004"/>
          </w:cols>
          <w:pgMar w:left="436" w:top="270" w:right="459" w:bottom="1440" w:gutter="0" w:footer="0" w:header="0"/>
        </w:sectPr>
      </w:pPr>
    </w:p>
    <w:bookmarkStart w:id="161" w:name="page162"/>
    <w:bookmarkEnd w:id="161"/>
    <w:p>
      <w:pPr>
        <w:ind w:right="140" w:firstLine="436"/>
        <w:spacing w:after="0" w:line="261" w:lineRule="auto"/>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(i) the terms of any Units (including the terms of the component Securities) and their issuance and sale have been duly authorized by all necessary corporate action of the Company and (ii) such Units have been duly executed (if the Units are represented by a separate instrument) and delivered in accordance with the applicable purchase, underwriting or other agreement, and as contemplated by the Registration Statement, such Units will constitute valid and binding obligations of the Company enforceable against the Company in accordance with their respective terms.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or warrant agreement, pursuant to which such Securities may be issued, will have been duly authorized, executed and delivered by the Company and the other parties thereto, and the specific terms of such Securities will have been duly established in conformity with the applicable agreement and the certificate of incorporation and bylaws of the Company (if applicable); (iii) at the time of the issuance of any Securities, the Company will be a validly existing corporation under the law of its jurisdiction of incorporation; (iv) the number of shares of Common Stock or Preferred Stock, as applicable, issued pursuant to the Registration Statement, together with the number of shares outstanding or reserved at the time of issuance, will not exceed the respective number of shares authorized by the Company’s certificate of incorporation in effect at the time of such issuance; and (v)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any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w:t>
      </w:r>
    </w:p>
    <w:p>
      <w:pPr>
        <w:spacing w:after="0" w:line="189"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Ropes &amp; Gray LLP</w:t>
      </w:r>
    </w:p>
    <w:p>
      <w:pPr>
        <w:sectPr>
          <w:pgSz w:w="11900" w:h="16838" w:orient="portrait"/>
          <w:cols w:equalWidth="0" w:num="1">
            <w:col w:w="11000"/>
          </w:cols>
          <w:pgMar w:left="440" w:top="270" w:right="4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591185" cy="7454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591185" cy="745490"/>
                    </a:xfrm>
                    <a:prstGeom prst="rect">
                      <a:avLst/>
                    </a:prstGeom>
                    <a:noFill/>
                  </pic:spPr>
                </pic:pic>
              </a:graphicData>
            </a:graphic>
          </wp:anchor>
        </w:drawing>
      </w:r>
    </w:p>
    <w:p>
      <w:pPr>
        <w:spacing w:after="0" w:line="2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WWW.ROPESGRAY.COM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Cullinan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Main Street, Suite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to Cullinan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entry into the Sales Agreement, dated April 28, 2026, by and between the Company and TD Securities (USA) LLC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Company may issue and sell up to $200,000,000 of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common stock, $0.0001 par value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pursuant to a registration statement on Form S-3ASR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on the date hereof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expressed below is limited to the Delaware General Corporation Law.</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when the Shares are issued out of the Company’s duly authorized Common Stock and sold in accordance with the terms of the Agreement against payment of the consideration set forth therein, the Shares will be duly authorized, validly issued, fully paid and non-assessable.</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Ropes &amp; Gray LLP</w:t>
      </w:r>
    </w:p>
    <w:p>
      <w:pPr>
        <w:sectPr>
          <w:pgSz w:w="11900" w:h="16838" w:orient="portrait"/>
          <w:cols w:equalWidth="0" w:num="1">
            <w:col w:w="11020"/>
          </w:cols>
          <w:pgMar w:left="440" w:top="114" w:right="4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805815" cy="3346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805815" cy="334645"/>
                    </a:xfrm>
                    <a:prstGeom prst="rect">
                      <a:avLst/>
                    </a:prstGeom>
                    <a:noFill/>
                  </pic:spPr>
                </pic:pic>
              </a:graphicData>
            </a:graphic>
          </wp:anchor>
        </w:drawing>
      </w: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KPMG LLP</w:t>
      </w:r>
    </w:p>
    <w:p>
      <w:pPr>
        <w:spacing w:after="0" w:line="2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Two Financial Center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60 South Street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Boston, MA 02111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10, 2026, with respect to the consolidated financial statements of Cullinan Therapeutics, Inc. and subsidiaries, incorporated herein by reference,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KPMG LLP, a Delaware limited liability partnership, and its subsidiaries are part of the KPMG global organization of independent member firms affiliated with KPMG International Limited, a private English company limited by guarantee.</w:t>
      </w:r>
    </w:p>
    <w:p>
      <w:pPr>
        <w:sectPr>
          <w:pgSz w:w="11900" w:h="16838" w:orient="portrait"/>
          <w:cols w:equalWidth="0" w:num="1">
            <w:col w:w="11020"/>
          </w:cols>
          <w:pgMar w:left="440" w:top="117" w:right="4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880" w:type="dxa"/>
            <w:vAlign w:val="bottom"/>
            <w:tcBorders>
              <w:right w:val="single" w:sz="8" w:color="auto"/>
            </w:tcBorders>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60" w:type="dxa"/>
            <w:vAlign w:val="bottom"/>
          </w:tcPr>
          <w:p>
            <w:pPr>
              <w:spacing w:after="0"/>
              <w:rPr>
                <w:sz w:val="11"/>
                <w:szCs w:val="11"/>
                <w:color w:val="auto"/>
              </w:rPr>
            </w:pPr>
          </w:p>
        </w:tc>
        <w:tc>
          <w:tcPr>
            <w:tcW w:w="92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effective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74"/>
        </w:trPr>
        <w:tc>
          <w:tcPr>
            <w:tcW w:w="108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Rate(1)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Fee(1)</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3"/>
        </w:trPr>
        <w:tc>
          <w:tcPr>
            <w:tcW w:w="10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right="595"/>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value</w:t>
            </w:r>
          </w:p>
        </w:tc>
        <w:tc>
          <w:tcPr>
            <w:tcW w:w="76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Depositary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Shares(3)</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Rights(4)</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Contracts(5)</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456(b)</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Units(6)</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vMerge w:val="continue"/>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 per</w:t>
            </w:r>
          </w:p>
        </w:tc>
        <w:tc>
          <w:tcPr>
            <w:tcW w:w="7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0.00013810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$27,620</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0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178"/>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6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6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660" w:type="dxa"/>
            <w:vAlign w:val="bottom"/>
            <w:tcBorders>
              <w:right w:val="single" w:sz="8" w:color="auto"/>
            </w:tcBorders>
            <w:gridSpan w:val="3"/>
            <w:vMerge w:val="restart"/>
          </w:tcPr>
          <w:p>
            <w:pPr>
              <w:jc w:val="center"/>
              <w:ind w:right="495"/>
              <w:spacing w:after="0"/>
              <w:rPr>
                <w:sz w:val="20"/>
                <w:szCs w:val="20"/>
                <w:color w:val="auto"/>
              </w:rPr>
            </w:pPr>
            <w:r>
              <w:rPr>
                <w:rFonts w:ascii="Times New Roman" w:cs="Times New Roman" w:eastAsia="Times New Roman" w:hAnsi="Times New Roman"/>
                <w:sz w:val="18"/>
                <w:szCs w:val="18"/>
                <w:b w:val="1"/>
                <w:bCs w:val="1"/>
                <w:color w:val="auto"/>
                <w:w w:val="99"/>
              </w:rPr>
              <w:t>Total Offering Amounts </w:t>
            </w:r>
          </w:p>
        </w:tc>
        <w:tc>
          <w:tcPr>
            <w:tcW w:w="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$27,620(1)</w:t>
            </w: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vMerge w:val="continue"/>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$200,000,000(1)</w:t>
            </w: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center"/>
              <w:ind w:right="515"/>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 </w:t>
            </w: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99"/>
              </w:rPr>
              <w:t>Total Fee Offsets </w:t>
            </w: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$27,620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500" w:top="117" w:right="439" w:bottom="1440" w:gutter="0" w:footer="0" w:header="0"/>
        </w:sectPr>
      </w:pPr>
    </w:p>
    <w:bookmarkStart w:id="165" w:name="page166"/>
    <w:bookmarkEnd w:id="165"/>
    <w:p>
      <w:pPr>
        <w:ind w:left="424" w:hanging="424"/>
        <w:spacing w:after="0" w:line="253"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amount to be registered consists of an indeterminate amount of common stock, preferred stock, debt securities, depositary shares, subscription rights, purchase contracts, warrants and/or units that may be offered and sold from time to time in one or more offerings,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2" w:lineRule="exact"/>
        <w:rPr>
          <w:rFonts w:ascii="Times New Roman" w:cs="Times New Roman" w:eastAsia="Times New Roman" w:hAnsi="Times New Roman"/>
          <w:sz w:val="18"/>
          <w:szCs w:val="18"/>
          <w:color w:val="auto"/>
        </w:rPr>
      </w:pPr>
    </w:p>
    <w:p>
      <w:pPr>
        <w:jc w:val="both"/>
        <w:ind w:left="424" w:right="320"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defers payment of the registration fee required by Section 6(b) of the Securities Act pursuant to Rules 456(b) and 457(r) under the Securities Act, other than with respect to any registration fee associated with the primary offering of common stock described in the table in connection with the filing of this Registration Statement.</w:t>
      </w:r>
    </w:p>
    <w:p>
      <w:pPr>
        <w:spacing w:after="0" w:line="1" w:lineRule="exact"/>
        <w:rPr>
          <w:rFonts w:ascii="Times New Roman" w:cs="Times New Roman" w:eastAsia="Times New Roman" w:hAnsi="Times New Roman"/>
          <w:sz w:val="18"/>
          <w:szCs w:val="18"/>
          <w:color w:val="auto"/>
        </w:rPr>
      </w:pPr>
    </w:p>
    <w:p>
      <w:pPr>
        <w:ind w:left="424" w:right="560"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depositary share will be issued under a deposit agreement, will represent an interest in fractional shares of preferred stock and will be evidenced by a depositary receipt.</w:t>
      </w:r>
    </w:p>
    <w:p>
      <w:pPr>
        <w:ind w:left="424" w:hanging="424"/>
        <w:spacing w:after="0"/>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rights may be issued independently or together with any other security and may or may not be transferable.</w:t>
      </w:r>
    </w:p>
    <w:p>
      <w:pPr>
        <w:spacing w:after="0" w:line="9"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contracts may be issued separately or as a part of units consisting of a purchase contract and either shares of common stock, shares of preferred stock, the registrant’s debt securities or debt obligations of third parties, including U.S. Treasury securities, any other security described in the applicable prospectus supplement, or any combination of the foregoing, securing the holder’s obligations to purchase the securities under the share purchase contracts.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securities registered pursuant to this registration statement, which may or may not be separable from one another.</w:t>
      </w:r>
    </w:p>
    <w:p>
      <w:pPr>
        <w:sectPr>
          <w:pgSz w:w="11900" w:h="16838" w:orient="portrait"/>
          <w:cols w:equalWidth="0" w:num="1">
            <w:col w:w="10984"/>
          </w:cols>
          <w:pgMar w:left="436" w:top="297" w:right="479" w:bottom="1440" w:gutter="0" w:footer="0" w:header="0"/>
        </w:sectPr>
      </w:pPr>
    </w:p>
    <w:bookmarkStart w:id="166" w:name="page167"/>
    <w:bookmarkEnd w:id="166"/>
    <w:p>
      <w:pPr>
        <w:ind w:left="424" w:hanging="424"/>
        <w:spacing w:after="0" w:line="253" w:lineRule="auto"/>
        <w:tabs>
          <w:tab w:leader="none" w:pos="4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Rule 457(p) under the Securities Act, the securities registered pursuant to this registration statement include $310,628,094 of unsold shares (the “Unsold Securities”) of common stock, preferred stock, debt securities, depositary shares, subscription rights, purchase contracts, warrants and/or units previously registered pursuant to a prospectus filed with the Securities and Exchange Commission (the “SEC”) on March 9, 2023, as amended (the “Prior Prospectus”), to the Registration Statement on Form S-3 (File No. 333-2703844), which was filed with the SEC on March 9, 2023, as amended (the “Prior Registration Statement”), relating to the offer and sale of common stock, preferred stock, debt securities, depositary shares, subscription rights, purchase contracts, warrants and/or units having an aggregate offering price of up to $350,000,000, including $125,000,000 in connection with the Registrant’s at-the-market offering program. In connection with the filing of the Prior Prospectus, the registrant made a contemporaneous fee payment in the amount of $38,570. As of the date of this registration statement, shares of Common Stock having an aggregate offering price of up to $310,628,094 were not sold under the Prior Prospectus, and the registration fee that has already been paid and remains unused with respect to the Unsold Securities will be applied to shares of common stock that are being registered pursuant to this registration statement. Pursuant to Rule 457(p), the offering of the Unsold Securities under the Prior Registration Statement will be deemed terminated as of the date of effectiveness of this registration statement.</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86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4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Unsold</w:t>
            </w:r>
          </w:p>
        </w:tc>
        <w:tc>
          <w:tcPr>
            <w:tcW w:w="700" w:type="dxa"/>
            <w:vAlign w:val="bottom"/>
            <w:tcBorders>
              <w:top w:val="single" w:sz="8" w:color="auto"/>
              <w:right w:val="single" w:sz="8" w:color="auto"/>
            </w:tcBorders>
          </w:tcPr>
          <w:p>
            <w:pPr>
              <w:spacing w:after="0"/>
              <w:rPr>
                <w:sz w:val="12"/>
                <w:szCs w:val="12"/>
                <w:color w:val="auto"/>
              </w:rPr>
            </w:pP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700" w:type="dxa"/>
            <w:vAlign w:val="bottom"/>
            <w:tcBorders>
              <w:right w:val="single" w:sz="8" w:color="auto"/>
            </w:tcBorders>
          </w:tcPr>
          <w:p>
            <w:pPr>
              <w:spacing w:after="0"/>
              <w:rPr>
                <w:sz w:val="11"/>
                <w:szCs w:val="11"/>
                <w:color w:val="auto"/>
              </w:rPr>
            </w:pP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00" w:type="dxa"/>
            <w:vAlign w:val="bottom"/>
            <w:tcBorders>
              <w:right w:val="single" w:sz="8" w:color="auto"/>
            </w:tcBorders>
          </w:tcPr>
          <w:p>
            <w:pPr>
              <w:spacing w:after="0"/>
              <w:rPr>
                <w:sz w:val="11"/>
                <w:szCs w:val="11"/>
                <w:color w:val="auto"/>
              </w:rPr>
            </w:pP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9"/>
              </w:rPr>
              <w:t>Type</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700" w:type="dxa"/>
            <w:vAlign w:val="bottom"/>
            <w:tcBorders>
              <w:right w:val="single" w:sz="8" w:color="auto"/>
            </w:tcBorders>
          </w:tcPr>
          <w:p>
            <w:pPr>
              <w:spacing w:after="0"/>
              <w:rPr>
                <w:sz w:val="11"/>
                <w:szCs w:val="11"/>
                <w:color w:val="auto"/>
              </w:rPr>
            </w:pPr>
          </w:p>
        </w:tc>
      </w:tr>
      <w:tr>
        <w:trPr>
          <w:trHeight w:val="140"/>
        </w:trPr>
        <w:tc>
          <w:tcPr>
            <w:tcW w:w="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Form</w:t>
            </w:r>
          </w:p>
        </w:tc>
        <w:tc>
          <w:tcPr>
            <w:tcW w:w="9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Associated</w:t>
            </w:r>
          </w:p>
        </w:tc>
        <w:tc>
          <w:tcPr>
            <w:tcW w:w="13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Associated</w:t>
            </w:r>
          </w:p>
        </w:tc>
        <w:tc>
          <w:tcPr>
            <w:tcW w:w="9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Associated</w:t>
            </w:r>
          </w:p>
        </w:tc>
        <w:tc>
          <w:tcPr>
            <w:tcW w:w="1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Associated</w:t>
            </w: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Fee Paid</w:t>
            </w: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or Filer</w:t>
            </w:r>
          </w:p>
        </w:tc>
        <w:tc>
          <w:tcPr>
            <w:tcW w:w="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Fee Offset</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r>
      <w:tr>
        <w:trPr>
          <w:trHeight w:val="174"/>
        </w:trPr>
        <w:tc>
          <w:tcPr>
            <w:tcW w:w="86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Claimed(1)(2)</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Source</w:t>
            </w:r>
          </w:p>
        </w:tc>
      </w:tr>
      <w:tr>
        <w:trPr>
          <w:trHeight w:val="233"/>
        </w:trPr>
        <w:tc>
          <w:tcPr>
            <w:tcW w:w="86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Rules 457(b) and 0-11(a)(2)</w:t>
            </w:r>
          </w:p>
        </w:tc>
        <w:tc>
          <w:tcPr>
            <w:tcW w:w="1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8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Offset</w:t>
            </w:r>
          </w:p>
        </w:tc>
        <w:tc>
          <w:tcPr>
            <w:tcW w:w="11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8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Claims</w:t>
            </w:r>
          </w:p>
        </w:tc>
        <w:tc>
          <w:tcPr>
            <w:tcW w:w="11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8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Offset</w:t>
            </w:r>
          </w:p>
        </w:tc>
        <w:tc>
          <w:tcPr>
            <w:tcW w:w="11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8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Sources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9"/>
        </w:trPr>
        <w:tc>
          <w:tcPr>
            <w:tcW w:w="86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9"/>
              </w:rPr>
              <w:t>Rule 457(p)</w:t>
            </w:r>
          </w:p>
        </w:tc>
        <w:tc>
          <w:tcPr>
            <w:tcW w:w="1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8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Cullinan</w:t>
            </w: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Offset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Therapeutics,</w:t>
            </w: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8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Claims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333-270384</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3/9/2023</w:t>
            </w:r>
          </w:p>
        </w:tc>
        <w:tc>
          <w:tcPr>
            <w:tcW w:w="7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$27,620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(Universal)Shelf</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(Universal)Shelf</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35,934,291</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$310,628,094</w:t>
            </w: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8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Cullinan</w:t>
            </w: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Offset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Therapeutics,</w:t>
            </w:r>
          </w:p>
        </w:tc>
        <w:tc>
          <w:tcPr>
            <w:tcW w:w="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8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Sources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333-270384</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3/9/2023</w:t>
            </w:r>
          </w:p>
        </w:tc>
        <w:tc>
          <w:tcPr>
            <w:tcW w:w="7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$38,570</w:t>
            </w: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Rule 457(p) Statement of Withdrawal, Termination, or Completion:</w:t>
      </w:r>
    </w:p>
    <w:p>
      <w:pPr>
        <w:spacing w:after="0" w:line="135" w:lineRule="exact"/>
        <w:rPr>
          <w:sz w:val="20"/>
          <w:szCs w:val="20"/>
          <w:color w:val="auto"/>
        </w:rPr>
      </w:pPr>
    </w:p>
    <w:p>
      <w:pPr>
        <w:ind w:left="424" w:right="20" w:hanging="424"/>
        <w:spacing w:after="0" w:line="255" w:lineRule="auto"/>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registered consists of an indeterminate amount of common stock, preferred stock, debt securities, depositary shares, subscription rights, purchase contracts, warrants and/or units that may be offered and sold from time to time in one or more offerings,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ectPr>
          <w:pgSz w:w="11900" w:h="16838" w:orient="portrait"/>
          <w:cols w:equalWidth="0" w:num="1">
            <w:col w:w="11004"/>
          </w:cols>
          <w:pgMar w:left="436" w:top="297" w:right="459" w:bottom="1440" w:gutter="0" w:footer="0" w:header="0"/>
        </w:sectPr>
      </w:pPr>
    </w:p>
    <w:bookmarkStart w:id="167" w:name="page168"/>
    <w:bookmarkEnd w:id="167"/>
    <w:p>
      <w:pPr>
        <w:ind w:left="424" w:right="40" w:hanging="424"/>
        <w:spacing w:after="0" w:line="266" w:lineRule="auto"/>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registrant hereby defers payment of the registration fee required by Section 6(b) of the Securities Act pursuant to Rules 456(b) and 457(r) under the Securities Act, other than with respect to any registration fee associated with the primary offering of common stock described in Table 1 in connection with the filing of this Registration Statement.</w:t>
      </w:r>
    </w:p>
    <w:p>
      <w:pPr>
        <w:spacing w:after="0" w:line="8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securities registered pursuant to this registration statement include $310,628,094 of unsold shares (the “Unsold Securities”) of common stock, preferred stock, debt securities, depositary shares, subscription rights, purchase contracts, warrants and/or units previously registered pursuant to a prospectus filed with the Securities and Exchange Commission (the “SEC”) on March 9, 2023, as amended (the “Prior Prospectus”), to the Registration Statement on Form S-3 (File No. 333-2703844), which was filed with the SEC on March 9, 2023, as amended (the “Prior Registration Statement”), relating to the offer and sale of common stock, preferred stock, debt securities, depositary shares, subscription rights, purchase contracts, warrants and/or units having an aggregate offering price of up to $350,000,000, including $125,000,000 in connection with the Registrant’s at-the-market offering program. In connection with the filing of the Prior Prospectus, the registrant made a contemporaneous fee payment in the amount of $38,570. As of the date of this registration statement, shares of Common Stock having an aggregate offering price of up to $310,628,094 were not sold under the Prior Prospectus, and the registration fee that has already been paid and remains unused with respect to the Unsold Securities will be applied to shares of common stock that are being registered pursuant to this registration statement. Pursuant to Rule 457(p), the offering of the Unsold Securities under the Prior Registration Statement will be deemed terminated as of the date of effectiveness of this registration statement.</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3: Combined Prospectuses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2360" w:type="dxa"/>
            <w:vAlign w:val="bottom"/>
            <w:tcBorders>
              <w:top w:val="single" w:sz="8" w:color="auto"/>
              <w:left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Maximum Aggregate</w:t>
            </w:r>
          </w:p>
        </w:tc>
        <w:tc>
          <w:tcPr>
            <w:tcW w:w="420" w:type="dxa"/>
            <w:vAlign w:val="bottom"/>
            <w:tcBorders>
              <w:top w:val="single" w:sz="8" w:color="auto"/>
              <w:right w:val="single" w:sz="8" w:color="auto"/>
            </w:tcBorders>
          </w:tcPr>
          <w:p>
            <w:pPr>
              <w:spacing w:after="0"/>
              <w:rPr>
                <w:sz w:val="12"/>
                <w:szCs w:val="12"/>
                <w:color w:val="auto"/>
              </w:rPr>
            </w:pPr>
          </w:p>
        </w:tc>
        <w:tc>
          <w:tcPr>
            <w:tcW w:w="4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Amount of Securities</w:t>
            </w: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 of Securities</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Initial Effective</w:t>
            </w:r>
          </w:p>
        </w:tc>
      </w:tr>
      <w:tr>
        <w:trPr>
          <w:trHeight w:val="165"/>
        </w:trPr>
        <w:tc>
          <w:tcPr>
            <w:tcW w:w="236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Security Class Title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Previously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Previously Registered</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r>
      <w:tr>
        <w:trPr>
          <w:trHeight w:val="233"/>
        </w:trPr>
        <w:tc>
          <w:tcPr>
            <w:tcW w:w="236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27"/>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04"/>
      </w:cols>
      <w:pgMar w:left="436"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decimal"/>
      <w:start w:val="617"/>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lvl w:ilvl="1">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lvl w:ilvl="1">
      <w:lvlJc w:val="left"/>
      <w:lvlText w:val="•"/>
      <w:numFmt w:val="bullet"/>
      <w:start w:val="1"/>
    </w:lvl>
  </w:abstractNum>
  <w:abstractNum w:abstractNumId="19">
    <w:nsid w:val="46B7D447"/>
    <w:multiLevelType w:val="hybridMultilevel"/>
    <w:lvl w:ilvl="0">
      <w:lvlJc w:val="left"/>
      <w:lvlText w:val="•"/>
      <w:numFmt w:val="bullet"/>
      <w:start w:val="1"/>
    </w:lvl>
    <w:lvl w:ilvl="1">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1)"/>
      <w:numFmt w:val="decimal"/>
      <w:start w:val="617"/>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lvl w:ilvl="1">
      <w:lvlJc w:val="left"/>
      <w:lvlText w:val="•"/>
      <w:numFmt w:val="bullet"/>
      <w:start w:val="1"/>
    </w:lvl>
  </w:abstractNum>
  <w:abstractNum w:abstractNumId="40">
    <w:nsid w:val="73A1821B"/>
    <w:multiLevelType w:val="hybridMultilevel"/>
    <w:lvl w:ilvl="0">
      <w:lvlJc w:val="left"/>
      <w:lvlText w:val="(%1)"/>
      <w:numFmt w:val="decimal"/>
      <w:start w:val="617"/>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07"/>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1)"/>
      <w:numFmt w:val="lowerRoman"/>
      <w:start w:val="1"/>
    </w:lvl>
  </w:abstractNum>
  <w:abstractNum w:abstractNumId="50">
    <w:nsid w:val="5092CA79"/>
    <w:multiLevelType w:val="hybridMultilevel"/>
    <w:lvl w:ilvl="0">
      <w:lvlJc w:val="left"/>
      <w:lvlText w:val="(%1)"/>
      <w:numFmt w:val="decimal"/>
      <w:start w:val="2"/>
    </w:lvl>
    <w:lvl w:ilvl="1">
      <w:lvlJc w:val="left"/>
      <w:lvlText w:val="(%2)"/>
      <w:numFmt w:val="lowerRoman"/>
      <w:start w:val="1"/>
    </w:lvl>
  </w:abstractNum>
  <w:abstractNum w:abstractNumId="51">
    <w:nsid w:val="1D545C4D"/>
    <w:multiLevelType w:val="hybridMultilevel"/>
    <w:lvl w:ilvl="0">
      <w:lvlJc w:val="left"/>
      <w:lvlText w:val="(%1)"/>
      <w:numFmt w:val="lowerLetter"/>
      <w:start w:val="35"/>
    </w:lvl>
    <w:lvl w:ilvl="1">
      <w:lvlJc w:val="left"/>
      <w:lvlText w:val="(%2)"/>
      <w:numFmt w:val="lowerLetter"/>
      <w:start w:val="2"/>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2"/>
    </w:lvl>
  </w:abstractNum>
  <w:abstractNum w:abstractNumId="54">
    <w:nsid w:val="2A155DBC"/>
    <w:multiLevelType w:val="hybridMultilevel"/>
    <w:lvl w:ilvl="0">
      <w:lvlJc w:val="left"/>
      <w:lvlText w:val="%1."/>
      <w:numFmt w:val="decimal"/>
      <w:start w:val="3"/>
    </w:lvl>
  </w:abstractNum>
  <w:abstractNum w:abstractNumId="55">
    <w:nsid w:val="1D9F6E5F"/>
    <w:multiLevelType w:val="hybridMultilevel"/>
    <w:lvl w:ilvl="0">
      <w:lvlJc w:val="left"/>
      <w:lvlText w:val="%1."/>
      <w:numFmt w:val="decimal"/>
      <w:start w:val="4"/>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decimal"/>
      <w:start w:val="5"/>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1)"/>
      <w:numFmt w:val="lowerLetter"/>
      <w:start w:val="3"/>
    </w:lvl>
  </w:abstractNum>
  <w:abstractNum w:abstractNumId="60">
    <w:nsid w:val="415E286C"/>
    <w:multiLevelType w:val="hybridMultilevel"/>
    <w:lvl w:ilvl="0">
      <w:lvlJc w:val="left"/>
      <w:lvlText w:val="%1"/>
      <w:numFmt w:val="lowerRoman"/>
      <w:start w:val="1"/>
    </w:lvl>
    <w:lvl w:ilvl="1">
      <w:lvlJc w:val="left"/>
      <w:lvlText w:val="%2."/>
      <w:numFmt w:val="decimal"/>
      <w:start w:val="6"/>
    </w:lvl>
  </w:abstractNum>
  <w:abstractNum w:abstractNumId="61">
    <w:nsid w:val="7C58FD05"/>
    <w:multiLevelType w:val="hybridMultilevel"/>
    <w:lvl w:ilvl="0">
      <w:lvlJc w:val="left"/>
      <w:lvlText w:val="(%1)"/>
      <w:numFmt w:val="lowerRoman"/>
      <w:start w:val="1"/>
    </w:lvl>
    <w:lvl w:ilvl="1">
      <w:lvlJc w:val="left"/>
      <w:lvlText w:val="%2"/>
      <w:numFmt w:val="decimal"/>
      <w:start w:val="1"/>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3"/>
    </w:lvl>
  </w:abstractNum>
  <w:abstractNum w:abstractNumId="64">
    <w:nsid w:val="5C10FE21"/>
    <w:multiLevelType w:val="hybridMultilevel"/>
    <w:lvl w:ilvl="0">
      <w:lvlJc w:val="left"/>
      <w:lvlText w:val="(%1)"/>
      <w:numFmt w:val="lowerLetter"/>
      <w:start w:val="11"/>
    </w:lvl>
  </w:abstractNum>
  <w:abstractNum w:abstractNumId="65">
    <w:nsid w:val="E7FFA2B"/>
    <w:multiLevelType w:val="hybridMultilevel"/>
    <w:lvl w:ilvl="0">
      <w:lvlJc w:val="left"/>
      <w:lvlText w:val="(%1)"/>
      <w:numFmt w:val="lowerLetter"/>
      <w:start w:val="13"/>
    </w:lvl>
  </w:abstractNum>
  <w:abstractNum w:abstractNumId="66">
    <w:nsid w:val="3C5991AA"/>
    <w:multiLevelType w:val="hybridMultilevel"/>
    <w:lvl w:ilvl="0">
      <w:lvlJc w:val="left"/>
      <w:lvlText w:val="%1"/>
      <w:numFmt w:val="lowerLetter"/>
      <w:start w:val="1"/>
    </w:lvl>
    <w:lvl w:ilvl="1">
      <w:lvlJc w:val="left"/>
      <w:lvlText w:val="(%2)"/>
      <w:numFmt w:val="lowerLetter"/>
      <w:start w:val="19"/>
    </w:lvl>
  </w:abstractNum>
  <w:abstractNum w:abstractNumId="67">
    <w:nsid w:val="4BD8591A"/>
    <w:multiLevelType w:val="hybridMultilevel"/>
    <w:lvl w:ilvl="0">
      <w:lvlJc w:val="left"/>
      <w:lvlText w:val="(%1)"/>
      <w:numFmt w:val="lowerLetter"/>
      <w:start w:val="61"/>
    </w:lvl>
    <w:lvl w:ilvl="1">
      <w:lvlJc w:val="left"/>
      <w:lvlText w:val="(%2)"/>
      <w:numFmt w:val="lowerLetter"/>
      <w:start w:val="23"/>
    </w:lvl>
  </w:abstractNum>
  <w:abstractNum w:abstractNumId="68">
    <w:nsid w:val="78DF6A55"/>
    <w:multiLevelType w:val="hybridMultilevel"/>
    <w:lvl w:ilvl="0">
      <w:lvlJc w:val="left"/>
      <w:lvlText w:val="(%1)"/>
      <w:numFmt w:val="lowerLetter"/>
      <w:start w:val="35"/>
    </w:lvl>
    <w:lvl w:ilvl="1">
      <w:lvlJc w:val="left"/>
      <w:lvlText w:val="(%2)"/>
      <w:numFmt w:val="lowerLetter"/>
      <w:start w:val="24"/>
    </w:lvl>
  </w:abstractNum>
  <w:abstractNum w:abstractNumId="69">
    <w:nsid w:val="39B7AAA2"/>
    <w:multiLevelType w:val="hybridMultilevel"/>
    <w:lvl w:ilvl="0">
      <w:lvlJc w:val="left"/>
      <w:lvlText w:val="(%1)"/>
      <w:numFmt w:val="lowerLetter"/>
      <w:start w:val="27"/>
    </w:lvl>
  </w:abstractNum>
  <w:abstractNum w:abstractNumId="70">
    <w:nsid w:val="2B0D8DBE"/>
    <w:multiLevelType w:val="hybridMultilevel"/>
    <w:lvl w:ilvl="0">
      <w:lvlJc w:val="left"/>
      <w:lvlText w:val="%1"/>
      <w:numFmt w:val="lowerLetter"/>
      <w:start w:val="1"/>
    </w:lvl>
    <w:lvl w:ilvl="1">
      <w:lvlJc w:val="left"/>
      <w:lvlText w:val="(%2)"/>
      <w:numFmt w:val="lowerLetter"/>
      <w:start w:val="29"/>
    </w:lvl>
  </w:abstractNum>
  <w:abstractNum w:abstractNumId="71">
    <w:nsid w:val="6C80EC70"/>
    <w:multiLevelType w:val="hybridMultilevel"/>
    <w:lvl w:ilvl="0">
      <w:lvlJc w:val="left"/>
      <w:lvlText w:val="(%1)"/>
      <w:numFmt w:val="lowerLetter"/>
      <w:start w:val="35"/>
    </w:lvl>
    <w:lvl w:ilvl="1">
      <w:lvlJc w:val="left"/>
      <w:lvlText w:val="(%2)"/>
      <w:numFmt w:val="lowerLetter"/>
      <w:start w:val="31"/>
    </w:lvl>
  </w:abstractNum>
  <w:abstractNum w:abstractNumId="72">
    <w:nsid w:val="379E21B5"/>
    <w:multiLevelType w:val="hybridMultilevel"/>
    <w:lvl w:ilvl="0">
      <w:lvlJc w:val="left"/>
      <w:lvlText w:val="(%1)"/>
      <w:numFmt w:val="lowerLetter"/>
      <w:start w:val="33"/>
    </w:lvl>
  </w:abstractNum>
  <w:abstractNum w:abstractNumId="73">
    <w:nsid w:val="69E373"/>
    <w:multiLevelType w:val="hybridMultilevel"/>
    <w:lvl w:ilvl="0">
      <w:lvlJc w:val="left"/>
      <w:lvlText w:val="(%1)"/>
      <w:numFmt w:val="lowerLetter"/>
      <w:start w:val="37"/>
    </w:lvl>
    <w:lvl w:ilvl="1">
      <w:lvlJc w:val="left"/>
      <w:lvlText w:val="(%2)"/>
      <w:numFmt w:val="upperLetter"/>
      <w:start w:val="1"/>
    </w:lvl>
  </w:abstractNum>
  <w:abstractNum w:abstractNumId="74">
    <w:nsid w:val="2C27173B"/>
    <w:multiLevelType w:val="hybridMultilevel"/>
    <w:lvl w:ilvl="0">
      <w:lvlJc w:val="left"/>
      <w:lvlText w:val="(%1)"/>
      <w:numFmt w:val="lowerRoman"/>
      <w:start w:val="2"/>
    </w:lvl>
    <w:lvl w:ilvl="1">
      <w:lvlJc w:val="left"/>
      <w:lvlText w:val="(%2)"/>
      <w:numFmt w:val="upperLetter"/>
      <w:start w:val="1"/>
    </w:lvl>
  </w:abstractNum>
  <w:abstractNum w:abstractNumId="75">
    <w:nsid w:val="4C9B0904"/>
    <w:multiLevelType w:val="hybridMultilevel"/>
    <w:lvl w:ilvl="0">
      <w:lvlJc w:val="left"/>
      <w:lvlText w:val="(%1)"/>
      <w:numFmt w:val="lowerLetter"/>
      <w:start w:val="39"/>
    </w:lvl>
  </w:abstractNum>
  <w:abstractNum w:abstractNumId="76">
    <w:nsid w:val="6AA7B75C"/>
    <w:multiLevelType w:val="hybridMultilevel"/>
    <w:lvl w:ilvl="0">
      <w:lvlJc w:val="left"/>
      <w:lvlText w:val="(%1)"/>
      <w:numFmt w:val="lowerRoman"/>
      <w:start w:val="7"/>
    </w:lvl>
    <w:lvl w:ilvl="1">
      <w:lvlJc w:val="left"/>
      <w:lvlText w:val="(%2)"/>
      <w:numFmt w:val="lowerLetter"/>
      <w:start w:val="40"/>
    </w:lvl>
  </w:abstractNum>
  <w:abstractNum w:abstractNumId="77">
    <w:nsid w:val="1DF029D3"/>
    <w:multiLevelType w:val="hybridMultilevel"/>
    <w:lvl w:ilvl="0">
      <w:lvlJc w:val="left"/>
      <w:lvlText w:val="(%1)"/>
      <w:numFmt w:val="lowerLetter"/>
      <w:start w:val="22"/>
    </w:lvl>
    <w:lvl w:ilvl="1">
      <w:lvlJc w:val="left"/>
      <w:lvlText w:val="(%2)"/>
      <w:numFmt w:val="lowerLetter"/>
      <w:start w:val="41"/>
    </w:lvl>
  </w:abstractNum>
  <w:abstractNum w:abstractNumId="78">
    <w:nsid w:val="5675FF36"/>
    <w:multiLevelType w:val="hybridMultilevel"/>
    <w:lvl w:ilvl="0">
      <w:lvlJc w:val="left"/>
      <w:lvlText w:val="%1"/>
      <w:numFmt w:val="lowerLetter"/>
      <w:start w:val="1"/>
    </w:lvl>
    <w:lvl w:ilvl="1">
      <w:lvlJc w:val="left"/>
      <w:lvlText w:val="(%2)"/>
      <w:numFmt w:val="lowerLetter"/>
      <w:start w:val="42"/>
    </w:lvl>
  </w:abstractNum>
  <w:abstractNum w:abstractNumId="79">
    <w:nsid w:val="3DD15094"/>
    <w:multiLevelType w:val="hybridMultilevel"/>
    <w:lvl w:ilvl="0">
      <w:lvlJc w:val="left"/>
      <w:lvlText w:val="(%1)"/>
      <w:numFmt w:val="lowerLetter"/>
      <w:start w:val="9"/>
    </w:lvl>
    <w:lvl w:ilvl="1">
      <w:lvlJc w:val="left"/>
      <w:lvlText w:val="(%2)"/>
      <w:numFmt w:val="lowerLetter"/>
      <w:start w:val="44"/>
    </w:lvl>
  </w:abstractNum>
  <w:abstractNum w:abstractNumId="80">
    <w:nsid w:val="3DB012B3"/>
    <w:multiLevelType w:val="hybridMultilevel"/>
    <w:lvl w:ilvl="0">
      <w:lvlJc w:val="left"/>
      <w:lvlText w:val="(%1)"/>
      <w:numFmt w:val="lowerLetter"/>
      <w:start w:val="35"/>
    </w:lvl>
    <w:lvl w:ilvl="1">
      <w:lvlJc w:val="left"/>
      <w:lvlText w:val="(%2)"/>
      <w:numFmt w:val="lowerLetter"/>
      <w:start w:val="48"/>
    </w:lvl>
  </w:abstractNum>
  <w:abstractNum w:abstractNumId="81">
    <w:nsid w:val="2708C9AF"/>
    <w:multiLevelType w:val="hybridMultilevel"/>
    <w:lvl w:ilvl="0">
      <w:lvlJc w:val="left"/>
      <w:lvlText w:val="(%1)"/>
      <w:numFmt w:val="lowerLetter"/>
      <w:start w:val="49"/>
    </w:lvl>
  </w:abstractNum>
  <w:abstractNum w:abstractNumId="82">
    <w:nsid w:val="5B25ACE2"/>
    <w:multiLevelType w:val="hybridMultilevel"/>
    <w:lvl w:ilvl="0">
      <w:lvlJc w:val="left"/>
      <w:lvlText w:val="%1"/>
      <w:numFmt w:val="decimal"/>
      <w:start w:val="1"/>
    </w:lvl>
    <w:lvl w:ilvl="1">
      <w:lvlJc w:val="left"/>
      <w:lvlText w:val="(%2)"/>
      <w:numFmt w:val="lowerLetter"/>
      <w:start w:val="53"/>
    </w:lvl>
  </w:abstractNum>
  <w:abstractNum w:abstractNumId="83">
    <w:nsid w:val="175DFCF0"/>
    <w:multiLevelType w:val="hybridMultilevel"/>
    <w:lvl w:ilvl="0">
      <w:lvlJc w:val="left"/>
      <w:lvlText w:val="(%1)"/>
      <w:numFmt w:val="decimal"/>
      <w:start w:val="1"/>
    </w:lvl>
    <w:lvl w:ilvl="1">
      <w:lvlJc w:val="left"/>
      <w:lvlText w:val="(%2)"/>
      <w:numFmt w:val="lowerLetter"/>
      <w:start w:val="54"/>
    </w:lvl>
  </w:abstractNum>
  <w:abstractNum w:abstractNumId="84">
    <w:nsid w:val="4F97E3E4"/>
    <w:multiLevelType w:val="hybridMultilevel"/>
    <w:lvl w:ilvl="0">
      <w:lvlJc w:val="left"/>
      <w:lvlText w:val="(%1)"/>
      <w:numFmt w:val="lowerLetter"/>
      <w:start w:val="55"/>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2"/>
    </w:lvl>
  </w:abstractNum>
  <w:abstractNum w:abstractNumId="87">
    <w:nsid w:val="5915FF32"/>
    <w:multiLevelType w:val="hybridMultilevel"/>
    <w:lvl w:ilvl="0">
      <w:lvlJc w:val="left"/>
      <w:lvlText w:val="%1"/>
      <w:numFmt w:val="lowerRoman"/>
      <w:start w:val="1"/>
    </w:lvl>
    <w:lvl w:ilvl="1">
      <w:lvlJc w:val="left"/>
      <w:lvlText w:val="(%2)"/>
      <w:numFmt w:val="lowerLetter"/>
      <w:start w:val="5"/>
    </w:lvl>
  </w:abstractNum>
  <w:abstractNum w:abstractNumId="88">
    <w:nsid w:val="56438D15"/>
    <w:multiLevelType w:val="hybridMultilevel"/>
    <w:lvl w:ilvl="0">
      <w:lvlJc w:val="left"/>
      <w:lvlText w:val="(%1)"/>
      <w:numFmt w:val="lowerRoman"/>
      <w:start w:val="8"/>
    </w:lvl>
    <w:lvl w:ilvl="1">
      <w:lvlJc w:val="left"/>
      <w:lvlText w:val="(%2)"/>
      <w:numFmt w:val="lowerLetter"/>
      <w:start w:val="8"/>
    </w:lvl>
  </w:abstractNum>
  <w:abstractNum w:abstractNumId="89">
    <w:nsid w:val="519E3149"/>
    <w:multiLevelType w:val="hybridMultilevel"/>
    <w:lvl w:ilvl="0">
      <w:lvlJc w:val="left"/>
      <w:lvlText w:val="(%1)"/>
      <w:numFmt w:val="lowerLetter"/>
      <w:start w:val="10"/>
    </w:lvl>
    <w:lvl w:ilvl="1">
      <w:lvlJc w:val="left"/>
      <w:lvlText w:val="(%2)"/>
      <w:numFmt w:val="lowerLetter"/>
      <w:start w:val="9"/>
    </w:lvl>
  </w:abstractNum>
  <w:abstractNum w:abstractNumId="90">
    <w:nsid w:val="2C6E4AFD"/>
    <w:multiLevelType w:val="hybridMultilevel"/>
    <w:lvl w:ilvl="0">
      <w:lvlJc w:val="left"/>
      <w:lvlText w:val="(%1)"/>
      <w:numFmt w:val="lowerRoman"/>
      <w:start w:val="2"/>
    </w:lvl>
  </w:abstractNum>
  <w:abstractNum w:abstractNumId="91">
    <w:nsid w:val="17A1B582"/>
    <w:multiLevelType w:val="hybridMultilevel"/>
    <w:lvl w:ilvl="0">
      <w:lvlJc w:val="left"/>
      <w:lvlText w:val="(%1)"/>
      <w:numFmt w:val="lowerLetter"/>
      <w:start w:val="14"/>
    </w:lvl>
  </w:abstractNum>
  <w:abstractNum w:abstractNumId="92">
    <w:nsid w:val="4DF72E4E"/>
    <w:multiLevelType w:val="hybridMultilevel"/>
    <w:lvl w:ilvl="0">
      <w:lvlJc w:val="left"/>
      <w:lvlText w:val="(%1)"/>
      <w:numFmt w:val="lowerLetter"/>
      <w:start w:val="15"/>
    </w:lvl>
  </w:abstractNum>
  <w:abstractNum w:abstractNumId="93">
    <w:nsid w:val="5046B5A9"/>
    <w:multiLevelType w:val="hybridMultilevel"/>
    <w:lvl w:ilvl="0">
      <w:lvlJc w:val="left"/>
      <w:lvlText w:val="(%1)"/>
      <w:numFmt w:val="lowerLetter"/>
      <w:start w:val="20"/>
    </w:lvl>
  </w:abstractNum>
  <w:abstractNum w:abstractNumId="94">
    <w:nsid w:val="5D888A08"/>
    <w:multiLevelType w:val="hybridMultilevel"/>
    <w:lvl w:ilvl="0">
      <w:lvlJc w:val="left"/>
      <w:lvlText w:val="(%1)"/>
      <w:numFmt w:val="lowerLetter"/>
      <w:start w:val="25"/>
    </w:lvl>
  </w:abstractNum>
  <w:abstractNum w:abstractNumId="95">
    <w:nsid w:val="2A082C70"/>
    <w:multiLevelType w:val="hybridMultilevel"/>
    <w:lvl w:ilvl="0">
      <w:lvlJc w:val="left"/>
      <w:lvlText w:val="(%1)"/>
      <w:numFmt w:val="lowerLetter"/>
      <w:start w:val="27"/>
    </w:lvl>
  </w:abstractNum>
  <w:abstractNum w:abstractNumId="96">
    <w:nsid w:val="5EC6AFD4"/>
    <w:multiLevelType w:val="hybridMultilevel"/>
    <w:lvl w:ilvl="0">
      <w:lvlJc w:val="left"/>
      <w:lvlText w:val="%1."/>
      <w:numFmt w:val="decimal"/>
      <w:start w:val="8"/>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3"/>
    </w:lvl>
  </w:abstractNum>
  <w:abstractNum w:abstractNumId="99">
    <w:nsid w:val="57A61A29"/>
    <w:multiLevelType w:val="hybridMultilevel"/>
    <w:lvl w:ilvl="0">
      <w:lvlJc w:val="left"/>
      <w:lvlText w:val="%1"/>
      <w:numFmt w:val="lowerLetter"/>
      <w:start w:val="1"/>
    </w:lvl>
    <w:lvl w:ilvl="1">
      <w:lvlJc w:val="left"/>
      <w:lvlText w:val="(%2)"/>
      <w:numFmt w:val="lowerLetter"/>
      <w:start w:val="8"/>
    </w:lvl>
  </w:abstractNum>
  <w:abstractNum w:abstractNumId="100">
    <w:nsid w:val="5399C654"/>
    <w:multiLevelType w:val="hybridMultilevel"/>
    <w:lvl w:ilvl="0">
      <w:lvlJc w:val="left"/>
      <w:lvlText w:val="(%1)"/>
      <w:numFmt w:val="lowerLetter"/>
      <w:start w:val="35"/>
    </w:lvl>
    <w:lvl w:ilvl="1">
      <w:lvlJc w:val="left"/>
      <w:lvlText w:val="(%2)"/>
      <w:numFmt w:val="lowerLetter"/>
      <w:start w:val="15"/>
    </w:lvl>
  </w:abstractNum>
  <w:abstractNum w:abstractNumId="101">
    <w:nsid w:val="20EE1348"/>
    <w:multiLevelType w:val="hybridMultilevel"/>
    <w:lvl w:ilvl="0">
      <w:lvlJc w:val="left"/>
      <w:lvlText w:val="%1."/>
      <w:numFmt w:val="decimal"/>
      <w:start w:val="9"/>
    </w:lvl>
  </w:abstractNum>
  <w:abstractNum w:abstractNumId="102">
    <w:nsid w:val="4427069A"/>
    <w:multiLevelType w:val="hybridMultilevel"/>
    <w:lvl w:ilvl="0">
      <w:lvlJc w:val="left"/>
      <w:lvlText w:val="%1"/>
      <w:numFmt w:val="lowerLetter"/>
      <w:start w:val="1"/>
    </w:lvl>
    <w:lvl w:ilvl="1">
      <w:lvlJc w:val="left"/>
      <w:lvlText w:val="(%2)"/>
      <w:numFmt w:val="lowerLetter"/>
      <w:start w:val="1"/>
    </w:lvl>
  </w:abstractNum>
  <w:abstractNum w:abstractNumId="103">
    <w:nsid w:val="B37E80A"/>
    <w:multiLevelType w:val="hybridMultilevel"/>
    <w:lvl w:ilvl="0">
      <w:lvlJc w:val="left"/>
      <w:lvlText w:val="(%1)"/>
      <w:numFmt w:val="lowerLetter"/>
      <w:start w:val="26"/>
    </w:lvl>
    <w:lvl w:ilvl="1">
      <w:lvlJc w:val="left"/>
      <w:lvlText w:val="(%2)"/>
      <w:numFmt w:val="lowerLetter"/>
      <w:start w:val="2"/>
    </w:lvl>
  </w:abstractNum>
  <w:abstractNum w:abstractNumId="104">
    <w:nsid w:val="2157F6BC"/>
    <w:multiLevelType w:val="hybridMultilevel"/>
    <w:lvl w:ilvl="0">
      <w:lvlJc w:val="left"/>
      <w:lvlText w:val="(%1)"/>
      <w:numFmt w:val="decimal"/>
      <w:start w:val="1"/>
    </w:lvl>
    <w:lvl w:ilvl="1">
      <w:lvlJc w:val="left"/>
      <w:lvlText w:val="(%2)"/>
      <w:numFmt w:val="lowerLetter"/>
      <w:start w:val="4"/>
    </w:lvl>
  </w:abstractNum>
  <w:abstractNum w:abstractNumId="105">
    <w:nsid w:val="704E1DD5"/>
    <w:multiLevelType w:val="hybridMultilevel"/>
    <w:lvl w:ilvl="0">
      <w:lvlJc w:val="left"/>
      <w:lvlText w:val="%1."/>
      <w:numFmt w:val="decimal"/>
      <w:start w:val="10"/>
    </w:lvl>
  </w:abstractNum>
  <w:abstractNum w:abstractNumId="106">
    <w:nsid w:val="57D2F10E"/>
    <w:multiLevelType w:val="hybridMultilevel"/>
    <w:lvl w:ilvl="0">
      <w:lvlJc w:val="left"/>
      <w:lvlText w:val="%1."/>
      <w:numFmt w:val="decimal"/>
      <w:start w:val="1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decimal"/>
      <w:start w:val="12"/>
    </w:lvl>
  </w:abstractNum>
  <w:abstractNum w:abstractNumId="109">
    <w:nsid w:val="2E48F044"/>
    <w:multiLevelType w:val="hybridMultilevel"/>
    <w:lvl w:ilvl="0">
      <w:lvlJc w:val="left"/>
      <w:lvlText w:val="(%1)"/>
      <w:numFmt w:val="lowerRoman"/>
      <w:start w:val="3"/>
    </w:lvl>
  </w:abstractNum>
  <w:abstractNum w:abstractNumId="110">
    <w:nsid w:val="49D0FEAC"/>
    <w:multiLevelType w:val="hybridMultilevel"/>
    <w:lvl w:ilvl="0">
      <w:lvlJc w:val="left"/>
      <w:lvlText w:val="%1."/>
      <w:numFmt w:val="decimal"/>
      <w:start w:val="13"/>
    </w:lvl>
  </w:abstractNum>
  <w:abstractNum w:abstractNumId="111">
    <w:nsid w:val="4BEE5A5B"/>
    <w:multiLevelType w:val="hybridMultilevel"/>
    <w:lvl w:ilvl="0">
      <w:lvlJc w:val="left"/>
      <w:lvlText w:val="%1."/>
      <w:numFmt w:val="decimal"/>
      <w:start w:val="17"/>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decimal"/>
      <w:start w:val="19"/>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decimal"/>
      <w:start w:val="21"/>
    </w:lvl>
  </w:abstractNum>
  <w:abstractNum w:abstractNumId="117">
    <w:nsid w:val="1849C29B"/>
    <w:multiLevelType w:val="hybridMultilevel"/>
    <w:lvl w:ilvl="0">
      <w:lvlJc w:val="left"/>
      <w:lvlText w:val="(%1)"/>
      <w:numFmt w:val="lowerRoman"/>
      <w:start w:val="3"/>
    </w:lvl>
  </w:abstractNum>
  <w:abstractNum w:abstractNumId="118">
    <w:nsid w:val="7DFF9D09"/>
    <w:multiLevelType w:val="hybridMultilevel"/>
    <w:lvl w:ilvl="0">
      <w:lvlJc w:val="left"/>
      <w:lvlText w:val="%1."/>
      <w:numFmt w:val="decimal"/>
      <w:start w:val="22"/>
    </w:lvl>
  </w:abstractNum>
  <w:abstractNum w:abstractNumId="119">
    <w:nsid w:val="754342"/>
    <w:multiLevelType w:val="hybridMultilevel"/>
    <w:lvl w:ilvl="0">
      <w:lvlJc w:val="left"/>
      <w:lvlText w:val="(%1)"/>
      <w:numFmt w:val="lowerRoman"/>
      <w:start w:val="1"/>
    </w:lvl>
  </w:abstractNum>
  <w:abstractNum w:abstractNumId="120">
    <w:nsid w:val="69E7F3E5"/>
    <w:multiLevelType w:val="hybridMultilevel"/>
    <w:lvl w:ilvl="0">
      <w:lvlJc w:val="left"/>
      <w:lvlText w:val="(%1)"/>
      <w:numFmt w:val="decimal"/>
      <w:start w:val="1"/>
    </w:lvl>
  </w:abstractNum>
  <w:abstractNum w:abstractNumId="121">
    <w:nsid w:val="2A6DE806"/>
    <w:multiLevelType w:val="hybridMultilevel"/>
    <w:lvl w:ilvl="0">
      <w:lvlJc w:val="left"/>
      <w:lvlText w:val="(%1)"/>
      <w:numFmt w:val="decimal"/>
      <w:start w:val="3"/>
    </w:lvl>
  </w:abstractNum>
  <w:abstractNum w:abstractNumId="122">
    <w:nsid w:val="1816F8C4"/>
    <w:multiLevelType w:val="hybridMultilevel"/>
    <w:lvl w:ilvl="0">
      <w:lvlJc w:val="left"/>
      <w:lvlText w:val="(%1)"/>
      <w:numFmt w:val="decimal"/>
      <w:start w:val="1"/>
    </w:lvl>
  </w:abstractNum>
  <w:abstractNum w:abstractNumId="123">
    <w:nsid w:val="37DF2233"/>
    <w:multiLevelType w:val="hybridMultilevel"/>
    <w:lvl w:ilvl="0">
      <w:lvlJc w:val="left"/>
      <w:lvlText w:val="(%1)"/>
      <w:numFmt w:val="decimal"/>
      <w:start w:val="5"/>
    </w:lvl>
  </w:abstractNum>
  <w:abstractNum w:abstractNumId="124">
    <w:nsid w:val="7AB49DAF"/>
    <w:multiLevelType w:val="hybridMultilevel"/>
    <w:lvl w:ilvl="0">
      <w:lvlJc w:val="left"/>
      <w:lvlText w:val="(%1)"/>
      <w:numFmt w:val="decimal"/>
      <w:start w:val="16"/>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4"/>
    </w:lvl>
  </w:abstractNum>
  <w:abstractNum w:abstractNumId="128">
    <w:nsid w:val="F819E7F"/>
    <w:multiLevelType w:val="hybridMultilevel"/>
    <w:lvl w:ilvl="0">
      <w:lvlJc w:val="left"/>
      <w:lvlText w:val="(%1)"/>
      <w:numFmt w:val="decimal"/>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2"/>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2"/>
    </w:lvl>
    <w:lvl w:ilvl="1">
      <w:lvlJc w:val="left"/>
      <w:lvlText w:val="(%2)"/>
      <w:numFmt w:val="upperLetter"/>
      <w:start w:val="1"/>
    </w:lvl>
  </w:abstractNum>
  <w:abstractNum w:abstractNumId="134">
    <w:nsid w:val="6E534CDE"/>
    <w:multiLevelType w:val="hybridMultilevel"/>
    <w:lvl w:ilvl="0">
      <w:lvlJc w:val="left"/>
      <w:lvlText w:val="(%1)"/>
      <w:numFmt w:val="decimal"/>
      <w:start w:val="1"/>
    </w:lvl>
  </w:abstractNum>
  <w:abstractNum w:abstractNumId="135">
    <w:nsid w:val="1A0DDE32"/>
    <w:multiLevelType w:val="hybridMultilevel"/>
    <w:lvl w:ilvl="0">
      <w:lvlJc w:val="left"/>
      <w:lvlText w:val="(%1)"/>
      <w:numFmt w:val="decimal"/>
      <w:start w:val="5"/>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lowerLetter"/>
      <w:start w:val="2"/>
    </w:lvl>
    <w:lvl w:ilvl="1">
      <w:lvlJc w:val="left"/>
      <w:lvlText w:val="(%2)"/>
      <w:numFmt w:val="decimal"/>
      <w:start w:val="1"/>
    </w:lvl>
  </w:abstractNum>
  <w:abstractNum w:abstractNumId="138">
    <w:nsid w:val="260D8C4A"/>
    <w:multiLevelType w:val="hybridMultilevel"/>
    <w:lvl w:ilvl="0">
      <w:lvlJc w:val="left"/>
      <w:lvlText w:val="(%1)"/>
      <w:numFmt w:val="lowerLetter"/>
      <w:start w:val="7"/>
    </w:lvl>
  </w:abstractNum>
  <w:abstractNum w:abstractNumId="139">
    <w:nsid w:val="73D4D3C4"/>
    <w:multiLevelType w:val="hybridMultilevel"/>
    <w:lvl w:ilvl="0">
      <w:lvlJc w:val="left"/>
      <w:lvlText w:val="(%1)"/>
      <w:numFmt w:val="lowerLetter"/>
      <w:start w:val="1"/>
    </w:lvl>
    <w:lvl w:ilvl="1">
      <w:lvlJc w:val="left"/>
      <w:lvlText w:val="(%2)"/>
      <w:numFmt w:val="decimal"/>
      <w:start w:val="1"/>
    </w:lvl>
  </w:abstractNum>
  <w:abstractNum w:abstractNumId="140">
    <w:nsid w:val="746F2E30"/>
    <w:multiLevelType w:val="hybridMultilevel"/>
    <w:lvl w:ilvl="0">
      <w:lvlJc w:val="left"/>
      <w:lvlText w:val="(%1)"/>
      <w:numFmt w:val="decimal"/>
      <w:start w:val="9"/>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3"/>
    </w:lvl>
  </w:abstractNum>
  <w:abstractNum w:abstractNumId="143">
    <w:nsid w:val="49C0E823"/>
    <w:multiLevelType w:val="hybridMultilevel"/>
    <w:lvl w:ilvl="0">
      <w:lvlJc w:val="left"/>
      <w:lvlText w:val="(%1)"/>
      <w:numFmt w:val="decimal"/>
      <w:start w:val="1"/>
    </w:lvl>
  </w:abstractNum>
  <w:abstractNum w:abstractNumId="144">
    <w:nsid w:val="14D53685"/>
    <w:multiLevelType w:val="hybridMultilevel"/>
    <w:lvl w:ilvl="0">
      <w:lvlJc w:val="left"/>
      <w:lvlText w:val="(%1)"/>
      <w:numFmt w:val="decimal"/>
      <w:start w:val="1"/>
    </w:lvl>
  </w:abstractNum>
  <w:abstractNum w:abstractNumId="145">
    <w:nsid w:val="230F856C"/>
    <w:multiLevelType w:val="hybridMultilevel"/>
    <w:lvl w:ilvl="0">
      <w:lvlJc w:val="left"/>
      <w:lvlText w:val="(%1)"/>
      <w:numFmt w:val="decimal"/>
      <w:start w:val="6"/>
    </w:lvl>
  </w:abstractNum>
  <w:abstractNum w:abstractNumId="146">
    <w:nsid w:val="6EAA85FB"/>
    <w:multiLevelType w:val="hybridMultilevel"/>
    <w:lvl w:ilvl="0">
      <w:lvlJc w:val="left"/>
      <w:lvlText w:val="(%1)"/>
      <w:numFmt w:val="lowerLetter"/>
      <w:start w:val="1"/>
    </w:lvl>
    <w:lvl w:ilvl="1">
      <w:lvlJc w:val="left"/>
      <w:lvlText w:val="(%2)"/>
      <w:numFmt w:val="decimal"/>
      <w:start w:val="1"/>
    </w:lvl>
  </w:abstractNum>
  <w:abstractNum w:abstractNumId="147">
    <w:nsid w:val="3F06ECB2"/>
    <w:multiLevelType w:val="hybridMultilevel"/>
    <w:lvl w:ilvl="0">
      <w:lvlJc w:val="left"/>
      <w:lvlText w:val="%1"/>
      <w:numFmt w:val="lowerLetter"/>
      <w:start w:val="1"/>
    </w:lvl>
    <w:lvl w:ilvl="1">
      <w:lvlJc w:val="left"/>
      <w:lvlText w:val="(%2)"/>
      <w:numFmt w:val="decimal"/>
      <w:start w:val="8"/>
    </w:lvl>
  </w:abstractNum>
  <w:abstractNum w:abstractNumId="148">
    <w:nsid w:val="3B594807"/>
    <w:multiLevelType w:val="hybridMultilevel"/>
    <w:lvl w:ilvl="0">
      <w:lvlJc w:val="left"/>
      <w:lvlText w:val="(%1)"/>
      <w:numFmt w:val="lowerLetter"/>
      <w:start w:val="2"/>
    </w:lvl>
    <w:lvl w:ilvl="1">
      <w:lvlJc w:val="left"/>
      <w:lvlText w:val="%2"/>
      <w:numFmt w:val="decimal"/>
      <w:start w:val="1"/>
    </w:lvl>
  </w:abstractNum>
  <w:abstractNum w:abstractNumId="149">
    <w:nsid w:val="6CAA2304"/>
    <w:multiLevelType w:val="hybridMultilevel"/>
    <w:lvl w:ilvl="0">
      <w:lvlJc w:val="left"/>
      <w:lvlText w:val="(%1)"/>
      <w:numFmt w:val="decimal"/>
      <w:start w:val="1"/>
    </w:lvl>
  </w:abstractNum>
  <w:abstractNum w:abstractNumId="150">
    <w:nsid w:val="3F7C2FF4"/>
    <w:multiLevelType w:val="hybridMultilevel"/>
    <w:lvl w:ilvl="0">
      <w:lvlJc w:val="left"/>
      <w:lvlText w:val="(%1)"/>
      <w:numFmt w:val="decimal"/>
      <w:start w:val="2"/>
    </w:lvl>
  </w:abstractNum>
  <w:abstractNum w:abstractNumId="151">
    <w:nsid w:val="25413BEC"/>
    <w:multiLevelType w:val="hybridMultilevel"/>
    <w:lvl w:ilvl="0">
      <w:lvlJc w:val="left"/>
      <w:lvlText w:val="(%1)"/>
      <w:numFmt w:val="decimal"/>
      <w:start w:val="8"/>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1)"/>
      <w:numFmt w:val="lowerRoman"/>
      <w:start w:val="1"/>
    </w:lvl>
  </w:abstractNum>
  <w:abstractNum w:abstractNumId="155">
    <w:nsid w:val="11CCA8BA"/>
    <w:multiLevelType w:val="hybridMultilevel"/>
    <w:lvl w:ilvl="0">
      <w:lvlJc w:val="left"/>
      <w:lvlText w:val="%1"/>
      <w:numFmt w:val="lowerRoman"/>
      <w:start w:val="1"/>
    </w:lvl>
    <w:lvl w:ilvl="1">
      <w:lvlJc w:val="left"/>
      <w:lvlText w:val="%2."/>
      <w:numFmt w:val="decimal"/>
      <w:start w:val="1"/>
    </w:lvl>
  </w:abstractNum>
  <w:abstractNum w:abstractNumId="156">
    <w:nsid w:val="4D32AB86"/>
    <w:multiLevelType w:val="hybridMultilevel"/>
    <w:lvl w:ilvl="0">
      <w:lvlJc w:val="left"/>
      <w:lvlText w:val="(%1)"/>
      <w:numFmt w:val="lowerRoman"/>
      <w:start w:val="2"/>
    </w:lvl>
    <w:lvl w:ilvl="1">
      <w:lvlJc w:val="left"/>
      <w:lvlText w:val="%2"/>
      <w:numFmt w:val="decimal"/>
      <w:start w:val="1"/>
    </w:lvl>
  </w:abstractNum>
  <w:abstractNum w:abstractNumId="157">
    <w:nsid w:val="3F07ACC3"/>
    <w:multiLevelType w:val="hybridMultilevel"/>
    <w:lvl w:ilvl="0">
      <w:lvlJc w:val="left"/>
      <w:lvlText w:val="%1."/>
      <w:numFmt w:val="decimal"/>
      <w:start w:val="8"/>
    </w:lvl>
  </w:abstractNum>
  <w:abstractNum w:abstractNumId="158">
    <w:nsid w:val="6B47F63E"/>
    <w:multiLevelType w:val="hybridMultilevel"/>
    <w:lvl w:ilvl="0">
      <w:lvlJc w:val="left"/>
      <w:lvlText w:val="(%1)"/>
      <w:numFmt w:val="decimal"/>
      <w:start w:val="1"/>
    </w:lvl>
  </w:abstractNum>
  <w:abstractNum w:abstractNumId="159">
    <w:nsid w:val="5CB44A05"/>
    <w:multiLevelType w:val="hybridMultilevel"/>
    <w:lvl w:ilvl="0">
      <w:lvlJc w:val="left"/>
      <w:lvlText w:val="(%1)"/>
      <w:numFmt w:val="decimal"/>
      <w:start w:val="7"/>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jpe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jpe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jpe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jpeg"/><Relationship Id="rId222" Type="http://schemas.openxmlformats.org/officeDocument/2006/relationships/image" Target="media/image208.jpe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7" Type="http://schemas.openxmlformats.org/officeDocument/2006/relationships/hyperlink" Target="http://www.sec.gov/ix?doc=/Archives/edgar/data/1789972/000119312526183465/cgem-20260427.htm" TargetMode="External"/><Relationship Id="rId28" Type="http://schemas.openxmlformats.org/officeDocument/2006/relationships/hyperlink" Target="http://www.sec.gov/ix?doc=/Archives/edgar/data/1789972/000119312526099362/cgem-20251231.htm" TargetMode="External"/><Relationship Id="rId29" Type="http://schemas.openxmlformats.org/officeDocument/2006/relationships/hyperlink" Target="http://www.sec.gov/ix?doc=/Archives/edgar/data/1789972/000119312526006998/cgem-20260108.htm" TargetMode="External"/><Relationship Id="rId30" Type="http://schemas.openxmlformats.org/officeDocument/2006/relationships/hyperlink" Target="http://www.sec.gov/Archives/edgar/data/1789972/000119312521002768/d83916d8a12b.htm" TargetMode="External"/><Relationship Id="rId31" Type="http://schemas.openxmlformats.org/officeDocument/2006/relationships/hyperlink" Target="http://www.sec.gov/Archives/edgar/data/1789972/000156459021016312/cgem-ex43_384.htm" TargetMode="External"/><Relationship Id="rId32" Type="http://schemas.openxmlformats.org/officeDocument/2006/relationships/hyperlink" Target="http://www.sec.gov/Archives/edgar/data/1789972/000156459021016312/cgem-10k_20201231.htm" TargetMode="External"/><Relationship Id="rId105" Type="http://schemas.openxmlformats.org/officeDocument/2006/relationships/hyperlink" Target="http://www.sec.gov/Archives/edgar/data/1789972/000119312524140544/d82802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2026-04-28T06:54:51Z</dcterms:created>
  <dcterms:modified xsi:type="dcterms:W3CDTF">2026-04-28T06:54:51Z</dcterms:modified>
</cp:coreProperties>
</file>