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Thistle Mary</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Cullinan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CGEM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CULLINAN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ONE MAIN STREET, SUITE 1350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25,319</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25,319</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25,319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represents a right to purchase a total of 25,319 shares of the Issuer's Common Stock, which shall vest in full on the earlier of (i) June 16, 2027 or (ii) the date of the Issuer's next annual meeting, subject to the Reporting Person's continued service as a director on such vesting date.</w:t>
      </w:r>
    </w:p>
    <w:p>
      <w:pPr>
        <w:ind w:left="6600"/>
        <w:spacing w:after="0" w:line="230" w:lineRule="auto"/>
        <w:tabs>
          <w:tab w:leader="none" w:pos="8780" w:val="left"/>
        </w:tabs>
        <w:rPr>
          <w:sz w:val="20"/>
          <w:szCs w:val="20"/>
          <w:color w:val="auto"/>
        </w:rPr>
      </w:pPr>
      <w:r>
        <w:rPr>
          <w:rFonts w:ascii="Times New Roman" w:cs="Times New Roman" w:eastAsia="Times New Roman" w:hAnsi="Times New Roman"/>
          <w:sz w:val="17"/>
          <w:szCs w:val="17"/>
          <w:color w:val="0000FF"/>
        </w:rPr>
        <w:t>/s/ Jacquelyn Sumer, Attorney-</w:t>
      </w:r>
      <w:r>
        <w:rPr>
          <w:sz w:val="20"/>
          <w:szCs w:val="20"/>
          <w:color w:val="auto"/>
        </w:rPr>
        <w:tab/>
      </w:r>
      <w:r>
        <w:rPr>
          <w:rFonts w:ascii="Times New Roman" w:cs="Times New Roman" w:eastAsia="Times New Roman" w:hAnsi="Times New Roman"/>
          <w:sz w:val="25"/>
          <w:szCs w:val="25"/>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17917" TargetMode="External"/><Relationship Id="rId14" Type="http://schemas.openxmlformats.org/officeDocument/2006/relationships/hyperlink" Target="http://www.sec.gov/cgi-bin/browse-edgar?action=getcompany&amp;CIK=0001789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2026-06-18T16:25:01Z</dcterms:created>
  <dcterms:modified xsi:type="dcterms:W3CDTF">2026-06-18T16:25:01Z</dcterms:modified>
</cp:coreProperties>
</file>