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Rosenberg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CULLINAN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MAIN STREET, SUITE 1350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Cullinan Therapeutics, Inc.</w:t>
              </w:r>
            </w:hyperlink>
            <w:r>
              <w:rPr/>
              <w:t xml:space="preserve"> [ </w:t>
            </w:r>
            <w:r>
              <w:rPr>
                <w:rFonts w:ascii="Times;serif" w:hAnsi="Times;serif"/>
                <w:color w:val="0000FF"/>
                <w:sz w:val="24"/>
                <w:shd w:fill="FFFFFF" w:val="clear"/>
              </w:rPr>
              <w:t>CGEM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25,319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25,319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represents a right to purchase a total of 25,319 shares of the Issuer's Common Stock, which shall vest in full on the earlier of (i) June 16, 2027 or (ii) the date of the Issuer's next annual meeting, subject to the Reporting Person's continued service as a director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Jacquelyn Sumer,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6175" TargetMode="External"/><Relationship Id="rId5" Type="http://schemas.openxmlformats.org/officeDocument/2006/relationships/hyperlink" Target="http://www.sec.gov/cgi-bin/browse-edgar?action=getcompany&amp;CIK=00017899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3366</Characters>
  <CharactersWithSpaces>3928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