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CULLINAN ONCOLOGY,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001-39856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81-3879991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Cullinan Oncology,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Main Street, Suite 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410-4650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Trade</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CGEM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10, 2021, Cullinan Oncology, Inc. announced its financial results for the quarter ended June 30, 2021. A copy of the press release is being furnished as Exhibit 99.1 to this Report on Form 8-K.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Item 2.02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5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06"/>
        </w:trPr>
        <w:tc>
          <w:tcPr>
            <w:tcW w:w="880" w:type="dxa"/>
            <w:vAlign w:val="bottom"/>
          </w:tcPr>
          <w:p>
            <w:pPr>
              <w:spacing w:after="0"/>
              <w:rPr>
                <w:sz w:val="20"/>
                <w:szCs w:val="20"/>
                <w:color w:val="auto"/>
              </w:rPr>
            </w:pPr>
            <w:r>
              <w:rPr>
                <w:rFonts w:ascii="Arial" w:cs="Arial" w:eastAsia="Arial" w:hAnsi="Arial"/>
                <w:sz w:val="14"/>
                <w:szCs w:val="14"/>
                <w:color w:val="auto"/>
              </w:rPr>
              <w:t>Exhibits</w:t>
            </w:r>
          </w:p>
        </w:tc>
        <w:tc>
          <w:tcPr>
            <w:tcW w:w="1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3"/>
                <w:szCs w:val="23"/>
                <w:color w:val="auto"/>
              </w:rPr>
            </w:pPr>
          </w:p>
        </w:tc>
        <w:tc>
          <w:tcPr>
            <w:tcW w:w="638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issued by Cullinan Oncology, Inc. on August 10, 2021, furnished herewith.</w:t>
              </w:r>
            </w:hyperlink>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Cover page from this Current Report on Form 8-K, formatted in Inline XBRL</w:t>
            </w:r>
          </w:p>
        </w:tc>
      </w:tr>
    </w:tbl>
    <w:p>
      <w:pPr>
        <w:sectPr>
          <w:pgSz w:w="11900" w:h="16838" w:orient="portrait"/>
          <w:cols w:equalWidth="0" w:num="1">
            <w:col w:w="11000"/>
          </w:cols>
          <w:pgMar w:left="440" w:top="297"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CULLINAN ONCOLOGY,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Trigilio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Trigilio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171450</wp:posOffset>
            </wp:positionV>
            <wp:extent cx="1842770"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Cullinan Oncology Provides Corporate Update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Second Quarter 2021 Financial Results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Follow-up Cullinan Pearl data from Phase 1 portion of ongoing trial showed increased disease control rate (DCR) of 92% in the 100mg dose cohort</w:t>
      </w:r>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IND clearance of two immuno-oncology pipeline programs, Cullinan MICA and Cullinan Florentine, with clinical trial starts for each program expected in 2H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balance sheet with cash and investments of $456.3 million as of June 30, 2021</w:t>
      </w:r>
    </w:p>
    <w:p>
      <w:pPr>
        <w:spacing w:after="0" w:line="22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Cambridge, MA, August 10, 2021 </w:t>
      </w:r>
      <w:r>
        <w:rPr>
          <w:rFonts w:ascii="Arial" w:cs="Arial" w:eastAsia="Arial" w:hAnsi="Arial"/>
          <w:sz w:val="16"/>
          <w:szCs w:val="16"/>
          <w:color w:val="auto"/>
        </w:rPr>
        <w:t>– Cullinan Oncology, Inc. (Nasdaq: CGEM), an oncology company seeking to drive shareholder returns by focusing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patient, today announced its financial results for the second quarter ended June 30, 2021 and reported on recent business highlights.</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“Solid execution led to the advancement of our clinical pipeline this quarter,” stated Owen Hughes, Chief Executive Officer of Cullinan Oncology. “We are pleased with the encouraging results of Cullinan Pearl (EGFR exon 20) showcased at ASCO as well as the recent IND clearance for the first two programs in our immuno-oncology pipeline, Cullinan MICA (MICA/B antibody) and Cullinan Florentine (FLT3 bispecific). With over $456 million of cash and investments on hand, we remain well capitalized to advance our broad pipeline through multiple clinical readouts. In the near term, we expect to provide updated preclinical data on Cullinan Amber at the Next-Gen Cytokine Therapeutics Summit in September as well as a Cullinan Pearl clinical and regulatory update in the fourth quarter.”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Portfolio Highlights</w:t>
      </w:r>
    </w:p>
    <w:p>
      <w:pPr>
        <w:spacing w:after="0" w:line="131" w:lineRule="exact"/>
        <w:rPr>
          <w:sz w:val="20"/>
          <w:szCs w:val="20"/>
          <w:color w:val="auto"/>
        </w:rPr>
      </w:pPr>
    </w:p>
    <w:p>
      <w:pPr>
        <w:ind w:left="420" w:right="60" w:hanging="316"/>
        <w:spacing w:after="0" w:line="282"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Cullinan Pearl:</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interim data at ASCO 2021 from ongoing Phase 1/2a trial evaluating CLN-081 in non-small cell lung cancer (NSCLC)</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epidermal growth factor receptor (EGFR) exon 20 mutations (</w:t>
      </w:r>
      <w:r>
        <w:rPr>
          <w:rFonts w:ascii="Arial" w:cs="Arial" w:eastAsia="Arial" w:hAnsi="Arial"/>
          <w:sz w:val="18"/>
          <w:szCs w:val="18"/>
          <w:u w:val="single" w:color="auto"/>
          <w:color w:val="auto"/>
        </w:rPr>
        <w:t>press release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420" w:hanging="331"/>
        <w:spacing w:after="0"/>
        <w:tabs>
          <w:tab w:leader="none" w:pos="142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Safety</w:t>
      </w:r>
      <w:r>
        <w:rPr>
          <w:rFonts w:ascii="Arial" w:cs="Arial" w:eastAsia="Arial" w:hAnsi="Arial"/>
          <w:sz w:val="17"/>
          <w:szCs w:val="17"/>
          <w:color w:val="auto"/>
        </w:rPr>
        <w:t>: CLN-081 continues to demonstrate promising overall safety and tolerability, with an encouraging GI toxicity profile.</w:t>
      </w:r>
    </w:p>
    <w:p>
      <w:pPr>
        <w:spacing w:after="0" w:line="142" w:lineRule="exact"/>
        <w:rPr>
          <w:rFonts w:ascii="Arial" w:cs="Arial" w:eastAsia="Arial" w:hAnsi="Arial"/>
          <w:sz w:val="17"/>
          <w:szCs w:val="17"/>
          <w:color w:val="auto"/>
        </w:rPr>
      </w:pPr>
    </w:p>
    <w:p>
      <w:pPr>
        <w:ind w:left="1420" w:right="120" w:hanging="331"/>
        <w:spacing w:after="0" w:line="263"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Efficacy</w:t>
      </w:r>
      <w:r>
        <w:rPr>
          <w:rFonts w:ascii="Arial" w:cs="Arial" w:eastAsia="Arial" w:hAnsi="Arial"/>
          <w:sz w:val="18"/>
          <w:szCs w:val="18"/>
          <w:color w:val="auto"/>
        </w:rPr>
        <w:t>: As of the ASCO data cutoff, there were 5 pending partial responses (PR), 4 of which subsequently confirmed. In addition, follow-up data from patients in the 100mg Phase 1 cohort showed the DCR, defined as best response of PR + stable disease ³6 months, increased to 92% (12 / 13 patients).</w:t>
      </w:r>
    </w:p>
    <w:p>
      <w:pPr>
        <w:spacing w:after="0" w:line="89" w:lineRule="exact"/>
        <w:rPr>
          <w:rFonts w:ascii="Arial" w:cs="Arial" w:eastAsia="Arial" w:hAnsi="Arial"/>
          <w:sz w:val="18"/>
          <w:szCs w:val="18"/>
          <w:color w:val="auto"/>
        </w:rPr>
      </w:pPr>
    </w:p>
    <w:p>
      <w:pPr>
        <w:jc w:val="both"/>
        <w:ind w:left="1420" w:right="240" w:hanging="331"/>
        <w:spacing w:after="0" w:line="263"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Phase 1/2a trial status</w:t>
      </w:r>
      <w:r>
        <w:rPr>
          <w:rFonts w:ascii="Arial" w:cs="Arial" w:eastAsia="Arial" w:hAnsi="Arial"/>
          <w:sz w:val="18"/>
          <w:szCs w:val="18"/>
          <w:color w:val="auto"/>
        </w:rPr>
        <w:t>: Cullinan recently completed enrollment of the Phase 2a 100mg expansion cohort (total n=36) and initiated expansion at 150mg (from 7 patients treated to date to 13 total). Cullinan intends to provide a clinical and regulatory update in Q4 2021.</w:t>
      </w:r>
    </w:p>
    <w:p>
      <w:pPr>
        <w:sectPr>
          <w:pgSz w:w="11900" w:h="16838" w:orient="portrait"/>
          <w:cols w:equalWidth="0" w:num="1">
            <w:col w:w="11020"/>
          </w:cols>
          <w:pgMar w:left="440" w:top="121" w:right="439" w:bottom="1440" w:gutter="0" w:footer="0" w:header="0"/>
        </w:sectPr>
      </w:pPr>
    </w:p>
    <w:bookmarkStart w:id="4" w:name="page5"/>
    <w:bookmarkEnd w:id="4"/>
    <w:p>
      <w:pPr>
        <w:ind w:left="420" w:right="40" w:hanging="316"/>
        <w:spacing w:after="0" w:line="277"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Cullinan MICA:</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U.S. Food and Drug Administration (FDA) clearance of Investigational New Drug application (IND) for CLN-619, a</w:t>
      </w:r>
      <w:r>
        <w:rPr>
          <w:rFonts w:ascii="Arial" w:cs="Arial" w:eastAsia="Arial" w:hAnsi="Arial"/>
          <w:sz w:val="17"/>
          <w:szCs w:val="17"/>
          <w:b w:val="1"/>
          <w:bCs w:val="1"/>
          <w:color w:val="auto"/>
        </w:rPr>
        <w:t xml:space="preserve"> </w:t>
      </w:r>
      <w:r>
        <w:rPr>
          <w:rFonts w:ascii="Arial" w:cs="Arial" w:eastAsia="Arial" w:hAnsi="Arial"/>
          <w:sz w:val="17"/>
          <w:szCs w:val="17"/>
          <w:color w:val="auto"/>
        </w:rPr>
        <w:t>novel MICA/B-targeted antibody for the treatment of solid tumors (</w:t>
      </w:r>
      <w:r>
        <w:rPr>
          <w:rFonts w:ascii="Arial" w:cs="Arial" w:eastAsia="Arial" w:hAnsi="Arial"/>
          <w:sz w:val="17"/>
          <w:szCs w:val="17"/>
          <w:u w:val="single" w:color="auto"/>
          <w:color w:val="auto"/>
        </w:rPr>
        <w:t>press release</w:t>
      </w:r>
      <w:r>
        <w:rPr>
          <w:rFonts w:ascii="Arial" w:cs="Arial" w:eastAsia="Arial" w:hAnsi="Arial"/>
          <w:sz w:val="17"/>
          <w:szCs w:val="17"/>
          <w:color w:val="auto"/>
        </w:rPr>
        <w:t>). CLN-619 is a first-in-class monoclonal antibody designed to promote an antitumor response by engaging both natural killer (NK) and T cells through the MICA/B–NKG2D axis, with therapeutic potential for both solid and liquid tumor indications. Cullinan intends to initiate a first-in-human (FIH) trial of CLN-619 in 2H 2021, including a dose escalation cohort followed by dose expansion cohorts as a monotherapy and in combination with checkpoint inhibitor therapy.</w:t>
      </w:r>
    </w:p>
    <w:p>
      <w:pPr>
        <w:spacing w:after="0" w:line="73" w:lineRule="exact"/>
        <w:rPr>
          <w:rFonts w:ascii="Arial" w:cs="Arial" w:eastAsia="Arial" w:hAnsi="Arial"/>
          <w:sz w:val="17"/>
          <w:szCs w:val="17"/>
          <w:color w:val="auto"/>
        </w:rPr>
      </w:pPr>
    </w:p>
    <w:p>
      <w:pPr>
        <w:ind w:left="420" w:right="100" w:hanging="316"/>
        <w:spacing w:after="0" w:line="303"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Cullinan Florentine:</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FDA clearance of IND for CLN-049, a FLT3 x CD3 bispecific antibody for the treatment of relapsed/refractory</w:t>
      </w:r>
      <w:r>
        <w:rPr>
          <w:rFonts w:ascii="Arial" w:cs="Arial" w:eastAsia="Arial" w:hAnsi="Arial"/>
          <w:sz w:val="16"/>
          <w:szCs w:val="16"/>
          <w:b w:val="1"/>
          <w:bCs w:val="1"/>
          <w:color w:val="auto"/>
        </w:rPr>
        <w:t xml:space="preserve"> </w:t>
      </w:r>
      <w:r>
        <w:rPr>
          <w:rFonts w:ascii="Arial" w:cs="Arial" w:eastAsia="Arial" w:hAnsi="Arial"/>
          <w:sz w:val="16"/>
          <w:szCs w:val="16"/>
          <w:color w:val="auto"/>
        </w:rPr>
        <w:t>acute myeloid leukemia (AML) (press release). CLN-049 is designed to simultaneously bind to FLT3 on target leukemic cells and to CD3 on T cells, triggering the T cells to kill the targeted cancer cells via their intrinsic cytolytic mechanisms. Studies have shown that FLT3 is expressed on AML blasts in over 75% of AML patients, regardless of FLT3 mutational status. Cullinan intends to initiate a FIH trial of CLN-049 in 2H 2021.</w:t>
      </w:r>
    </w:p>
    <w:p>
      <w:pPr>
        <w:spacing w:after="0" w:line="56" w:lineRule="exact"/>
        <w:rPr>
          <w:rFonts w:ascii="Arial" w:cs="Arial" w:eastAsia="Arial" w:hAnsi="Arial"/>
          <w:sz w:val="16"/>
          <w:szCs w:val="16"/>
          <w:color w:val="auto"/>
        </w:rPr>
      </w:pPr>
    </w:p>
    <w:p>
      <w:pPr>
        <w:ind w:left="420" w:right="40" w:hanging="316"/>
        <w:spacing w:after="0" w:line="26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Cullinan Amber: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progress towards final candidate selection for CLN-617, a fusion protein combining two potent antitumor cytokines,</w:t>
      </w:r>
      <w:r>
        <w:rPr>
          <w:rFonts w:ascii="Arial" w:cs="Arial" w:eastAsia="Arial" w:hAnsi="Arial"/>
          <w:sz w:val="18"/>
          <w:szCs w:val="18"/>
          <w:b w:val="1"/>
          <w:bCs w:val="1"/>
          <w:color w:val="auto"/>
        </w:rPr>
        <w:t xml:space="preserve"> </w:t>
      </w:r>
      <w:r>
        <w:rPr>
          <w:rFonts w:ascii="Arial" w:cs="Arial" w:eastAsia="Arial" w:hAnsi="Arial"/>
          <w:sz w:val="18"/>
          <w:szCs w:val="18"/>
          <w:color w:val="auto"/>
        </w:rPr>
        <w:t>IL-2 and IL-12, in a single molecule with a collagen-binding tumor retention domain for the treatment of solid tumors. IND-enabling studies are planned to commence in the 2H 2021.</w:t>
      </w:r>
    </w:p>
    <w:p>
      <w:pPr>
        <w:spacing w:after="0" w:line="81" w:lineRule="exact"/>
        <w:rPr>
          <w:rFonts w:ascii="Arial" w:cs="Arial" w:eastAsia="Arial" w:hAnsi="Arial"/>
          <w:sz w:val="18"/>
          <w:szCs w:val="18"/>
          <w:color w:val="auto"/>
        </w:rPr>
      </w:pPr>
    </w:p>
    <w:p>
      <w:pPr>
        <w:ind w:left="420" w:right="20" w:hanging="316"/>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Cullinan NexGem: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to progress CLN-978, an internally developed half-life extended T cell engager designed to simultaneously engage</w:t>
      </w:r>
      <w:r>
        <w:rPr>
          <w:rFonts w:ascii="Arial" w:cs="Arial" w:eastAsia="Arial" w:hAnsi="Arial"/>
          <w:sz w:val="18"/>
          <w:szCs w:val="18"/>
          <w:b w:val="1"/>
          <w:bCs w:val="1"/>
          <w:color w:val="auto"/>
        </w:rPr>
        <w:t xml:space="preserve"> </w:t>
      </w:r>
      <w:r>
        <w:rPr>
          <w:rFonts w:ascii="Arial" w:cs="Arial" w:eastAsia="Arial" w:hAnsi="Arial"/>
          <w:sz w:val="18"/>
          <w:szCs w:val="18"/>
          <w:color w:val="auto"/>
        </w:rPr>
        <w:t>CD19 and CD3, through IND-enabling development.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Financial Results</w:t>
      </w:r>
    </w:p>
    <w:p>
      <w:pPr>
        <w:spacing w:after="0" w:line="131" w:lineRule="exact"/>
        <w:rPr>
          <w:sz w:val="20"/>
          <w:szCs w:val="20"/>
          <w:color w:val="auto"/>
        </w:rPr>
      </w:pPr>
    </w:p>
    <w:p>
      <w:pPr>
        <w:ind w:left="420" w:right="360" w:hanging="316"/>
        <w:spacing w:after="0" w:line="282"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investments were $456.3 million as of June 30, 2021, compared to $473.0 million as of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Net cash used in operating activities for the second quarter of 2021 was $16.4 million.</w:t>
      </w:r>
    </w:p>
    <w:p>
      <w:pPr>
        <w:spacing w:after="0" w:line="67" w:lineRule="exact"/>
        <w:rPr>
          <w:rFonts w:ascii="Arial" w:cs="Arial" w:eastAsia="Arial" w:hAnsi="Arial"/>
          <w:sz w:val="18"/>
          <w:szCs w:val="18"/>
          <w:color w:val="auto"/>
        </w:rPr>
      </w:pPr>
    </w:p>
    <w:p>
      <w:pPr>
        <w:ind w:left="420" w:right="240" w:hanging="316"/>
        <w:spacing w:after="0" w:line="281"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(R&amp;D) expenses were $11.8 million for the second quarter of 2021, including $2.3 million of</w:t>
      </w:r>
      <w:r>
        <w:rPr>
          <w:rFonts w:ascii="Arial" w:cs="Arial" w:eastAsia="Arial" w:hAnsi="Arial"/>
          <w:sz w:val="17"/>
          <w:szCs w:val="17"/>
          <w:b w:val="1"/>
          <w:bCs w:val="1"/>
          <w:color w:val="auto"/>
        </w:rPr>
        <w:t xml:space="preserve"> </w:t>
      </w:r>
      <w:r>
        <w:rPr>
          <w:rFonts w:ascii="Arial" w:cs="Arial" w:eastAsia="Arial" w:hAnsi="Arial"/>
          <w:sz w:val="17"/>
          <w:szCs w:val="17"/>
          <w:color w:val="auto"/>
        </w:rPr>
        <w:t>non-cash equity-based compensation expense, compared to $12.5 million for the second quarter of 2020. The decrease in R&amp;D expenses is primarily related to a non-recurring non-cash charge related to the MICA acquisition in the second quarter of 2020, partially offset by increased expenses from headcount growth as well as expanded clinical and CMC activity from other portfolio programs.</w:t>
      </w:r>
    </w:p>
    <w:p>
      <w:pPr>
        <w:spacing w:after="0" w:line="70" w:lineRule="exact"/>
        <w:rPr>
          <w:rFonts w:ascii="Arial" w:cs="Arial" w:eastAsia="Arial" w:hAnsi="Arial"/>
          <w:sz w:val="17"/>
          <w:szCs w:val="17"/>
          <w:color w:val="auto"/>
        </w:rPr>
      </w:pPr>
    </w:p>
    <w:p>
      <w:pPr>
        <w:jc w:val="both"/>
        <w:ind w:left="420" w:right="660" w:hanging="316"/>
        <w:spacing w:after="0" w:line="289"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(G&amp;A) expenses were $4.8 million for the second quarter of 2021, including $1.9 million of</w:t>
      </w:r>
      <w:r>
        <w:rPr>
          <w:rFonts w:ascii="Arial" w:cs="Arial" w:eastAsia="Arial" w:hAnsi="Arial"/>
          <w:sz w:val="17"/>
          <w:szCs w:val="17"/>
          <w:b w:val="1"/>
          <w:bCs w:val="1"/>
          <w:color w:val="auto"/>
        </w:rPr>
        <w:t xml:space="preserve"> </w:t>
      </w:r>
      <w:r>
        <w:rPr>
          <w:rFonts w:ascii="Arial" w:cs="Arial" w:eastAsia="Arial" w:hAnsi="Arial"/>
          <w:sz w:val="17"/>
          <w:szCs w:val="17"/>
          <w:color w:val="auto"/>
        </w:rPr>
        <w:t>non-cash equity-based compensation expense, compared to $1.6 million for the second quarter of 2020. The increase in G&amp;A expenses is primarily related to headcount growth as well as additional costs associated with operations as a public company.</w:t>
      </w:r>
    </w:p>
    <w:p>
      <w:pPr>
        <w:spacing w:after="0" w:line="63" w:lineRule="exact"/>
        <w:rPr>
          <w:rFonts w:ascii="Arial" w:cs="Arial" w:eastAsia="Arial" w:hAnsi="Arial"/>
          <w:sz w:val="17"/>
          <w:szCs w:val="17"/>
          <w:color w:val="auto"/>
        </w:rPr>
      </w:pPr>
    </w:p>
    <w:p>
      <w:pPr>
        <w:ind w:left="420" w:hanging="316"/>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The Company’s net loss (before items attributable to noncontrolling interest) was $16.4 million for the second quarter of 2021,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$13.9 million for the second quarter of 2020, driven predominantly by increases in costs associated with public company operations and non-cash equity-based compensation expenses.</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Cullinan Oncology</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Cullinan Oncology is a biopharmaceutical company that strives to deliver results for our various stakeholders through disciplined capital allocation, decisive action, prudent risk taking and creative business development. We seek to drive shareholder returns by focusing on the patient. The Company’s strategy is to build a diversified pipeline of targeted and immuno-oncology therapeutic candidates that are uncorrelated across multiple dimensions, with a focus on assets that it believes have novel technology, employ differentiated mechanisms, are in a more advanced stage of development than competing candidates, or have a combination of these attributes. Learn more about Cullinan at </w:t>
      </w:r>
      <w:r>
        <w:rPr>
          <w:rFonts w:ascii="Arial" w:cs="Arial" w:eastAsia="Arial" w:hAnsi="Arial"/>
          <w:sz w:val="16"/>
          <w:szCs w:val="16"/>
          <w:u w:val="single" w:color="auto"/>
          <w:color w:val="auto"/>
        </w:rPr>
        <w:t>www.cullinanoncology.com</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press release contains forward-looking statements. These forward-looking statements include, but are not limited to, express or implied statements regarding Cullinan’s beliefs and expectations regarding our preclinical and clinical development plans, clinical trial designs, clinical and therapeutic potential, and strategy of our product candidates, including but not limited to: the timing and success of our planned preclinical and clinical development of our programs, including for CLN-081, CLN-619, and CLN-049, and the timing and success of our planned regulatory submissions; our expectations and beliefs around the safety and activity of CLN-081 in our Phase 1/2a trial in patients with NSCLC harboring EGFRex20ins mutations that have had at least one prior treatment; our ability to evaluate strategic opportunities to accelerate development timelines; the presentation of additional data at upcoming scientific conferences in 2021; our ability to optimize the impact of our collaborations and license agreements with external parties; our ability to continue our growth; and our expectations regarding our use of capital.</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expressed or implied by the forward-looking statements. These risks include, but are not limited to, the following: uncertainty regarding the timing and results of regulatory submissions; success of our clinical trials and preclinical studies; risks related to our ability to protect and maintain our intellectual property position; risks related to manufacturing, supply, and distribution of our therapeutic candidates; risks related to the impact of COVID-19 affecting countries or regions in which we have operations or do business, including potential negative impacts on our employees, customers, supply chain and production as well as global economies and financial markets; the risk that any one or more of our product candidates, including those that are co-developed, will not be successfully developed and commercialized; the risk that the results of preclinical studies or clinical studies will not be predictive of future results in connection with future studies; and success of any collaboration, partnership, license or similar agreements. These and other important risks and uncertainties discussed in our filings with the Securities and Exchange Commission (SEC),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Cullinan nor any other person assumes responsibility for the accuracy and completeness of the forward-looking statements included in this press release. Any forward-looking statement included in this press release speaks only as of the date on which it was made.</w:t>
      </w:r>
    </w:p>
    <w:p>
      <w:pPr>
        <w:sectPr>
          <w:pgSz w:w="11900" w:h="16838" w:orient="portrait"/>
          <w:cols w:equalWidth="0" w:num="1">
            <w:col w:w="11000"/>
          </w:cols>
          <w:pgMar w:left="440" w:top="270"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Cullinan Oncology,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8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168,198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123,670</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42,008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213,035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7,762</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212,278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344,467</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119,637</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214,708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464,353</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4,233</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0"/>
                <w:szCs w:val="20"/>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$0.0001 par value, 34,900,878 and 150,000,000 shares authorized as of December 31, 2020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June 30, 2021, respectively; 29,831,125 and 43,526,224 shares issued and outstanding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June 30, 2021, respectively.</w:t>
            </w: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292,348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564,705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(93,339)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(109,045)</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Cullinan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455,549</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0"/>
                <w:szCs w:val="20"/>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458,540</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214,708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464,353</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Cullinan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16,669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4,826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2,994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16,604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34,175</w:t>
            </w:r>
          </w:p>
        </w:tc>
        <w:tc>
          <w:tcPr>
            <w:tcW w:w="0" w:type="dxa"/>
            <w:vAlign w:val="bottom"/>
          </w:tcPr>
          <w:p>
            <w:pPr>
              <w:spacing w:after="0"/>
              <w:rPr>
                <w:sz w:val="1"/>
                <w:szCs w:val="1"/>
                <w:color w:val="auto"/>
              </w:rPr>
            </w:pPr>
          </w:p>
        </w:tc>
      </w:tr>
      <w:tr>
        <w:trPr>
          <w:trHeight w:val="223"/>
        </w:trPr>
        <w:tc>
          <w:tcPr>
            <w:tcW w:w="590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income/(loss) attributable to noncontrolling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loss attributable to common stockholders of Cullinan</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w w:val="98"/>
              </w:rPr>
              <w:t>Total weighted-average shares used in computing net loss per share, basic</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19,619,748</w:t>
            </w:r>
          </w:p>
        </w:tc>
        <w:tc>
          <w:tcPr>
            <w:tcW w:w="100" w:type="dxa"/>
            <w:vAlign w:val="bottom"/>
          </w:tcPr>
          <w:p>
            <w:pPr>
              <w:spacing w:after="0"/>
              <w:rPr>
                <w:sz w:val="20"/>
                <w:szCs w:val="20"/>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w w:val="86"/>
              </w:rPr>
              <w:t>43,295,372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w w:val="86"/>
              </w:rPr>
              <w:t>19,115,380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42,713,059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(13,875)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(16,439)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(19,038)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gain/(loss) on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income/(loss) attributable to noncontrolling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Comprehensive loss attributable to Cullinan</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investors@cullinanoncology.com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Jeffrey Trigilio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+1 617.410.4650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jtrigilio@cullinanoncology.com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2021-08-10T06:06:02Z</dcterms:created>
  <dcterms:modified xsi:type="dcterms:W3CDTF">2021-08-10T06:06:02Z</dcterms:modified>
</cp:coreProperties>
</file>