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534035</wp:posOffset>
            </wp:positionH>
            <wp:positionV relativeFrom="page">
              <wp:posOffset>568960</wp:posOffset>
            </wp:positionV>
            <wp:extent cx="68065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17145"/>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20" w:right="1600" w:hanging="3812"/>
        <w:spacing w:after="0" w:line="326" w:lineRule="auto"/>
        <w:tabs>
          <w:tab w:leader="none" w:pos="47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ind w:left="460" w:hanging="452"/>
        <w:spacing w:after="0" w:line="186" w:lineRule="auto"/>
        <w:tabs>
          <w:tab w:leader="none" w:pos="460" w:val="left"/>
        </w:tabs>
        <w:numPr>
          <w:ilvl w:val="0"/>
          <w:numId w:val="2"/>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TRANSITION REPORT PURSUANT TO SECTION 13 OR 15(d) OF THE SECURITIES EXCHANGE ACT OF 1934 FOR THE</w:t>
      </w:r>
    </w:p>
    <w:p>
      <w:pPr>
        <w:spacing w:after="0" w:line="199" w:lineRule="exact"/>
        <w:rPr>
          <w:sz w:val="24"/>
          <w:szCs w:val="24"/>
          <w:color w:val="auto"/>
        </w:rPr>
      </w:pPr>
    </w:p>
    <w:p>
      <w:pPr>
        <w:ind w:left="46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001-39856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CULLINAN THERAPEUTICS, INC.</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tbl>
      <w:tblPr>
        <w:tblLayout w:type="fixed"/>
        <w:tblInd w:w="1660" w:type="dxa"/>
        <w:tblCellMar>
          <w:top w:w="0" w:type="dxa"/>
          <w:left w:w="0" w:type="dxa"/>
          <w:bottom w:w="0" w:type="dxa"/>
          <w:right w:w="0" w:type="dxa"/>
        </w:tblCellMar>
      </w:tblPr>
      <w:tr>
        <w:trPr>
          <w:trHeight w:val="216"/>
        </w:trPr>
        <w:tc>
          <w:tcPr>
            <w:tcW w:w="2840" w:type="dxa"/>
            <w:vAlign w:val="bottom"/>
          </w:tcPr>
          <w:p>
            <w:pPr>
              <w:jc w:val="center"/>
              <w:ind w:right="45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6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81-3879991</w:t>
            </w:r>
          </w:p>
        </w:tc>
      </w:tr>
      <w:tr>
        <w:trPr>
          <w:trHeight w:val="148"/>
        </w:trPr>
        <w:tc>
          <w:tcPr>
            <w:tcW w:w="2840" w:type="dxa"/>
            <w:vAlign w:val="bottom"/>
          </w:tcPr>
          <w:p>
            <w:pPr>
              <w:jc w:val="center"/>
              <w:ind w:right="45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4460" w:type="dxa"/>
            <w:vAlign w:val="bottom"/>
          </w:tcPr>
          <w:p>
            <w:pPr>
              <w:jc w:val="center"/>
              <w:ind w:left="3319"/>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840" w:type="dxa"/>
            <w:vAlign w:val="bottom"/>
          </w:tcPr>
          <w:p>
            <w:pPr>
              <w:jc w:val="center"/>
              <w:ind w:right="45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460" w:type="dxa"/>
            <w:vAlign w:val="bottom"/>
          </w:tcPr>
          <w:p>
            <w:pPr>
              <w:jc w:val="center"/>
              <w:ind w:left="3319"/>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58"/>
        </w:trPr>
        <w:tc>
          <w:tcPr>
            <w:tcW w:w="2840" w:type="dxa"/>
            <w:vAlign w:val="bottom"/>
          </w:tcPr>
          <w:p>
            <w:pPr>
              <w:jc w:val="center"/>
              <w:ind w:right="478"/>
              <w:spacing w:after="0"/>
              <w:rPr>
                <w:sz w:val="20"/>
                <w:szCs w:val="20"/>
                <w:color w:val="auto"/>
              </w:rPr>
            </w:pPr>
            <w:r>
              <w:rPr>
                <w:rFonts w:ascii="Times New Roman" w:cs="Times New Roman" w:eastAsia="Times New Roman" w:hAnsi="Times New Roman"/>
                <w:sz w:val="18"/>
                <w:szCs w:val="18"/>
                <w:b w:val="1"/>
                <w:bCs w:val="1"/>
                <w:color w:val="auto"/>
                <w:w w:val="99"/>
              </w:rPr>
              <w:t>One Main Street</w:t>
            </w:r>
          </w:p>
        </w:tc>
        <w:tc>
          <w:tcPr>
            <w:tcW w:w="4460" w:type="dxa"/>
            <w:vAlign w:val="bottom"/>
          </w:tcPr>
          <w:p>
            <w:pPr>
              <w:spacing w:after="0"/>
              <w:rPr>
                <w:sz w:val="22"/>
                <w:szCs w:val="22"/>
                <w:color w:val="auto"/>
              </w:rPr>
            </w:pPr>
          </w:p>
        </w:tc>
      </w:tr>
      <w:tr>
        <w:trPr>
          <w:trHeight w:val="216"/>
        </w:trPr>
        <w:tc>
          <w:tcPr>
            <w:tcW w:w="2840" w:type="dxa"/>
            <w:vAlign w:val="bottom"/>
          </w:tcPr>
          <w:p>
            <w:pPr>
              <w:jc w:val="center"/>
              <w:ind w:right="458"/>
              <w:spacing w:after="0"/>
              <w:rPr>
                <w:sz w:val="20"/>
                <w:szCs w:val="20"/>
                <w:color w:val="auto"/>
              </w:rPr>
            </w:pPr>
            <w:r>
              <w:rPr>
                <w:rFonts w:ascii="Times New Roman" w:cs="Times New Roman" w:eastAsia="Times New Roman" w:hAnsi="Times New Roman"/>
                <w:sz w:val="18"/>
                <w:szCs w:val="18"/>
                <w:b w:val="1"/>
                <w:bCs w:val="1"/>
                <w:color w:val="auto"/>
                <w:w w:val="98"/>
              </w:rPr>
              <w:t>Suite 1350</w:t>
            </w:r>
          </w:p>
        </w:tc>
        <w:tc>
          <w:tcPr>
            <w:tcW w:w="4460" w:type="dxa"/>
            <w:vAlign w:val="bottom"/>
          </w:tcPr>
          <w:p>
            <w:pPr>
              <w:spacing w:after="0"/>
              <w:rPr>
                <w:sz w:val="18"/>
                <w:szCs w:val="18"/>
                <w:color w:val="auto"/>
              </w:rPr>
            </w:pPr>
          </w:p>
        </w:tc>
      </w:tr>
      <w:tr>
        <w:trPr>
          <w:trHeight w:val="216"/>
        </w:trPr>
        <w:tc>
          <w:tcPr>
            <w:tcW w:w="2840" w:type="dxa"/>
            <w:vAlign w:val="bottom"/>
          </w:tcPr>
          <w:p>
            <w:pPr>
              <w:jc w:val="center"/>
              <w:ind w:right="458"/>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4460" w:type="dxa"/>
            <w:vAlign w:val="bottom"/>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88"/>
        </w:trPr>
        <w:tc>
          <w:tcPr>
            <w:tcW w:w="2840" w:type="dxa"/>
            <w:vAlign w:val="bottom"/>
          </w:tcPr>
          <w:p>
            <w:pPr>
              <w:jc w:val="center"/>
              <w:ind w:right="45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460" w:type="dxa"/>
            <w:vAlign w:val="bottom"/>
          </w:tcPr>
          <w:p>
            <w:pPr>
              <w:jc w:val="center"/>
              <w:ind w:left="3299"/>
              <w:spacing w:after="0"/>
              <w:rPr>
                <w:sz w:val="20"/>
                <w:szCs w:val="20"/>
                <w:color w:val="auto"/>
              </w:rPr>
            </w:pPr>
            <w:r>
              <w:rPr>
                <w:rFonts w:ascii="Times New Roman" w:cs="Times New Roman" w:eastAsia="Times New Roman" w:hAnsi="Times New Roman"/>
                <w:sz w:val="14"/>
                <w:szCs w:val="14"/>
                <w:color w:val="auto"/>
              </w:rPr>
              <w:t>(Zip Code)</w:t>
            </w:r>
          </w:p>
        </w:tc>
      </w:tr>
      <w:tr>
        <w:trPr>
          <w:trHeight w:val="267"/>
        </w:trPr>
        <w:tc>
          <w:tcPr>
            <w:tcW w:w="2840" w:type="dxa"/>
            <w:vAlign w:val="bottom"/>
          </w:tcPr>
          <w:p>
            <w:pPr>
              <w:spacing w:after="0"/>
              <w:rPr>
                <w:sz w:val="23"/>
                <w:szCs w:val="23"/>
                <w:color w:val="auto"/>
              </w:rPr>
            </w:pPr>
          </w:p>
        </w:tc>
        <w:tc>
          <w:tcPr>
            <w:tcW w:w="4460" w:type="dxa"/>
            <w:vAlign w:val="bottom"/>
          </w:tcPr>
          <w:p>
            <w:pPr>
              <w:jc w:val="right"/>
              <w:ind w:right="2699"/>
              <w:spacing w:after="0"/>
              <w:rPr>
                <w:sz w:val="20"/>
                <w:szCs w:val="20"/>
                <w:color w:val="auto"/>
              </w:rPr>
            </w:pPr>
            <w:r>
              <w:rPr>
                <w:rFonts w:ascii="Times New Roman" w:cs="Times New Roman" w:eastAsia="Times New Roman" w:hAnsi="Times New Roman"/>
                <w:sz w:val="18"/>
                <w:szCs w:val="18"/>
                <w:b w:val="1"/>
                <w:bCs w:val="1"/>
                <w:color w:val="auto"/>
              </w:rPr>
              <w:t>(617) 410-4650</w:t>
            </w:r>
          </w:p>
        </w:tc>
      </w:tr>
    </w:tbl>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0" w:type="dxa"/>
            <w:vAlign w:val="bottom"/>
          </w:tcPr>
          <w:p>
            <w:pPr>
              <w:spacing w:after="0"/>
              <w:rPr>
                <w:sz w:val="15"/>
                <w:szCs w:val="15"/>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CGEM</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1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1"/>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0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86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outstanding as of April 30, 2026 was 61,458,046.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948055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6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9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40" w:type="dxa"/>
            <w:vAlign w:val="bottom"/>
            <w:vMerge w:val="continue"/>
          </w:tcPr>
          <w:p>
            <w:pPr>
              <w:spacing w:after="0"/>
              <w:rPr>
                <w:sz w:val="16"/>
                <w:szCs w:val="16"/>
                <w:color w:val="auto"/>
              </w:rPr>
            </w:pPr>
          </w:p>
        </w:tc>
        <w:tc>
          <w:tcPr>
            <w:tcW w:w="9260" w:type="dxa"/>
            <w:vAlign w:val="bottom"/>
            <w:gridSpan w:val="14"/>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9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Income (Loss)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4940" w:type="dxa"/>
            <w:vAlign w:val="bottom"/>
            <w:tcBorders>
              <w:left w:val="single" w:sz="8" w:color="0000FF"/>
            </w:tcBorders>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6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9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696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52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96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520" w:type="dxa"/>
            <w:vAlign w:val="bottom"/>
            <w:gridSpan w:val="1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which are made pursuant to the safe harbor provisions of Section 27A of the Securities Act of 1933, as amended, and Section 21E of the Securities Exchange Act of 1934, as amended, that involve risks, uncertainties, and other factors that may cause actual results, levels of activity, performance, or achievements to be materially different from the information expressed or implied by these forward-looking statements. All statements, other than statements of historical facts, contained in this Quarterly Report on Form 10-Q,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in our Annual Report on Form 10-K for the year ended December 31, 2025 (the "2025 10-K") and other filings with the Securities and Exchange Commission (the “SEC”), including the following:</w:t>
      </w:r>
    </w:p>
    <w:p>
      <w:pPr>
        <w:spacing w:after="0" w:line="79"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cost of development, and timing of the approval of our clinical-stage product candidates;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clinical trials and related preparatory work, and the period during which the results of the trials will become available;</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submit, and obtain clearance of, any global regulatory filings, including new drug applications or investigational new drug applications, on our expected timelines, or at all;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recruit, and enroll patients in and conduct our clinical trials at the pace that we project;</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or warnings in the label of any of our product candidates, if approved;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governmental legislation and regulations, including adverse effects from any potential future United States government shutdown;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global economic conditions, including uncertainties related to international trade policies, tariffs and supply chain dynamics, on our business and operations, including our expenses, supply chain, manufacturing processes, preclinical studies, and clinical trials;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companies currently marketing therapies or developing product candidates with targets or indications similar to our product candidates’ targets or indications;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clinical trials and to manufacture drug substance and drug product for use in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any of our current and future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advance through clinical development any additional product candidates;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current and future product candidates, if approved, including our ability to successfully build a specialty sales force and commercial infrastructure to market our current and future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research priorities and apply a risk-mitigated strategy to efficiently discover and develop current and future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recruit key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adequate intellectual property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third-party payor coverage, pricing, and reimbursement;</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capital requirements, the sufficiency of our current resources, and our needs for or ability to obtain additional financing;</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milestone payments that we may receive from Taiho Pharmaceutical Co., Ltd.;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investments in our pipeline and the potential for such product candidates;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additional strategic collaborations or arrangements, and our ability to attract collaborators with development, regulatory, and commercialization expertise;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or our industry.</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These factors are discussed more fully in our 2025 10-K and elsewhere in this Quarterly Report on Form 10-Q and other reports we file with the SEC. We may not actually achieve the plans, intentions, or expectations disclosed in our forward-looking statements, and investors should not place undue reliance on our forward-looking statements. Actual results or events could differ materially from the plans, intentions, and expectations disclosed in the forward-looking statements we make. Our forward-looking statements do not reflect the potential impact of any future acquisitions, mergers, dispositions, joint ventures, or investments we may make or collaborations or strategic partnerships we may enter into.</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herein and have filed or incorporated by reference as exhibits hereto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titled “Risk Factors” in our 2025 10-K and elsewhere in this Quarterly Report on Form 10-Q.</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CULLINAN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75,081</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88,332</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289,564</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386,756</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58,270</w:t>
            </w:r>
          </w:p>
        </w:tc>
        <w:tc>
          <w:tcPr>
            <w:tcW w:w="100" w:type="dxa"/>
            <w:vAlign w:val="bottom"/>
          </w:tcPr>
          <w:p>
            <w:pPr>
              <w:spacing w:after="0"/>
              <w:rPr>
                <w:sz w:val="18"/>
                <w:szCs w:val="18"/>
                <w:color w:val="auto"/>
              </w:rPr>
            </w:pPr>
          </w:p>
        </w:tc>
      </w:tr>
      <w:tr>
        <w:trPr>
          <w:trHeight w:val="250"/>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402,984</w:t>
            </w:r>
          </w:p>
        </w:tc>
        <w:tc>
          <w:tcPr>
            <w:tcW w:w="18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448,374</w:t>
            </w:r>
          </w:p>
        </w:tc>
        <w:tc>
          <w:tcPr>
            <w:tcW w:w="100" w:type="dxa"/>
            <w:vAlign w:val="bottom"/>
            <w:shd w:val="clear" w:color="auto" w:fill="CFF0FC"/>
          </w:tcPr>
          <w:p>
            <w:pPr>
              <w:spacing w:after="0"/>
              <w:rPr>
                <w:sz w:val="21"/>
                <w:szCs w:val="21"/>
                <w:color w:val="auto"/>
              </w:rPr>
            </w:pPr>
          </w:p>
        </w:tc>
      </w:tr>
      <w:tr>
        <w:trPr>
          <w:trHeight w:val="197"/>
        </w:trPr>
        <w:tc>
          <w:tcPr>
            <w:tcW w:w="75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8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31,920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8"/>
                <w:szCs w:val="18"/>
                <w:color w:val="auto"/>
              </w:rPr>
            </w:pPr>
          </w:p>
        </w:tc>
      </w:tr>
      <w:tr>
        <w:trPr>
          <w:trHeight w:val="210"/>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37,741</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39,644</w:t>
            </w:r>
          </w:p>
        </w:tc>
        <w:tc>
          <w:tcPr>
            <w:tcW w:w="100" w:type="dxa"/>
            <w:vAlign w:val="bottom"/>
          </w:tcPr>
          <w:p>
            <w:pPr>
              <w:spacing w:after="0"/>
              <w:rPr>
                <w:sz w:val="18"/>
                <w:szCs w:val="18"/>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as of March 31, 2026 and</w:t>
            </w: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2025; 481,989 and 555,935 shares issued and outstanding as of March 31, 2026 and</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150,000,000 shares authorized as of March 31, 2026 and</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2025; 61,451,380 and 60,244,136 shares issued and outstanding as of March 31,</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 and December 31, 2025, respectively</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1,003,819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995,823</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(637,780)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(588,119)</w:t>
            </w:r>
          </w:p>
        </w:tc>
      </w:tr>
      <w:tr>
        <w:trPr>
          <w:trHeight w:val="210"/>
        </w:trPr>
        <w:tc>
          <w:tcPr>
            <w:tcW w:w="75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366,172</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408,730</w:t>
            </w:r>
          </w:p>
        </w:tc>
        <w:tc>
          <w:tcPr>
            <w:tcW w:w="100" w:type="dxa"/>
            <w:vAlign w:val="bottom"/>
            <w:tcBorders>
              <w:top w:val="single" w:sz="8" w:color="CFF0FC"/>
            </w:tcBorders>
          </w:tcPr>
          <w:p>
            <w:pPr>
              <w:spacing w:after="0"/>
              <w:rPr>
                <w:sz w:val="18"/>
                <w:szCs w:val="18"/>
                <w:color w:val="auto"/>
              </w:rPr>
            </w:pPr>
          </w:p>
        </w:tc>
      </w:tr>
      <w:tr>
        <w:trPr>
          <w:trHeight w:val="230"/>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402,984</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448,374</w:t>
            </w:r>
          </w:p>
        </w:tc>
        <w:tc>
          <w:tcPr>
            <w:tcW w:w="100" w:type="dxa"/>
            <w:vAlign w:val="bottom"/>
            <w:shd w:val="clear" w:color="auto" w:fill="CFF0FC"/>
          </w:tcPr>
          <w:p>
            <w:pPr>
              <w:spacing w:after="0"/>
              <w:rPr>
                <w:sz w:val="19"/>
                <w:szCs w:val="19"/>
                <w:color w:val="auto"/>
              </w:rPr>
            </w:pP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-3950970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-3110865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-3093720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-1979295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-316865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CULLINAN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r>
      <w:tr>
        <w:trPr>
          <w:trHeight w:val="209"/>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60" w:type="dxa"/>
            <w:vAlign w:val="bottom"/>
            <w:gridSpan w:val="2"/>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42,123</w:t>
            </w:r>
          </w:p>
        </w:tc>
        <w:tc>
          <w:tcPr>
            <w:tcW w:w="340" w:type="dxa"/>
            <w:vAlign w:val="bottom"/>
          </w:tcPr>
          <w:p>
            <w:pPr>
              <w:spacing w:after="0"/>
              <w:rPr>
                <w:sz w:val="18"/>
                <w:szCs w:val="18"/>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41,459</w:t>
            </w:r>
          </w:p>
        </w:tc>
        <w:tc>
          <w:tcPr>
            <w:tcW w:w="100" w:type="dxa"/>
            <w:vAlign w:val="bottom"/>
          </w:tcPr>
          <w:p>
            <w:pPr>
              <w:spacing w:after="0"/>
              <w:rPr>
                <w:sz w:val="18"/>
                <w:szCs w:val="18"/>
                <w:color w:val="auto"/>
              </w:rPr>
            </w:pPr>
          </w:p>
        </w:tc>
      </w:tr>
      <w:tr>
        <w:trPr>
          <w:trHeight w:val="216"/>
        </w:trPr>
        <w:tc>
          <w:tcPr>
            <w:tcW w:w="6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3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53,697</w:t>
            </w:r>
          </w:p>
        </w:tc>
        <w:tc>
          <w:tcPr>
            <w:tcW w:w="3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54,996</w:t>
            </w:r>
          </w:p>
        </w:tc>
        <w:tc>
          <w:tcPr>
            <w:tcW w:w="100" w:type="dxa"/>
            <w:vAlign w:val="bottom"/>
          </w:tcPr>
          <w:p>
            <w:pPr>
              <w:spacing w:after="0"/>
              <w:rPr>
                <w:sz w:val="18"/>
                <w:szCs w:val="18"/>
                <w:color w:val="auto"/>
              </w:rPr>
            </w:pPr>
          </w:p>
        </w:tc>
      </w:tr>
      <w:tr>
        <w:trPr>
          <w:trHeight w:val="210"/>
        </w:trPr>
        <w:tc>
          <w:tcPr>
            <w:tcW w:w="6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from operations</w:t>
            </w:r>
          </w:p>
        </w:tc>
        <w:tc>
          <w:tcPr>
            <w:tcW w:w="5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(53,697)</w:t>
            </w:r>
          </w:p>
        </w:tc>
        <w:tc>
          <w:tcPr>
            <w:tcW w:w="8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(54,996)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w:t>
            </w:r>
          </w:p>
        </w:tc>
        <w:tc>
          <w:tcPr>
            <w:tcW w:w="8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6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(49,661)</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(48,501)</w:t>
            </w:r>
          </w:p>
        </w:tc>
      </w:tr>
      <w:tr>
        <w:trPr>
          <w:trHeight w:val="413"/>
        </w:trPr>
        <w:tc>
          <w:tcPr>
            <w:tcW w:w="6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500" w:type="dxa"/>
            <w:vAlign w:val="bottom"/>
            <w:tcBorders>
              <w:top w:val="single" w:sz="8" w:color="CFF0FC"/>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6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660" w:type="dxa"/>
            <w:vAlign w:val="bottom"/>
            <w:gridSpan w:val="2"/>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(49,661)</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(48,501)</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(893)</w:t>
            </w: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(50,554)</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(47,863)</w:t>
            </w:r>
          </w:p>
        </w:tc>
      </w:tr>
      <w:tr>
        <w:trPr>
          <w:trHeight w:val="197"/>
        </w:trPr>
        <w:tc>
          <w:tcPr>
            <w:tcW w:w="6320" w:type="dxa"/>
            <w:vAlign w:val="bottom"/>
            <w:tcBorders>
              <w:top w:val="single" w:sz="8" w:color="CFF0FC"/>
            </w:tcBorders>
          </w:tcPr>
          <w:p>
            <w:pPr>
              <w:spacing w:after="0"/>
              <w:rPr>
                <w:sz w:val="17"/>
                <w:szCs w:val="17"/>
                <w:color w:val="auto"/>
              </w:rPr>
            </w:pPr>
          </w:p>
        </w:tc>
        <w:tc>
          <w:tcPr>
            <w:tcW w:w="500" w:type="dxa"/>
            <w:vAlign w:val="bottom"/>
            <w:tcBorders>
              <w:top w:val="single" w:sz="8" w:color="CFF0FC"/>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5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1660" w:type="dxa"/>
            <w:vAlign w:val="bottom"/>
            <w:gridSpan w:val="2"/>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(0.75)</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(0.74)</w:t>
            </w:r>
          </w:p>
        </w:tc>
      </w:tr>
      <w:tr>
        <w:trPr>
          <w:trHeight w:val="216"/>
        </w:trPr>
        <w:tc>
          <w:tcPr>
            <w:tcW w:w="6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1660" w:type="dxa"/>
            <w:vAlign w:val="bottom"/>
            <w:gridSpan w:val="2"/>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(7.52)</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computing basic and diluted net loss per share:</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5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60,462</w:t>
            </w: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58,905</w:t>
            </w:r>
          </w:p>
        </w:tc>
        <w:tc>
          <w:tcPr>
            <w:tcW w:w="100" w:type="dxa"/>
            <w:vAlign w:val="bottom"/>
            <w:shd w:val="clear" w:color="auto" w:fill="CFF0FC"/>
          </w:tcPr>
          <w:p>
            <w:pPr>
              <w:spacing w:after="0"/>
              <w:rPr>
                <w:sz w:val="18"/>
                <w:szCs w:val="18"/>
                <w:color w:val="auto"/>
              </w:rPr>
            </w:pPr>
          </w:p>
        </w:tc>
      </w:tr>
      <w:tr>
        <w:trPr>
          <w:trHeight w:val="234"/>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-2565400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-2565400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-1717040</wp:posOffset>
            </wp:positionV>
            <wp:extent cx="76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-1699895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-1717040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-1699895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-996950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-979805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-996950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-979805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CULLINAN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000" w:type="dxa"/>
            <w:vAlign w:val="bottom"/>
            <w:gridSpan w:val="4"/>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40" w:type="dxa"/>
            <w:vAlign w:val="bottom"/>
          </w:tcPr>
          <w:p>
            <w:pPr>
              <w:spacing w:after="0"/>
              <w:rPr>
                <w:sz w:val="12"/>
                <w:szCs w:val="12"/>
                <w:color w:val="auto"/>
              </w:rPr>
            </w:pPr>
          </w:p>
        </w:tc>
        <w:tc>
          <w:tcPr>
            <w:tcW w:w="2000" w:type="dxa"/>
            <w:vAlign w:val="bottom"/>
            <w:gridSpan w:val="4"/>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840" w:type="dxa"/>
            <w:vAlign w:val="bottom"/>
          </w:tcPr>
          <w:p>
            <w:pPr>
              <w:spacing w:after="0"/>
              <w:rPr>
                <w:sz w:val="13"/>
                <w:szCs w:val="13"/>
                <w:color w:val="auto"/>
              </w:rPr>
            </w:pPr>
          </w:p>
        </w:tc>
        <w:tc>
          <w:tcPr>
            <w:tcW w:w="2000" w:type="dxa"/>
            <w:vAlign w:val="bottom"/>
            <w:tcBorders>
              <w:bottom w:val="single" w:sz="8" w:color="auto"/>
            </w:tcBorders>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3"/>
                <w:szCs w:val="13"/>
                <w:color w:val="auto"/>
              </w:rPr>
            </w:pPr>
          </w:p>
        </w:tc>
        <w:tc>
          <w:tcPr>
            <w:tcW w:w="12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9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9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2"/>
                <w:szCs w:val="12"/>
                <w:color w:val="auto"/>
              </w:rPr>
            </w:pPr>
          </w:p>
        </w:tc>
        <w:tc>
          <w:tcPr>
            <w:tcW w:w="102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8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Balances at December 31,</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555,935</w:t>
            </w:r>
          </w:p>
        </w:tc>
        <w:tc>
          <w:tcPr>
            <w:tcW w:w="24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60,244,136</w:t>
            </w:r>
          </w:p>
        </w:tc>
        <w:tc>
          <w:tcPr>
            <w:tcW w:w="3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995,823</w:t>
            </w:r>
          </w:p>
        </w:tc>
        <w:tc>
          <w:tcPr>
            <w:tcW w:w="280" w:type="dxa"/>
            <w:vAlign w:val="bottom"/>
            <w:gridSpan w:val="2"/>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22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(588,119)</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408,730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2025</w:t>
            </w:r>
          </w:p>
        </w:tc>
        <w:tc>
          <w:tcPr>
            <w:tcW w:w="9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340" w:type="dxa"/>
            <w:vAlign w:val="bottom"/>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340" w:type="dxa"/>
            <w:vAlign w:val="bottom"/>
            <w:gridSpan w:val="2"/>
            <w:vMerge w:val="continue"/>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upon conversion of</w:t>
            </w: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(73,946)</w:t>
            </w:r>
          </w:p>
        </w:tc>
        <w:tc>
          <w:tcPr>
            <w:tcW w:w="120" w:type="dxa"/>
            <w:vAlign w:val="bottom"/>
          </w:tcPr>
          <w:p>
            <w:pPr>
              <w:spacing w:after="0"/>
              <w:rPr>
                <w:sz w:val="12"/>
                <w:szCs w:val="12"/>
                <w:color w:val="auto"/>
              </w:rPr>
            </w:pPr>
          </w:p>
        </w:tc>
        <w:tc>
          <w:tcPr>
            <w:tcW w:w="7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739,460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9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under equity-based</w:t>
            </w:r>
          </w:p>
        </w:tc>
        <w:tc>
          <w:tcPr>
            <w:tcW w:w="11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467,784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11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Equity-based compensation</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Unrealized loss on</w:t>
            </w:r>
          </w:p>
        </w:tc>
        <w:tc>
          <w:tcPr>
            <w:tcW w:w="11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shd w:val="clear" w:color="auto" w:fill="CFF0FC"/>
          </w:tcPr>
          <w:p>
            <w:pPr>
              <w:spacing w:after="0"/>
              <w:rPr>
                <w:sz w:val="10"/>
                <w:szCs w:val="10"/>
                <w:color w:val="auto"/>
              </w:rPr>
            </w:pPr>
          </w:p>
        </w:tc>
        <w:tc>
          <w:tcPr>
            <w:tcW w:w="12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(893)</w:t>
            </w:r>
          </w:p>
        </w:tc>
        <w:tc>
          <w:tcPr>
            <w:tcW w:w="0" w:type="dxa"/>
            <w:vAlign w:val="bottom"/>
          </w:tcPr>
          <w:p>
            <w:pPr>
              <w:spacing w:after="0"/>
              <w:rPr>
                <w:sz w:val="1"/>
                <w:szCs w:val="1"/>
                <w:color w:val="auto"/>
              </w:rPr>
            </w:pPr>
          </w:p>
        </w:tc>
      </w:tr>
      <w:tr>
        <w:trPr>
          <w:trHeight w:val="171"/>
        </w:trPr>
        <w:tc>
          <w:tcPr>
            <w:tcW w:w="1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1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(49,661)</w:t>
            </w:r>
          </w:p>
        </w:tc>
        <w:tc>
          <w:tcPr>
            <w:tcW w:w="8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(49,661)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8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Balances at March 31, 2026</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481,989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ind w:left="56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61,451,380</w:t>
            </w:r>
          </w:p>
        </w:tc>
        <w:tc>
          <w:tcPr>
            <w:tcW w:w="3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3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1,003,819</w:t>
            </w:r>
          </w:p>
        </w:tc>
        <w:tc>
          <w:tcPr>
            <w:tcW w:w="280" w:type="dxa"/>
            <w:vAlign w:val="bottom"/>
            <w:gridSpan w:val="2"/>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127</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(637,780)</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366,172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184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CFF0FC"/>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2000" w:type="dxa"/>
            <w:vAlign w:val="bottom"/>
            <w:gridSpan w:val="4"/>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40" w:type="dxa"/>
            <w:vAlign w:val="bottom"/>
          </w:tcPr>
          <w:p>
            <w:pPr>
              <w:spacing w:after="0"/>
              <w:rPr>
                <w:sz w:val="12"/>
                <w:szCs w:val="12"/>
                <w:color w:val="auto"/>
              </w:rPr>
            </w:pPr>
          </w:p>
        </w:tc>
        <w:tc>
          <w:tcPr>
            <w:tcW w:w="2000" w:type="dxa"/>
            <w:vAlign w:val="bottom"/>
            <w:gridSpan w:val="4"/>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840" w:type="dxa"/>
            <w:vAlign w:val="bottom"/>
          </w:tcPr>
          <w:p>
            <w:pPr>
              <w:spacing w:after="0"/>
              <w:rPr>
                <w:sz w:val="13"/>
                <w:szCs w:val="13"/>
                <w:color w:val="auto"/>
              </w:rPr>
            </w:pPr>
          </w:p>
        </w:tc>
        <w:tc>
          <w:tcPr>
            <w:tcW w:w="2000" w:type="dxa"/>
            <w:vAlign w:val="bottom"/>
            <w:tcBorders>
              <w:bottom w:val="single" w:sz="8" w:color="auto"/>
            </w:tcBorders>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3"/>
                <w:szCs w:val="13"/>
                <w:color w:val="auto"/>
              </w:rPr>
            </w:pPr>
          </w:p>
        </w:tc>
        <w:tc>
          <w:tcPr>
            <w:tcW w:w="124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9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9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2"/>
                <w:szCs w:val="12"/>
                <w:color w:val="auto"/>
              </w:rPr>
            </w:pPr>
          </w:p>
        </w:tc>
        <w:tc>
          <w:tcPr>
            <w:tcW w:w="102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8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Balances at December 31,</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647,500</w:t>
            </w:r>
          </w:p>
        </w:tc>
        <w:tc>
          <w:tcPr>
            <w:tcW w:w="24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58,510,610</w:t>
            </w:r>
          </w:p>
        </w:tc>
        <w:tc>
          <w:tcPr>
            <w:tcW w:w="3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958,695</w:t>
            </w:r>
          </w:p>
        </w:tc>
        <w:tc>
          <w:tcPr>
            <w:tcW w:w="280" w:type="dxa"/>
            <w:vAlign w:val="bottom"/>
            <w:gridSpan w:val="2"/>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(368,240)</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590,328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2024</w:t>
            </w:r>
          </w:p>
        </w:tc>
        <w:tc>
          <w:tcPr>
            <w:tcW w:w="9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340" w:type="dxa"/>
            <w:vAlign w:val="bottom"/>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340" w:type="dxa"/>
            <w:vAlign w:val="bottom"/>
            <w:gridSpan w:val="2"/>
            <w:vMerge w:val="continue"/>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under equity-based</w:t>
            </w: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188,309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Equity-based compensation</w:t>
            </w:r>
          </w:p>
        </w:tc>
        <w:tc>
          <w:tcPr>
            <w:tcW w:w="116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9,374</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Unrealized gain on</w:t>
            </w: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ind w:left="5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(48,501)</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(48,501)</w:t>
            </w:r>
          </w:p>
        </w:tc>
        <w:tc>
          <w:tcPr>
            <w:tcW w:w="0" w:type="dxa"/>
            <w:vAlign w:val="bottom"/>
          </w:tcPr>
          <w:p>
            <w:pPr>
              <w:spacing w:after="0"/>
              <w:rPr>
                <w:sz w:val="1"/>
                <w:szCs w:val="1"/>
                <w:color w:val="auto"/>
              </w:rPr>
            </w:pPr>
          </w:p>
        </w:tc>
      </w:tr>
      <w:tr>
        <w:trPr>
          <w:trHeight w:val="20"/>
        </w:trPr>
        <w:tc>
          <w:tcPr>
            <w:tcW w:w="18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Balances at March 31, 2025</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647,500</w:t>
            </w:r>
          </w:p>
        </w:tc>
        <w:tc>
          <w:tcPr>
            <w:tcW w:w="24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58,698,919</w:t>
            </w:r>
          </w:p>
        </w:tc>
        <w:tc>
          <w:tcPr>
            <w:tcW w:w="3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3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968,069</w:t>
            </w:r>
          </w:p>
        </w:tc>
        <w:tc>
          <w:tcPr>
            <w:tcW w:w="28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505</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(416,741)</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551,839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-1593850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-1576705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-1593850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-1576705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-1593850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-1576705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-1593850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-1576705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-1593850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-1576705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-1593850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-1576705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-1593850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-1576705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-127635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-127635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-127635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-127635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-127635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-127635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-127635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CULLINAN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500" w:type="dxa"/>
            <w:vAlign w:val="bottom"/>
            <w:gridSpan w:val="7"/>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18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(49,661)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(48,501)</w:t>
            </w:r>
          </w:p>
        </w:tc>
      </w:tr>
      <w:tr>
        <w:trPr>
          <w:trHeight w:val="216"/>
        </w:trPr>
        <w:tc>
          <w:tcPr>
            <w:tcW w:w="6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Accretion on marketable securities</w:t>
            </w:r>
          </w:p>
        </w:tc>
        <w:tc>
          <w:tcPr>
            <w:tcW w:w="1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(2,311)</w:t>
            </w:r>
          </w:p>
        </w:tc>
      </w:tr>
      <w:tr>
        <w:trPr>
          <w:trHeight w:val="216"/>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(5,255)</w:t>
            </w:r>
          </w:p>
        </w:tc>
      </w:tr>
      <w:tr>
        <w:trPr>
          <w:trHeight w:val="20"/>
        </w:trPr>
        <w:tc>
          <w:tcPr>
            <w:tcW w:w="6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(46,045)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(43,155)</w:t>
            </w:r>
          </w:p>
        </w:tc>
      </w:tr>
      <w:tr>
        <w:trPr>
          <w:trHeight w:val="209"/>
        </w:trPr>
        <w:tc>
          <w:tcPr>
            <w:tcW w:w="6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22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52,549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162,645</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(125,840)</w:t>
            </w:r>
          </w:p>
        </w:tc>
      </w:tr>
      <w:tr>
        <w:trPr>
          <w:trHeight w:val="209"/>
        </w:trPr>
        <w:tc>
          <w:tcPr>
            <w:tcW w:w="6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2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Issuance of common stock under equity-based compensation plans</w:t>
            </w:r>
          </w:p>
        </w:tc>
        <w:tc>
          <w:tcPr>
            <w:tcW w:w="12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6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(13,251)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(6,350)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83,005</w:t>
            </w:r>
          </w:p>
        </w:tc>
        <w:tc>
          <w:tcPr>
            <w:tcW w:w="100" w:type="dxa"/>
            <w:vAlign w:val="bottom"/>
          </w:tcPr>
          <w:p>
            <w:pPr>
              <w:spacing w:after="0"/>
              <w:rPr>
                <w:sz w:val="18"/>
                <w:szCs w:val="18"/>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75,081</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76,655</w:t>
            </w:r>
          </w:p>
        </w:tc>
        <w:tc>
          <w:tcPr>
            <w:tcW w:w="100" w:type="dxa"/>
            <w:vAlign w:val="bottom"/>
            <w:shd w:val="clear" w:color="auto" w:fill="CFF0FC"/>
          </w:tcPr>
          <w:p>
            <w:pPr>
              <w:spacing w:after="0"/>
              <w:rPr>
                <w:sz w:val="19"/>
                <w:szCs w:val="19"/>
                <w:color w:val="auto"/>
              </w:rPr>
            </w:pP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-1447800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-882015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-599440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CULLINAN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left="520" w:right="7300" w:hanging="512"/>
        <w:spacing w:after="0" w:line="378" w:lineRule="auto"/>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Business and Basis of Presentation </w:t>
      </w:r>
      <w:r>
        <w:rPr>
          <w:rFonts w:ascii="Times New Roman" w:cs="Times New Roman" w:eastAsia="Times New Roman" w:hAnsi="Times New Roman"/>
          <w:sz w:val="18"/>
          <w:szCs w:val="18"/>
          <w:b w:val="1"/>
          <w:bCs w:val="1"/>
          <w:i w:val="1"/>
          <w:iCs w:val="1"/>
          <w:color w:val="auto"/>
        </w:rPr>
        <w:t>Organization</w:t>
      </w:r>
    </w:p>
    <w:p>
      <w:pPr>
        <w:jc w:val="both"/>
        <w:ind w:right="20" w:firstLine="509"/>
        <w:spacing w:after="0" w:line="257" w:lineRule="auto"/>
        <w:rPr>
          <w:sz w:val="20"/>
          <w:szCs w:val="20"/>
          <w:color w:val="auto"/>
        </w:rPr>
      </w:pPr>
      <w:r>
        <w:rPr>
          <w:rFonts w:ascii="Times New Roman" w:cs="Times New Roman" w:eastAsia="Times New Roman" w:hAnsi="Times New Roman"/>
          <w:sz w:val="18"/>
          <w:szCs w:val="18"/>
          <w:color w:val="auto"/>
        </w:rPr>
        <w:t>Cullinan Therapeutics, Inc., together with its consolidated subsidiaries ("Cullinan" or "the Company"), is a clinical-stage biopharmaceutical company developing therapies for autoimmune diseases and cancer that was incorporated in September 2016 and has a principal place of business in Cambridge, Massachusetts.</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9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a history of significant operating losses and has had negative cash flows from operations since its inception and expects to continue to generate operating losses for the foreseeable future. Cullinan’s ultimate success depends on the outcome of its research and development activities as well as its ability to commercialize the Company’s product candidates. Cullinan is subject to a number of risks including, but not limited to, the need to obtain adequate additional funding for the ongoing and planned clinical development of its product candidates. Due to the numerous risks and uncertainties associated with pharmaceutical development, government regulation, potential commercialization, intellectual property, and our reliance on third parties, the Company is unable to accurately predict the timing or amount of funds required to complete development of its product candidates, and costs could exceed Cullinan’s expectations for a number of reasons, including reasons beyond the Company’s control.</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inception, Cullinan has funded its operations primarily through the sale of equity securities and from licensing or selling the rights to its product candidates. The Company expects that its cash, cash equivalents, and short-term investments of $351.9 million, and long-term investments and interest receivable of $41.4 million as of March 31, 2026, will be sufficient to fund its operating expenses and capital expenditure requirements through the next twelve months from the date of issuance of these consolidated financial statements.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the Company have been prepared in conformity with accounting principles generally accepted in the United States (“U.S. GAAP”) for interim financial reporting and include the accounts of Cullinan and its consolidated subsidiaries. Intercompany balances and transactions have been eliminated in consolidation.</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opinion of Cullinan’s management, the unaudited consolidated financial statements reflect all adjustments, which are normal and recurring in nature, and necessary for fair financial statement presentation. The preparation of these unaudited consolidated financial statements and accompanying notes in conformity with U.S. GAAP requires management to make estimates and assumptions that affect the amounts reported. Actual results could differ materially from those estimates. These unaudited consolidated financial statements and accompanying notes should be read in conjunction with the Company’s annual audited consolidated financial statements and accompanying notes included in its Annual Report on Form 10-K for the fiscal year ended December 31, 2025 (the "2025 10-K").</w:t>
      </w:r>
    </w:p>
    <w:p>
      <w:pPr>
        <w:spacing w:after="0" w:line="75"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Cullinan’s significant accounting policies have not changed materially from those disclosed in its annual audited consolidated financial statements and accompanying notes in the 2025 10-K.</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an accounting standards update to improve disclosures regarding the types of expenses included in commonly presented expense captions, including disaggregating the amounts of employee compensation, depreciation and amortization included within each income statement expense caption. This standard will be effective for fiscal years beginning after December 15, 2026, and interim periods within fiscal years beginning after December 15, 2027. Cullinan will adopt this standard on January 1, 2027 for 2027 annual reporting and interim periods beginning in 2028 and is evaluating the impact of adopting this standard on its consolidated financial statements and disclosures.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ind w:left="520" w:right="9020" w:hanging="512"/>
        <w:spacing w:after="0" w:line="400" w:lineRule="auto"/>
        <w:tabs>
          <w:tab w:leader="none" w:pos="5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Instruments </w:t>
      </w:r>
      <w:r>
        <w:rPr>
          <w:rFonts w:ascii="Times New Roman" w:cs="Times New Roman" w:eastAsia="Times New Roman" w:hAnsi="Times New Roman"/>
          <w:sz w:val="17"/>
          <w:szCs w:val="17"/>
          <w:i w:val="1"/>
          <w:iCs w:val="1"/>
          <w:color w:val="auto"/>
        </w:rPr>
        <w:t>Investments</w:t>
      </w: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Cullinan recognized its investments by security type at March 31, 2026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notes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116,860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276,526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315,178</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-736600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-736600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-736600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Cullinan recognized its investments by security type at December 31, 2025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notes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159,632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119,368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9,717</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288,717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notes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58,097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346,814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-736600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-736600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-736600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All of the Company's long-term investments as of March 31, 2026 and December 31, 2025 had maturities between one and two years from the respective balance sheet date. The Company did not recognize any credit loss relating to its investments during the three months ended March 31, 2026 and 2025.</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Cullinan’s financial assets that were measured at fair value on a recurring basis as of March 31, 2026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9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notes</w:t>
            </w:r>
          </w:p>
        </w:tc>
        <w:tc>
          <w:tcPr>
            <w:tcW w:w="28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150,217</w:t>
            </w:r>
          </w:p>
        </w:tc>
        <w:tc>
          <w:tcPr>
            <w:tcW w:w="112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150,217</w:t>
            </w:r>
          </w:p>
        </w:tc>
        <w:tc>
          <w:tcPr>
            <w:tcW w:w="120" w:type="dxa"/>
            <w:vAlign w:val="bottom"/>
          </w:tcPr>
          <w:p>
            <w:pPr>
              <w:spacing w:after="0"/>
              <w:rPr>
                <w:sz w:val="18"/>
                <w:szCs w:val="18"/>
                <w:color w:val="auto"/>
              </w:rPr>
            </w:pPr>
          </w:p>
        </w:tc>
      </w:tr>
      <w:tr>
        <w:trPr>
          <w:trHeight w:val="216"/>
        </w:trPr>
        <w:tc>
          <w:tcPr>
            <w:tcW w:w="3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19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116,757</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116,757</w:t>
            </w:r>
          </w:p>
        </w:tc>
        <w:tc>
          <w:tcPr>
            <w:tcW w:w="120" w:type="dxa"/>
            <w:vAlign w:val="bottom"/>
            <w:shd w:val="clear" w:color="auto" w:fill="CFF0FC"/>
          </w:tcPr>
          <w:p>
            <w:pPr>
              <w:spacing w:after="0"/>
              <w:rPr>
                <w:sz w:val="18"/>
                <w:szCs w:val="18"/>
                <w:color w:val="auto"/>
              </w:rPr>
            </w:pPr>
          </w:p>
        </w:tc>
      </w:tr>
      <w:tr>
        <w:trPr>
          <w:trHeight w:val="216"/>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Asset-backed securities</w:t>
            </w:r>
          </w:p>
        </w:tc>
        <w:tc>
          <w:tcPr>
            <w:tcW w:w="19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20" w:type="dxa"/>
            <w:vAlign w:val="bottom"/>
          </w:tcPr>
          <w:p>
            <w:pPr>
              <w:spacing w:after="0"/>
              <w:rPr>
                <w:sz w:val="18"/>
                <w:szCs w:val="18"/>
                <w:color w:val="auto"/>
              </w:rPr>
            </w:pPr>
          </w:p>
        </w:tc>
      </w:tr>
      <w:tr>
        <w:trPr>
          <w:trHeight w:val="210"/>
        </w:trPr>
        <w:tc>
          <w:tcPr>
            <w:tcW w:w="38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9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276,804</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276,804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19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38,501</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9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38,501</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38,501</w:t>
            </w:r>
          </w:p>
        </w:tc>
        <w:tc>
          <w:tcPr>
            <w:tcW w:w="120" w:type="dxa"/>
            <w:vAlign w:val="bottom"/>
          </w:tcPr>
          <w:p>
            <w:pPr>
              <w:spacing w:after="0"/>
              <w:rPr>
                <w:sz w:val="18"/>
                <w:szCs w:val="18"/>
                <w:color w:val="auto"/>
              </w:rPr>
            </w:pPr>
          </w:p>
        </w:tc>
      </w:tr>
      <w:tr>
        <w:trPr>
          <w:trHeight w:val="25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8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315,305</w:t>
            </w:r>
          </w:p>
        </w:tc>
        <w:tc>
          <w:tcPr>
            <w:tcW w:w="11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315,305</w:t>
            </w:r>
          </w:p>
        </w:tc>
        <w:tc>
          <w:tcPr>
            <w:tcW w:w="120" w:type="dxa"/>
            <w:vAlign w:val="bottom"/>
            <w:shd w:val="clear" w:color="auto" w:fill="CFF0FC"/>
          </w:tcPr>
          <w:p>
            <w:pPr>
              <w:spacing w:after="0"/>
              <w:rPr>
                <w:sz w:val="21"/>
                <w:szCs w:val="21"/>
                <w:color w:val="auto"/>
              </w:rPr>
            </w:pPr>
          </w:p>
        </w:tc>
      </w:tr>
      <w:tr>
        <w:trPr>
          <w:trHeight w:val="413"/>
        </w:trPr>
        <w:tc>
          <w:tcPr>
            <w:tcW w:w="3880" w:type="dxa"/>
            <w:vAlign w:val="bottom"/>
            <w:tcBorders>
              <w:top w:val="single" w:sz="8" w:color="CFF0FC"/>
            </w:tcBorders>
          </w:tcPr>
          <w:p>
            <w:pPr>
              <w:spacing w:after="0"/>
              <w:rPr>
                <w:sz w:val="24"/>
                <w:szCs w:val="24"/>
                <w:color w:val="auto"/>
              </w:rPr>
            </w:pPr>
          </w:p>
        </w:tc>
        <w:tc>
          <w:tcPr>
            <w:tcW w:w="194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38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-1370965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-1370965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-1370965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-1370965</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-1087755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-1087755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-1087755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-1087755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-796290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-779145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-796290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-779145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-796290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-779145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-779145</wp:posOffset>
            </wp:positionV>
            <wp:extent cx="77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that were measured at fair value on a recurring basis as of December 31, 2025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notes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160,315</w:t>
            </w:r>
          </w:p>
        </w:tc>
        <w:tc>
          <w:tcPr>
            <w:tcW w:w="112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160,315</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119,480</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119,480</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Asset-backed securities</w:t>
            </w: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120" w:type="dxa"/>
            <w:vAlign w:val="bottom"/>
          </w:tcPr>
          <w:p>
            <w:pPr>
              <w:spacing w:after="0"/>
              <w:rPr>
                <w:sz w:val="18"/>
                <w:szCs w:val="18"/>
                <w:color w:val="auto"/>
              </w:rPr>
            </w:pPr>
          </w:p>
        </w:tc>
      </w:tr>
      <w:tr>
        <w:trPr>
          <w:trHeight w:val="209"/>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8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289,564</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289,564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48,222</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48,222</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notes</w:t>
            </w: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120" w:type="dxa"/>
            <w:vAlign w:val="bottom"/>
          </w:tcPr>
          <w:p>
            <w:pPr>
              <w:spacing w:after="0"/>
              <w:rPr>
                <w:sz w:val="18"/>
                <w:szCs w:val="18"/>
                <w:color w:val="auto"/>
              </w:rPr>
            </w:pPr>
          </w:p>
        </w:tc>
      </w:tr>
      <w:tr>
        <w:trPr>
          <w:trHeight w:val="209"/>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8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58,270</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58,270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347,834</w:t>
            </w:r>
          </w:p>
        </w:tc>
        <w:tc>
          <w:tcPr>
            <w:tcW w:w="112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347,834</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-736600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-736600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-736600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fair values of Cullinan's cash and cash equivalents, prepaid expenses and other current assets, accounts payable, accrued expenses and other current liabilities approximated their carrying values due to the short-term nature of these instruments.</w:t>
      </w:r>
    </w:p>
    <w:p>
      <w:pPr>
        <w:spacing w:after="0" w:line="50"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consisted of the following as of March 31, 2026 and December 31, 2025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Contracted research and development expenses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21,944</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to Taiho under collaboration agreement, net</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31,920</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36,120</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ind w:left="520" w:right="7720" w:hanging="512"/>
        <w:spacing w:after="0" w:line="378" w:lineRule="auto"/>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License and Collaboration Agreements </w:t>
      </w:r>
      <w:r>
        <w:rPr>
          <w:rFonts w:ascii="Times New Roman" w:cs="Times New Roman" w:eastAsia="Times New Roman" w:hAnsi="Times New Roman"/>
          <w:sz w:val="18"/>
          <w:szCs w:val="18"/>
          <w:b w:val="1"/>
          <w:bCs w:val="1"/>
          <w:i w:val="1"/>
          <w:iCs w:val="1"/>
          <w:color w:val="auto"/>
        </w:rPr>
        <w:t>Genrix License Agreement</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June 2025, the Company and Chongqing Genrix Biopharmaceutical Co., Ltd. (“Genrix”) entered into a license agreement (the “Genrix License Agreement”), pursuant to which Genrix granted Cullinan a global (excluding mainland China, Hong Kong, Macau and Taiwan), exclusive license to develop and commercialize velinotamig, a BCMAxCD3 T cell engager, in all fields of use.</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Genrix License Agreement, Cullinan paid Genrix an upfront license fee of $20.0 million. Genrix will be eligible to receive up to $292.0 million in milestone payments based on the achievement of development and regulatory milestones. Genrix is also eligible to receive up to an additional $400.0 million in net sales-based milestones as well as tiered royalties ranging from mid-single digit to mid-teens, as a percentage of net sales of licensed products.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Unless earlier terminated, the Genrix License Agreement will continue in effect on a country-by-country basis until the expiration of Cullinan’s royalty obligations in such country. The Genrix License Agreement may be terminated by either party for a material breach by the other party, subject to notice and cure provisions, or in the event of the other party’s insolvency. Additionally, subject to a notice period, Cullinan may terminate the Genrix License Agreement for convenience. In the Genrix License Agreement, each party made customary representations and warranties and agreed to customary covenants, including, without limitation, with respect to indemnification, for transactions of this type.</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Cullinan evaluated the Genrix License Agreement and determined that the exclusive license to develop and commercialize velinotamig represented an asset acquisition of in-process research and development. The Company also determined that the asset had no alternative future use at the time of acquisition, and therefore, the upfront license fee of $20.0 million was recorded within research and development expenses in June 2025. As of March 31, 2026, no milestones have been achieved under the Genrix License Agreement.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Taiho Agreements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Cullinan has a co-development agreement with an affiliate of Taiho Pharmaceutical Co., Ltd ("Taiho"), pursuant to which the Company is collaborating to develop zipalertinib for the treatment of a genetically defined subset of patients with non-small cell lung cancer (“NSCLC”), and Taiho will commercialize zipalertinib. For the agreed-upon indication, Taiho and Cullinan share development costs equally, and each party will receive 50% of any future pre-tax profits from potential U.S. sales of zipalertinib, subject to certain adjustments. For any additional indications that Taiho chooses to develop independently, Taiho will bear all development costs until it has sufficient data from such indication to support a commercial purpose or submission of zipalertinib for such indication. At such time, 50% of Taiho’s independent development costs, subject to certain adjustments, will be deducted from future pre-tax profits for potential U.S. sales of zipalertinib. In November 2025, Taiho independently initiated an ongoing global Phase 3 clinical trial evaluating zipalertinib in an additional indication.</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concluded that the co-development agreement with Taiho is a collaborative arrangement because Cullinan is an active participant in both the development of zipalertinib and the oversight of commercialization for zipalertinib. Amounts due to or from Taiho for zipalertinib development activities after the execution of the co-development agreement are recorded within research and development expenses or general and administrative expenses based on the nature of the activity. The following table summarizes each party’s respective share of costs incurred and paid by the other party for zipalertinib development activities for the three months ended March 31, 2026 and 2025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326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280" w:type="dxa"/>
            <w:vAlign w:val="bottom"/>
          </w:tcPr>
          <w:p>
            <w:pPr>
              <w:spacing w:after="0"/>
              <w:rPr>
                <w:sz w:val="12"/>
                <w:szCs w:val="12"/>
                <w:color w:val="auto"/>
              </w:rPr>
            </w:pPr>
          </w:p>
        </w:tc>
        <w:tc>
          <w:tcPr>
            <w:tcW w:w="1180" w:type="dxa"/>
            <w:vAlign w:val="bottom"/>
            <w:tcBorders>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Cullinan's share of zipalertinib research and development costs incurred by Taiho</w:t>
            </w:r>
          </w:p>
        </w:tc>
        <w:tc>
          <w:tcPr>
            <w:tcW w:w="1180" w:type="dxa"/>
            <w:vAlign w:val="bottom"/>
            <w:shd w:val="clear" w:color="auto" w:fill="CFF0FC"/>
          </w:tcPr>
          <w:p>
            <w:pPr>
              <w:jc w:val="right"/>
              <w:ind w:right="1021"/>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48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Cullinan’s share of general and administrative costs incurred by Taiho</w:t>
            </w:r>
          </w:p>
        </w:tc>
        <w:tc>
          <w:tcPr>
            <w:tcW w:w="1180" w:type="dxa"/>
            <w:vAlign w:val="bottom"/>
          </w:tcPr>
          <w:p>
            <w:pPr>
              <w:jc w:val="right"/>
              <w:ind w:right="1021"/>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48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Taiho’s share of research and development costs incurred by Cullinan</w:t>
            </w:r>
          </w:p>
        </w:tc>
        <w:tc>
          <w:tcPr>
            <w:tcW w:w="1180" w:type="dxa"/>
            <w:vAlign w:val="bottom"/>
            <w:shd w:val="clear" w:color="auto" w:fill="CFF0FC"/>
          </w:tcPr>
          <w:p>
            <w:pPr>
              <w:jc w:val="right"/>
              <w:ind w:right="1021"/>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48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a separate agreement, Cullinan is also eligible to receive up to $130.0 million from Taiho tied to epidermal growth factor receptor exon 20 non-small-cell lung cancer U.S. regulatory milestones. As of March 31, 2026, no milestone payments have been received under this agreement.</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License and Collaboration Agreements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certain payment obligations that are contingent upon future events under various other license and collaboration agreements. Under these agreements, Cullinan will be required to make milestone payments upon successful completion and achievement of certain intellectual property, clinical, regulatory, and sales milestones and will be required to make royalty payments in connection with the sale of products developed under these agreements. During each of the three months ended March 31, 2026 and 2025, no milestone obligations were incurred under the Company’s other license and collaboration agreements.</w:t>
      </w:r>
    </w:p>
    <w:p>
      <w:pPr>
        <w:spacing w:after="0" w:line="71" w:lineRule="exact"/>
        <w:rPr>
          <w:sz w:val="20"/>
          <w:szCs w:val="20"/>
          <w:color w:val="auto"/>
        </w:rPr>
      </w:pPr>
    </w:p>
    <w:p>
      <w:pPr>
        <w:ind w:left="520" w:right="9100" w:hanging="512"/>
        <w:spacing w:after="0" w:line="378" w:lineRule="auto"/>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b w:val="1"/>
          <w:bCs w:val="1"/>
          <w:i w:val="1"/>
          <w:iCs w:val="1"/>
          <w:color w:val="auto"/>
        </w:rPr>
        <w:t>Common Stock</w:t>
      </w:r>
    </w:p>
    <w:p>
      <w:pPr>
        <w:ind w:left="520"/>
        <w:spacing w:after="0"/>
        <w:rPr>
          <w:sz w:val="20"/>
          <w:szCs w:val="20"/>
          <w:color w:val="auto"/>
        </w:rPr>
      </w:pPr>
      <w:r>
        <w:rPr>
          <w:rFonts w:ascii="Times New Roman" w:cs="Times New Roman" w:eastAsia="Times New Roman" w:hAnsi="Times New Roman"/>
          <w:sz w:val="18"/>
          <w:szCs w:val="18"/>
          <w:color w:val="auto"/>
        </w:rPr>
        <w:t>Each share of common stock entitles the holder to one vote and to receive dividends when and if declared by the board of directors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dividends have been declared through March 31, 2026.</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Each share of preferred stock is convertible into ten shares of common stock at the option of the holder at any time, subject to certain limitations, including that the holder is prohibited from converting preferred stock into common stock if, as a result of such conversion, the holder, together with its affiliates, would beneficially own a number of shares of common stock more than 9.99% of the total common stock then issued and outstanding immediately following the conversion of such shares of preferred stock. Holders of the preferred stock are permitted to increase this percentage to an amount not to exceed 19.99% upon 60 days' notice.</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Shares of preferred stock generally have no voting rights, except as required by law and except that the consent of a majority of the holders of the outstanding preferred stock will be required to amend the terms of the preferred stock. In the event of the Company’s liquidation, dissolution or winding up, holders of preferred stock will participate pari passu with any distribution of proceeds to holders of common stock. Holders of preferred stock are entitled to receive when, as, and if dividends are declared and paid on the common stock, an equivalent dividend, calculated on an as-converted basis. Shares of preferred stock are otherwise not entitled to dividends.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preferred stock ranks (i) senior to any class or series of capital stock of Cullinan created specifically ranking by its terms junior to the preferred stock; (ii) on parity with the common stock and any class or series of capital stock of the Company created specifically ranking by its terms on parity with the preferred stock; and (iii) junior to any class or series of capital stock of Cullinan created specifically ranking by its terms senior to any preferred stock, in each case, as to distributions of assets upon liquidation, dissolution or winding up of the Company, whether voluntarily or involuntarily.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determined that the preferred stock should be classified as permanent equity.</w:t>
      </w:r>
    </w:p>
    <w:p>
      <w:pPr>
        <w:spacing w:after="0" w:line="1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Cullinan recorded equity-based compensation in the following expense categories in the consolidated statements of operations and comprehensive income (loss) for the three months ended March 31, 2026 and 2025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328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280" w:type="dxa"/>
            <w:vAlign w:val="bottom"/>
          </w:tcPr>
          <w:p>
            <w:pPr>
              <w:spacing w:after="0"/>
              <w:rPr>
                <w:sz w:val="12"/>
                <w:szCs w:val="12"/>
                <w:color w:val="auto"/>
              </w:rPr>
            </w:pPr>
          </w:p>
        </w:tc>
        <w:tc>
          <w:tcPr>
            <w:tcW w:w="1160" w:type="dxa"/>
            <w:vAlign w:val="bottom"/>
            <w:tcBorders>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shd w:val="clear" w:color="auto" w:fill="CFF0FC"/>
          </w:tcPr>
          <w:p>
            <w:pPr>
              <w:jc w:val="right"/>
              <w:ind w:right="100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540" w:type="dxa"/>
            <w:vAlign w:val="bottom"/>
            <w:gridSpan w:val="2"/>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3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tcPr>
          <w:p>
            <w:pPr>
              <w:spacing w:after="0"/>
              <w:rPr>
                <w:sz w:val="18"/>
                <w:szCs w:val="18"/>
                <w:color w:val="auto"/>
              </w:rPr>
            </w:pPr>
          </w:p>
        </w:tc>
      </w:tr>
      <w:tr>
        <w:trPr>
          <w:trHeight w:val="249"/>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1160" w:type="dxa"/>
            <w:vAlign w:val="bottom"/>
            <w:tcBorders>
              <w:bottom w:val="single" w:sz="8" w:color="auto"/>
            </w:tcBorders>
            <w:shd w:val="clear" w:color="auto" w:fill="CFF0FC"/>
          </w:tcPr>
          <w:p>
            <w:pPr>
              <w:jc w:val="right"/>
              <w:ind w:right="100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3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research organizations, contract manufacturing organizations, and other third parties for preclinical research studies, clinical trials and testing and manufacturing services. These agreements generally include cancellation clauses.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Cullinan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Cullinan, among other things, to indemnify them against certain liabilities that may arise by reason of their status or service as directors or officers. The maximum potential amount of future payments the Company could be required to make under these indemnification agreements is, in certain cases, unlimited. To date, Cullinan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consolidated financial statements as of March 31, 2026 and December 31, 2025.</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Cullinan is not currently party to, or aware of, any material legal proceedings. At each reporting date, the Company evaluates whether or not a potential loss amount or a potential range of loss is probable and reasonably estimable under the provisions of the authoritative guidance that addresses accounting for contingencies. Cullinan expenses as incurred the costs related to such legal proceedings.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Royalty Transfer Agreements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CLN-049 development subsidiary is party to royalty transfer agreements with two charitable foundations. Under these royalty transfer agreements, the charitable foundations are collectively entitled to receive a low single digit royalty percentage of all global net sales of any products developed by the development subsidiary, subject to limitations after patent expirations and on intellectual property developed after a change of control. Cullinan has deemed these royalty transfer agreements to be freestanding financial instruments that should be accounted for at fair value. The Company concluded that these instruments had no value at the inception of the agreements.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Cullinan has not had any applicable net sales from its products and as a result, has not paid or incurred any royalties under these agreements as of March 31, 2026. Given the early-stage nature of the underlying technologies and inherent risks associated with obtaining regulatory approval and achieving commercialization, the Company ascribed no value to the royalty transfer agreements as of March 31, 2026 and December 31, 2025.</w:t>
      </w:r>
    </w:p>
    <w:p>
      <w:pPr>
        <w:spacing w:after="0" w:line="64"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Cullinan has an operating lease for approximately 14,000 square feet of office space in a multi-tenant building in Cambridge, Massachusetts, which commenced in August 2022 and expires in September 2028. Lease expense consisted of operating lease costs of $0.3 million in each of the three months ended March 31, 2026 and 2025.</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for the three months ended March 31, 2026 and 2025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0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2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r>
      <w:tr>
        <w:trPr>
          <w:trHeight w:val="414"/>
        </w:trPr>
        <w:tc>
          <w:tcPr>
            <w:tcW w:w="5220" w:type="dxa"/>
            <w:vAlign w:val="bottom"/>
          </w:tcPr>
          <w:p>
            <w:pPr>
              <w:spacing w:after="0"/>
              <w:rPr>
                <w:sz w:val="24"/>
                <w:szCs w:val="24"/>
                <w:color w:val="auto"/>
              </w:rPr>
            </w:pPr>
          </w:p>
        </w:tc>
        <w:tc>
          <w:tcPr>
            <w:tcW w:w="2880" w:type="dxa"/>
            <w:vAlign w:val="bottom"/>
          </w:tcPr>
          <w:p>
            <w:pPr>
              <w:jc w:val="right"/>
              <w:ind w:right="235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2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future minimum lease payments as of March 31, 2026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(370)</w:t>
            </w:r>
          </w:p>
        </w:tc>
      </w:tr>
      <w:tr>
        <w:trPr>
          <w:trHeight w:val="209"/>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lease liabilities at present value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weighted-average remaining lease term and discount rate as of March 31, 2026 and December 31,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17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5"/>
                <w:szCs w:val="15"/>
                <w:color w:val="auto"/>
              </w:rPr>
            </w:pPr>
          </w:p>
        </w:tc>
      </w:tr>
      <w:tr>
        <w:trPr>
          <w:trHeight w:val="210"/>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FF0FC"/>
          </w:tcPr>
          <w:p>
            <w:pPr>
              <w:spacing w:after="0"/>
              <w:rPr>
                <w:sz w:val="18"/>
                <w:szCs w:val="18"/>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8"/>
                <w:szCs w:val="18"/>
                <w:color w:val="auto"/>
              </w:rPr>
            </w:pPr>
          </w:p>
        </w:tc>
      </w:t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2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r>
    </w:tbl>
    <w:p>
      <w:pPr>
        <w:spacing w:after="0" w:line="283"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computes net loss per share for its common stock and preferred stock using the two-class method required for multiple classes of common stock. The two-class method is an earnings (loss) allocation method under which earnings (loss) per share is calculated for each class of common stock.</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calculation of basic and diluted net loss per share for the three months ended March 31, 2026 and 2025 (in thousands, except per share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320" w:type="dxa"/>
            <w:vAlign w:val="bottom"/>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132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2"/>
                <w:szCs w:val="12"/>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loss - 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(45,485)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(43,698)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(4,803)</w:t>
            </w: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4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 — basic and</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0"/>
                <w:szCs w:val="20"/>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(7.42)</w:t>
            </w:r>
          </w:p>
        </w:tc>
      </w:tr>
    </w:tbl>
    <w:p>
      <w:pPr>
        <w:spacing w:after="0" w:line="7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Cullinan used the treasury stock method for equity awards and the if converted method for preferred stock to determine the number of dilutive shares outstanding in each period. The following table sets forth potential common shares that were excluded from the computation of diluted net loss per share attributable to common stockholders of Cullinan for the three months ended March 31, 2026 and 2025 because their effect would have been anti-dilutive (in thousands):</w:t>
      </w:r>
    </w:p>
    <w:p>
      <w:pPr>
        <w:spacing w:after="0" w:line="119"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6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8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14,804</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12,076</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5,551</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6,475</w:t>
            </w:r>
          </w:p>
        </w:tc>
      </w:tr>
      <w:tr>
        <w:trPr>
          <w:trHeight w:val="216"/>
        </w:trPr>
        <w:tc>
          <w:tcPr>
            <w:tcW w:w="8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915</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r>
      <w:tr>
        <w:trPr>
          <w:trHeight w:val="250"/>
        </w:trPr>
        <w:tc>
          <w:tcPr>
            <w:tcW w:w="8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21,334</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19,547</w:t>
            </w:r>
          </w:p>
        </w:tc>
      </w:tr>
      <w:tr>
        <w:trPr>
          <w:trHeight w:val="413"/>
        </w:trPr>
        <w:tc>
          <w:tcPr>
            <w:tcW w:w="768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76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-779780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the business as one reporting and one operating segment, which is the business of developing immunology and oncology therapies. Cullinan has determined that its Chief Executive Officer is the chief operating decision maker ("CODM"). Cullinan’s CODM reviews financial information on an aggregate basis and uses net loss as presented in the consolidated statement of operations and comprehensive income (loss) for purposes of allocating resources and evaluating financial performance.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Financial information of the Company’s reportable segment for the three months ended March 31, 2026 and 2025 are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2"/>
                <w:szCs w:val="12"/>
                <w:color w:val="auto"/>
              </w:rPr>
            </w:pPr>
          </w:p>
        </w:tc>
        <w:tc>
          <w:tcPr>
            <w:tcW w:w="1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2"/>
                <w:szCs w:val="12"/>
                <w:color w:val="auto"/>
              </w:rPr>
            </w:pPr>
          </w:p>
        </w:tc>
      </w:tr>
      <w:tr>
        <w:trPr>
          <w:trHeight w:val="20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("R&amp;D") programs:</w:t>
            </w:r>
          </w:p>
        </w:tc>
        <w:tc>
          <w:tcPr>
            <w:tcW w:w="9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CLN-049</w:t>
            </w:r>
          </w:p>
        </w:tc>
        <w:tc>
          <w:tcPr>
            <w:tcW w:w="900" w:type="dxa"/>
            <w:vAlign w:val="bottom"/>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5,059</w:t>
            </w:r>
          </w:p>
        </w:tc>
        <w:tc>
          <w:tcPr>
            <w:tcW w:w="12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3,895</w:t>
            </w:r>
          </w:p>
        </w:tc>
      </w:tr>
      <w:tr>
        <w:trPr>
          <w:trHeight w:val="216"/>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CLN-617</w:t>
            </w: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685</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1,793</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CLN-619</w:t>
            </w:r>
          </w:p>
        </w:tc>
        <w:tc>
          <w:tcPr>
            <w:tcW w:w="9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2,471</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6,118</w:t>
            </w:r>
          </w:p>
        </w:tc>
      </w:tr>
      <w:tr>
        <w:trPr>
          <w:trHeight w:val="216"/>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CLN-978</w:t>
            </w: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9,665</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4,673</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Early-stage programs</w:t>
            </w:r>
          </w:p>
        </w:tc>
        <w:tc>
          <w:tcPr>
            <w:tcW w:w="9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709</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1,022</w:t>
            </w:r>
          </w:p>
        </w:tc>
      </w:tr>
      <w:tr>
        <w:trPr>
          <w:trHeight w:val="216"/>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Velinotamig</w:t>
            </w: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2,803</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Zipalertinib</w:t>
            </w: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6,933</w:t>
            </w:r>
          </w:p>
        </w:tc>
        <w:tc>
          <w:tcPr>
            <w:tcW w:w="3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10,160</w:t>
            </w:r>
          </w:p>
        </w:tc>
      </w:tr>
      <w:tr>
        <w:trPr>
          <w:trHeight w:val="210"/>
        </w:trPr>
        <w:tc>
          <w:tcPr>
            <w:tcW w:w="77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R&amp;D program expense</w:t>
            </w: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28,325</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27,661</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9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7,616</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9,374</w:t>
            </w: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personnel and operations</w:t>
            </w: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9,839</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9,831</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personnel</w:t>
            </w:r>
          </w:p>
        </w:tc>
        <w:tc>
          <w:tcPr>
            <w:tcW w:w="9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3,795</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3,489</w:t>
            </w: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agreement obligations</w:t>
            </w: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7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4"/>
                <w:szCs w:val="24"/>
                <w:color w:val="auto"/>
                <w:vertAlign w:val="superscript"/>
              </w:rPr>
              <w:t>(1)</w:t>
            </w: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4,122</w:t>
            </w:r>
          </w:p>
        </w:tc>
        <w:tc>
          <w:tcPr>
            <w:tcW w:w="3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4,603</w:t>
            </w:r>
          </w:p>
        </w:tc>
      </w:tr>
      <w:tr>
        <w:trPr>
          <w:trHeight w:val="209"/>
        </w:trPr>
        <w:tc>
          <w:tcPr>
            <w:tcW w:w="77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Loss from operations</w:t>
            </w: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(53,697)</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(54,996)</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4,098</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6,580</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50"/>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bottom w:val="single" w:sz="8" w:color="auto"/>
            </w:tcBorders>
            <w:shd w:val="clear" w:color="auto" w:fill="CFF0FC"/>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(49,661)</w:t>
            </w:r>
          </w:p>
        </w:tc>
        <w:tc>
          <w:tcPr>
            <w:tcW w:w="3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-24765</wp:posOffset>
            </wp:positionV>
            <wp:extent cx="1885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1885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70" w:lineRule="exact"/>
        <w:rPr>
          <w:sz w:val="20"/>
          <w:szCs w:val="20"/>
          <w:color w:val="auto"/>
        </w:rPr>
      </w:pPr>
    </w:p>
    <w:p>
      <w:pPr>
        <w:ind w:left="1020" w:right="4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for the three months ended March 31, 2026 and 2025 include legal fees relating to patent and corporate matters; professional fees for accounting, auditing, tax, and administrative consulting services; insurance costs; marketing expenses; depreciation; and other operating costs.</w:t>
      </w:r>
    </w:p>
    <w:p>
      <w:pPr>
        <w:spacing w:after="0" w:line="6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All of the Company’s long-lived assets were located in the U.S. as of each of March 31, 2026 and 2025. There were no expenditures for long-lived assets in the three months ended March 31, 2026 or the three months ended March 31, 2025.</w:t>
      </w:r>
    </w:p>
    <w:p>
      <w:pPr>
        <w:spacing w:after="0" w:line="50"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121" w:lineRule="exact"/>
        <w:rPr>
          <w:sz w:val="20"/>
          <w:szCs w:val="20"/>
          <w:color w:val="auto"/>
        </w:rPr>
      </w:pPr>
    </w:p>
    <w:p>
      <w:pPr>
        <w:ind w:right="320" w:firstLine="509"/>
        <w:spacing w:after="0" w:line="257" w:lineRule="auto"/>
        <w:rPr>
          <w:sz w:val="20"/>
          <w:szCs w:val="20"/>
          <w:color w:val="auto"/>
        </w:rPr>
      </w:pPr>
      <w:r>
        <w:rPr>
          <w:rFonts w:ascii="Times New Roman" w:cs="Times New Roman" w:eastAsia="Times New Roman" w:hAnsi="Times New Roman"/>
          <w:sz w:val="18"/>
          <w:szCs w:val="18"/>
          <w:color w:val="auto"/>
        </w:rPr>
        <w:t>In April 2026, the Company entered into a sales agreement with TD Securities (USA) LLC ("TD Cowen") to establish an at-the-market equity offering program, pursuant to which Cullinan can offer and sell up to $200.0 million of the Company’s common stock through TD Cowen at prevailing market prices from time to time.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consolidated financial statements and the related notes appearing elsewhere in this Quarterly Report on Form 10-Q and our audited financial statements included in our Annual Report on Form 10-K for the year ended December 31, 2025 (the “2025 10-K”), filed with the Securities and Exchange Commission (the “SEC”) on March 10, 2026. This discussion and other parts of this Quarterly Report on Form 10-Q contain forward-looking statements that involve risks and uncertainties, such as statements regarding our plans, objectives, expectations, intentions and projections. Our actual results could differ materially from those discussed in these forward-looking statements. Please also refer to those factors described in “Part I, Item 1A. Risk Factors” of our 2025 10-K and "Part II. Item 1A. Risk Factors" in this Quarterly Report on Form 10-Q for important factors that we believe could cause actual results to differ materially from those in our forward-looking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developing potential first- or best-in-class, high-impact therapies for autoimmune diseases and cancer. We pursue promising therapeutic targets while leveraging core expertise in T cell engagers, which are established in oncology and are now advancing into autoimmune diseases. With a clinical-stage pipeline built on a rigorous scientific approach and purposeful innovation, we are advancing our mission to deliver new standards of care for patients.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Immunology</w:t>
      </w:r>
    </w:p>
    <w:p>
      <w:pPr>
        <w:spacing w:after="0" w:line="121" w:lineRule="exact"/>
        <w:rPr>
          <w:sz w:val="20"/>
          <w:szCs w:val="20"/>
          <w:color w:val="auto"/>
        </w:rPr>
      </w:pPr>
    </w:p>
    <w:p>
      <w:pPr>
        <w:jc w:val="both"/>
        <w:ind w:left="1020" w:hanging="503"/>
        <w:spacing w:after="0" w:line="254"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CLN-978 is a CD19xCD3 T cell engager that we are developing for autoimmune diseases. In the Phase 1 OUTRACE Program, CLN-978 is being evaluated in patients with systemic lupus erythematosus (“SLE”), rheumatoid arthritis (“RA”), and Sjögren’s disease (“SjD”). The OUTRACE SLE Study is an ongoing global Phase 1 clinical trial in patients with treatment-refractory moderate to severe SLE. The OUTRACE RA Study is a Phase 1 clinical trial in patients with difficult-to-treat RA, which is ongoing in Europe. We plan to share initial clinical data in SLE and RA in a poster presentation at the European Alliance of Associations for Rheumatology (“EULAR”) European Congress of Rheumatology in June 2026. We also plan to share multi-dose regimen data in RA in the third quarter of 2026. The OUTRACE SjD Study is an ongoing global Phase 1 clinical trial in patients with treatment-refractory moderate to severe Sjögren’s disease. We plan to share initial clinical data in Sjögren’s disease in the fourth quarter of 2026.</w:t>
      </w:r>
    </w:p>
    <w:p>
      <w:pPr>
        <w:spacing w:after="0" w:line="8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Velinotamig is a BCMAxCD3 T cell engager that we are developing for autoimmune diseases. Chongqing Genrix Biopharmaceutical Co., Ltd. ("Genrix"), from which we licensed velinotamig, is enrolling a Phase 1 clinical trial in China in patients with treatment-refractory autoimmune diseases, starting with moderate to severe SLE and to be followed by planned expansion into other indications, and initial multi-dose regimen data from the dose escalation phase in patients with SLE will be shared in the fourth quarter of 2026. We intend to use the data generated from this Phase 1 clinical trial to accelerate global clinical development.</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Oncology</w:t>
      </w:r>
    </w:p>
    <w:p>
      <w:pPr>
        <w:spacing w:after="0" w:line="121" w:lineRule="exact"/>
        <w:rPr>
          <w:sz w:val="20"/>
          <w:szCs w:val="20"/>
          <w:color w:val="auto"/>
        </w:rPr>
      </w:pPr>
    </w:p>
    <w:p>
      <w:pPr>
        <w:jc w:val="both"/>
        <w:ind w:left="1020" w:hanging="503"/>
        <w:spacing w:after="0" w:line="25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CLN-049 is a FLT3xCD3 T cell engager. CLN-049 is being evaluated in an ongoing Phase 1 clinical trial in patients with relapsed/refractory acute myeloid leukemia ("AML") or myelodysplastic syndrome (“MDS”). At the 2025 American Society for Hematology (“ASH”) Annual Meeting, we shared monotherapy efficacy data from the ongoing dose escalation portion of the trial in a heavily pretreated all-comer population of patients with relapsed/refractory AML. We plan to share a clinical data update from the dose escalation portion of the trial in the second half of 2026. Dose level expansion continues in order to determine the recommended Phase 2 dose by the fourth quarter of 2026 for a potential single-arm pivotal registrational trial.</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Zipalertinib (CLN-081/TAS6417), on which we are collaborating with an affiliate of Taiho Pharmaceutical Co., Ltd. ("Taiho"), is an orally-available small-molecule, irreversible epidermal growth factor receptor ("EGFR") inhibitor that is designed to selectively target cells expressing EGFR exon 20 insertion mutations (“EGFR ex20ins”) with relative sparing of cells expressing wild-type EGFR.</w:t>
      </w:r>
    </w:p>
    <w:p>
      <w:pPr>
        <w:spacing w:after="0" w:line="67" w:lineRule="exact"/>
        <w:rPr>
          <w:rFonts w:ascii="Times New Roman" w:cs="Times New Roman" w:eastAsia="Times New Roman" w:hAnsi="Times New Roman"/>
          <w:sz w:val="18"/>
          <w:szCs w:val="18"/>
          <w:color w:val="auto"/>
        </w:rPr>
      </w:pPr>
    </w:p>
    <w:p>
      <w:pPr>
        <w:ind w:left="1540" w:hanging="50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 April 2026, the United States Food and Drug Administration (“U.S. FDA”) accepted a new drug application (“NDA”) for zipalertinib for the treatment of patients with locally advanced or metastatic EGFR ex20ins non-small cell lung cancer (“NSCLC”) whose disease has progressed on or after platinum-based chemotherapy, with or without amivantamab. The Prescription Drug User Fee Act target action date is February 27, 2027. The NDA is supported by data from the pivotal Phase 2b portion of the REZILIENT1 clinical trial.</w:t>
      </w:r>
    </w:p>
    <w:p>
      <w:pPr>
        <w:spacing w:after="0" w:line="75" w:lineRule="exact"/>
        <w:rPr>
          <w:rFonts w:ascii="Times New Roman" w:cs="Times New Roman" w:eastAsia="Times New Roman" w:hAnsi="Times New Roman"/>
          <w:sz w:val="18"/>
          <w:szCs w:val="18"/>
          <w:color w:val="auto"/>
        </w:rPr>
      </w:pPr>
    </w:p>
    <w:p>
      <w:pPr>
        <w:ind w:left="154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oTaiho is evaluating zipalertinib in a global Phase 3 clinical trial (“REZILIENT3”) in combination with chemotherapy as a potential first-line treatment for locally advanced or metastatic EGFR ex20ins NSCLC adult patients. Taiho completed enrollment of the trial in February 2026 and expects to obtain top-line results by the end of 2026.</w:t>
      </w:r>
    </w:p>
    <w:p>
      <w:pPr>
        <w:spacing w:after="0" w:line="6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oTaiho is also evaluating zipalertinib in a Phase 2 parallel cohort trial (“REZILIENT2”). Taiho shared emerging data from certain</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REZILIENT2 cohorts at medical conferences in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Preclinical Programs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to the product candidates described above, we are actively developing several preclinical programs.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Discontinued Programs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CLN-619 is a MICA/B monoclonal antibody that we were previously evaluating in Phase 1 clinical trials. In May 2025, following a review of the CLN-619 data from the disease-specific expansion cohorts for endometrial and cervical cancers, we announced discontinuation of further development of CLN-619 in patients with gynecological cancers as preliminary results did not meet our internal threshold for advancement. In November 2025, after a review of the emerging clinical data in patients with NSCLC and multiple myeloma, we discontinued further development of CLN-619.</w:t>
      </w:r>
    </w:p>
    <w:p>
      <w:pPr>
        <w:spacing w:after="0" w:line="7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CLN-617 is an interleukin-2 and interleukin-12 fusion protein that we were previously evaluating in a Phase 1 clinical trial. In November 2025, after a review of the emerging clinical data in patients with advanced solid tumors, we discontinued further development of CLN-617.</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hold the worldwide intellectual property rights for CLN-978. We hold the worldwide, excluding mainland China, Hong Kong, Macau and Taiwan (collectively referred to as “greater China”), intellectual property rights for velinotamig. We hold the worldwide intellectual property rights for CLN-049 through a development subsidiary in which we had a 98% ownership interest as of March 31, 2026. We are co-developing zipalertinib, for which Taiho holds the intellectual property rights, with an affiliate of Taiho.</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and Business Operations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in 2016, we have focused all of our efforts and financial resources on raising capital, organizing and staffing our company, identifying, acquiring or in-licensing and developing product and technology rights, establishing and protecting our intellectual property portfolio, and developing and advancing our programs. We do not have any products approved for sale and have not generated any revenue from product sales.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funded our operations primarily through the sale of equity securities and from licensing or selling the rights to our product candidates. As of March 31, 2026, we have received net proceeds of $842.2 million from equity financings. We have received $275.0 million in revenue from a previous license agreement and cash proceeds of $18.9 million from the sale of our equity interest in our former zipalertinib development subsidiary to Taiho.</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March 31, 2026, we had cash, cash equivalents, and short-term investments of $351.9 million, and long-term investments and interest receivable of $41.4 million. Interest receivable is included in prepaid expenses and other current assets on the consolidated balance sheets and represents accrued and unpaid interest on our marketable securities. We have a history of significant operating losses and have had negative cash flows from operations since our inception. As of March 31, 2026, we had an accumulated deficit of $637.8 million. We expect to continue to generate operating losses for the foreseeable future. Our future viability is dependent on the success of our research and development and our ability to access additional capital to fund our operations. There can be no assurance that our current operating plan will be achieved or that additional funding will be available on terms acceptable to us, or at all.</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subject to risks and uncertainties common to early-stage companies in the biotechnology industry including, but not limited to, new technological innovations, protection of proprietary technology, dependence on key personnel, reliance on third parties, compliance with government regulations and the ability to obtain additional capital to fund operations. Our current and future product candidates will require significant additional research and development efforts, including preclinical and clinical testing and regulatory approval prior to commercialization. These efforts require additional capital, adequate personnel and extensive compliance-reporting capabilities. There can be no assurance that our research and development will be successfully completed, that adequate protection for our intellectual property will be obtained, that any products developed will obtain necessary government regulatory approval or that any approved products will be commercially viable.</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we continue to pursue commercial opportunities in both U.S. and international markets, we remain attentive to evolving global economic conditions, including uncertainties related to international trade policies, tariffs, and supply chain dynamics. Although these factors have not had a material impact on our business to date, future changes in trade regulations or tariff structures could have an impact on our business and operations, including our expenses, supply chain, manufacturing processes, preclinical studies and clinical trials. We continue to monitor these developments closely.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generated any revenue from the sale of products since our inception.</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research and development of our product candidates and programs. These expenses include:</w:t>
      </w:r>
    </w:p>
    <w:p>
      <w:pPr>
        <w:spacing w:after="0" w:line="5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costs for employees engaged in research and development functions;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organizations that support our drug discovery and development activities;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preclinical and clinical development of our product candidates and programs, including under agreements with contract research organizations ("CROs");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contract manufacturing organizations that are primarily engaged to provide drug substance, raw materials, and drug product for our clinical trials, research and development programs, as well as investigative sites and consultants that conduct our clinical trials, nonclinical studies, and other scientific development services;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and manufacturing nonclinical and clinical trial materials, including manufacturing registration and validation batches;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and allocated costs related to facilities, information technology, personnel and other overhead.</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Pursuant to our co-development agreement, we are collaborating with a Taiho affiliate to develop zipalertinib for the treatment of a genetically defined subset of patients with NSCLC, and Taiho will commercialize zipalertinib. For the agreed-upon indication, Taiho and we share development costs equally, and each party will receive 50% of any future potential pre-tax profits from U.S. sales of zipalertinib. For any additional indications that Taiho chooses to develop independently, Taiho will bear all development costs until it has sufficient data from such indication to support a commercial purpose or submission of zipalertinib for the additional indication. At such time, 50% of Taiho’s independent development costs, subject to certain adjustments, will be deducted from future pre-tax profits for potential U.S. sales of zipalertinib. In November 2025, Taiho independently initiated an ongoing global Phase 3 clinical trial evaluating zipalertinib in an additional indication.</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compensation costs for personnel in executive management, finance, legal, corporate and business development, and other administrative functions. General and administrative expenses also include legal fees relating to patent and corporate matters; professional fees for accounting, auditing, tax, and administrative consulting services; insurance costs; administrative travel expenses; marketing expenses; and other operating costs.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consists primarily of interest income earned on our cash, cash equivalents, and investments.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three months ended March 31, 2026 and 2025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62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8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1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42,123</w:t>
            </w:r>
          </w:p>
        </w:tc>
        <w:tc>
          <w:tcPr>
            <w:tcW w:w="180" w:type="dxa"/>
            <w:vAlign w:val="bottom"/>
          </w:tcPr>
          <w:p>
            <w:pPr>
              <w:spacing w:after="0"/>
              <w:rPr>
                <w:sz w:val="18"/>
                <w:szCs w:val="18"/>
                <w:color w:val="auto"/>
              </w:rPr>
            </w:pPr>
          </w:p>
        </w:tc>
        <w:tc>
          <w:tcPr>
            <w:tcW w:w="9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41,459</w:t>
            </w:r>
          </w:p>
        </w:tc>
        <w:tc>
          <w:tcPr>
            <w:tcW w:w="100" w:type="dxa"/>
            <w:vAlign w:val="bottom"/>
          </w:tcPr>
          <w:p>
            <w:pPr>
              <w:spacing w:after="0"/>
              <w:rPr>
                <w:sz w:val="18"/>
                <w:szCs w:val="18"/>
                <w:color w:val="auto"/>
              </w:rPr>
            </w:pPr>
          </w:p>
        </w:tc>
      </w:tr>
      <w:tr>
        <w:trPr>
          <w:trHeight w:val="216"/>
        </w:trPr>
        <w:tc>
          <w:tcPr>
            <w:tcW w:w="3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54,996</w:t>
            </w:r>
          </w:p>
        </w:tc>
        <w:tc>
          <w:tcPr>
            <w:tcW w:w="100" w:type="dxa"/>
            <w:vAlign w:val="bottom"/>
          </w:tcPr>
          <w:p>
            <w:pPr>
              <w:spacing w:after="0"/>
              <w:rPr>
                <w:sz w:val="18"/>
                <w:szCs w:val="18"/>
                <w:color w:val="auto"/>
              </w:rPr>
            </w:pPr>
          </w:p>
        </w:tc>
      </w:tr>
      <w:tr>
        <w:trPr>
          <w:trHeight w:val="21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(53,697)</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(54,996)</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4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4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38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500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(49,661)</w:t>
            </w:r>
          </w:p>
        </w:tc>
        <w:tc>
          <w:tcPr>
            <w:tcW w:w="98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(48,501)</w:t>
            </w:r>
          </w:p>
        </w:tc>
      </w:tr>
      <w:tr>
        <w:trPr>
          <w:trHeight w:val="413"/>
        </w:trPr>
        <w:tc>
          <w:tcPr>
            <w:tcW w:w="3820" w:type="dxa"/>
            <w:vAlign w:val="bottom"/>
            <w:tcBorders>
              <w:top w:val="single" w:sz="8" w:color="CFF0FC"/>
            </w:tcBorders>
          </w:tcPr>
          <w:p>
            <w:pPr>
              <w:spacing w:after="0"/>
              <w:rPr>
                <w:sz w:val="24"/>
                <w:szCs w:val="24"/>
                <w:color w:val="auto"/>
              </w:rPr>
            </w:pPr>
          </w:p>
        </w:tc>
        <w:tc>
          <w:tcPr>
            <w:tcW w:w="4120" w:type="dxa"/>
            <w:vAlign w:val="bottom"/>
            <w:tcBorders>
              <w:top w:val="single" w:sz="8" w:color="CFF0FC"/>
            </w:tcBorders>
          </w:tcPr>
          <w:p>
            <w:pPr>
              <w:jc w:val="right"/>
              <w:ind w:right="2130"/>
              <w:spacing w:after="0"/>
              <w:rPr>
                <w:sz w:val="20"/>
                <w:szCs w:val="20"/>
                <w:color w:val="auto"/>
              </w:rPr>
            </w:pPr>
            <w:r>
              <w:rPr>
                <w:rFonts w:ascii="Times New Roman" w:cs="Times New Roman" w:eastAsia="Times New Roman" w:hAnsi="Times New Roman"/>
                <w:sz w:val="18"/>
                <w:szCs w:val="18"/>
                <w:color w:val="auto"/>
              </w:rPr>
              <w:t>14</w:t>
            </w:r>
          </w:p>
        </w:tc>
        <w:tc>
          <w:tcPr>
            <w:tcW w:w="8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8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-1645285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-796290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-779145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March 31, 2026 and 2025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460" w:type="dxa"/>
            <w:vAlign w:val="bottom"/>
          </w:tcPr>
          <w:p>
            <w:pPr>
              <w:spacing w:after="0"/>
              <w:rPr>
                <w:sz w:val="12"/>
                <w:szCs w:val="12"/>
                <w:color w:val="auto"/>
              </w:rPr>
            </w:pPr>
          </w:p>
        </w:tc>
        <w:tc>
          <w:tcPr>
            <w:tcW w:w="1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CLN-049</w:t>
            </w:r>
          </w:p>
        </w:tc>
        <w:tc>
          <w:tcPr>
            <w:tcW w:w="1280" w:type="dxa"/>
            <w:vAlign w:val="bottom"/>
            <w:shd w:val="clear" w:color="auto" w:fill="CFF0FC"/>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24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2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CLN-617</w:t>
            </w:r>
          </w:p>
        </w:tc>
        <w:tc>
          <w:tcPr>
            <w:tcW w:w="1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CLN-619</w:t>
            </w:r>
          </w:p>
        </w:tc>
        <w:tc>
          <w:tcPr>
            <w:tcW w:w="1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12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CLN-978</w:t>
            </w:r>
          </w:p>
        </w:tc>
        <w:tc>
          <w:tcPr>
            <w:tcW w:w="1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2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Velinotamig</w:t>
            </w:r>
          </w:p>
        </w:tc>
        <w:tc>
          <w:tcPr>
            <w:tcW w:w="1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Zipalertinib</w:t>
            </w:r>
          </w:p>
        </w:tc>
        <w:tc>
          <w:tcPr>
            <w:tcW w:w="1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3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120" w:type="dxa"/>
            <w:vAlign w:val="bottom"/>
          </w:tcPr>
          <w:p>
            <w:pPr>
              <w:spacing w:after="0"/>
              <w:rPr>
                <w:sz w:val="18"/>
                <w:szCs w:val="18"/>
                <w:color w:val="auto"/>
              </w:rPr>
            </w:pPr>
          </w:p>
        </w:tc>
      </w:tr>
      <w:tr>
        <w:trPr>
          <w:trHeight w:val="210"/>
        </w:trPr>
        <w:tc>
          <w:tcPr>
            <w:tcW w:w="6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Clinical-stage product candidates</w:t>
            </w:r>
          </w:p>
        </w:tc>
        <w:tc>
          <w:tcPr>
            <w:tcW w:w="1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27,616</w:t>
            </w: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26,639</w:t>
            </w:r>
          </w:p>
        </w:tc>
        <w:tc>
          <w:tcPr>
            <w:tcW w:w="12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Early-stage programs</w:t>
            </w:r>
          </w:p>
        </w:tc>
        <w:tc>
          <w:tcPr>
            <w:tcW w:w="1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personnel and operations</w:t>
            </w:r>
          </w:p>
        </w:tc>
        <w:tc>
          <w:tcPr>
            <w:tcW w:w="1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9,839</w:t>
            </w: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12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License agreement obligations</w:t>
            </w:r>
          </w:p>
        </w:tc>
        <w:tc>
          <w:tcPr>
            <w:tcW w:w="1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r>
      <w:tr>
        <w:trPr>
          <w:trHeight w:val="216"/>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3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80" w:type="dxa"/>
            <w:vAlign w:val="bottom"/>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42,123</w:t>
            </w:r>
          </w:p>
        </w:tc>
        <w:tc>
          <w:tcPr>
            <w:tcW w:w="12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41,459</w:t>
            </w:r>
          </w:p>
        </w:tc>
        <w:tc>
          <w:tcPr>
            <w:tcW w:w="120" w:type="dxa"/>
            <w:vAlign w:val="bottom"/>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-170815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$0.7 million increase in research and development expenses in the three months ended March 31, 2026 compared to the same period in 2025 was primarily due to increases in clinical development costs of $0.8 million.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$2.0 million decrease in general and administrative expenses in the three months ended March 31, 2026 compared to the same period in 2025 was primarily due to a decrease in equity-based compensation costs of $1.8 million.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$2.5 million decrease in other income for the three months ended March 31, 2026, compared to the same period in 2025 was primarily related to lower investment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 history of significant operating losses and have had negative cash flows from operations since our inception and expect to continue to generate operating losses for the foreseeable future. We have not yet commercialized any products, and we do not expect to generate revenue from sales of products for several years, if at all. To date, we have funded our operations primarily with proceeds from the sale of equity securities and from licensing or selling the rights to our product candidates. As of March 31, 2026, we had cash, cash equivalents, and short-term investments of $351.9 million, and long-term investments and interest receivable of $41.4 million.</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Based on our current operational plans and assumptions, we expect that our current cash, cash equivalents, investments, and interest receivable will be sufficient to fund operations through at least twelve months from the date of issuance of our consolidated financial statements. We have based these estimates on assumptions that may prove to be wrong, and we could utilize our available capital resources sooner than we expect. We cannot guarantee that we will be able to raise additional capital on reasonable terms or at all.</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2025, we entered into the Genrix License Agreement with Genrix, pursuant to which Genrix granted us a global (excluding greater China), exclusive license to develop and commercialize velinotamig, a BCMAxCD3 T cell engager, in all fields of use. Under the terms of the Genrix License Agreement, we paid Genrix an upfront license fee of $20.0 million in June 2025. Refer to Note 5 of our notes to the consolidated financial statements in this Quarterly Report on Form 10-Q for additional detail regarding the Genrix License Agreement.</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April 2026, we entered into a sales agreement with TD Securities (USA) LLC (“TD Cowen”) to establish an at-the-market equity offering program, pursuant to which we can offer and sell up to $200.0 million of our common stock through TD Cowen at prevailing market prices from time to time.</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Cullinan is eligible to receive a $30.0 million payment from Taiho upon U.S. regulatory approval of zipalertinib for the treatment of patients with locally advanced or metastatic EGFR ex20ins NSCLC who have previously received platinum-based systemic chemotherapy. Cullinan is also eligible to receive up to a $100.0 million payment from Taiho upon U.S. regulatory approval of zipalertinib for the first-line treatment for adult patients with locally advanced or metastatic EGFR ex20ins NSCLC. Taiho and we will each receive 50% of any future pre-tax profits from potential U.S. sales of zipalertinib, subject to certain adjustments.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Cash Flows for the Three Months Ended March 31, 2026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three months ended March 31, 2026 and 2025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(46,045)</w:t>
            </w:r>
          </w:p>
        </w:tc>
        <w:tc>
          <w:tcPr>
            <w:tcW w:w="11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(43,155)</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32,414</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36,805</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(13,251)</w:t>
            </w:r>
          </w:p>
        </w:tc>
        <w:tc>
          <w:tcPr>
            <w:tcW w:w="114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(6,350)</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from Operating Activities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our operating activities used $46.0 million of cash, which primarily consisted of our operating expenses, excluding non-cash items, of $46.0 million, and a $3.3 million net change in our non-tax operating assets and liabilities, partially offset by interest income, excluding accretion on marketable securities, of $3.3 million. The non-cash operating expenses primarily consisted of equity-based compensation expense.</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our operating activities used $43.2 million of cash, which primarily consisted of our operating expenses, excluding non-cash items, of $45.5 million and a $1.8 million net change in our non-tax operating assets and liabilities, partially offset by interest income, excluding accretion on marketable securities, of $4.3 million. The non-cash operating expenses primarily consisted of equity-based compensation expense.</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from Investing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our investing activities provided $32.4 million of cash, which consisted of $52.5 million of proceeds from the maturities of marketable securities, partially offset by $20.1 million of purchases of marketable securities.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our investing activities provided $36.8 million, which consisted of $162.6 million of proceeds from the maturities of marketable securities, partially offset by $125.8 million of purchases of marketable securities.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from Financing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our financing activities provided $0.4 million of cash, which consisted of net proceeds from the issuance of common stock under equity-based compensation plans.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three months ended March 31, 2025, no cash was provided by or used in financing activities.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to continue to increase in connection with our ongoing activities, particularly as we:</w:t>
      </w:r>
    </w:p>
    <w:p>
      <w:pPr>
        <w:spacing w:after="0" w:line="117" w:lineRule="exact"/>
        <w:rPr>
          <w:sz w:val="20"/>
          <w:szCs w:val="20"/>
          <w:color w:val="auto"/>
        </w:rPr>
      </w:pPr>
    </w:p>
    <w:p>
      <w:pPr>
        <w:ind w:left="1260" w:hanging="368"/>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development of our current and future product candidates and programs;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our current and future product candidates;</w:t>
      </w:r>
    </w:p>
    <w:p>
      <w:pPr>
        <w:spacing w:after="0" w:line="117" w:lineRule="exact"/>
        <w:rPr>
          <w:rFonts w:ascii="Times New Roman" w:cs="Times New Roman" w:eastAsia="Times New Roman" w:hAnsi="Times New Roman"/>
          <w:sz w:val="18"/>
          <w:szCs w:val="18"/>
          <w:color w:val="auto"/>
        </w:rPr>
      </w:pPr>
    </w:p>
    <w:p>
      <w:pPr>
        <w:ind w:left="1260" w:right="80" w:hanging="368"/>
        <w:spacing w:after="0" w:line="282"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or trials, complex results, safety issues, or other regulatory challenges;</w:t>
      </w:r>
    </w:p>
    <w:p>
      <w:pPr>
        <w:spacing w:after="0" w:line="53" w:lineRule="exact"/>
        <w:rPr>
          <w:rFonts w:ascii="Times New Roman" w:cs="Times New Roman" w:eastAsia="Times New Roman" w:hAnsi="Times New Roman"/>
          <w:sz w:val="18"/>
          <w:szCs w:val="18"/>
          <w:color w:val="auto"/>
        </w:rPr>
      </w:pPr>
    </w:p>
    <w:p>
      <w:pPr>
        <w:ind w:left="1260" w:right="80" w:hanging="368"/>
        <w:spacing w:after="0" w:line="282" w:lineRule="auto"/>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necessary processes, controls, and manufacturing capabilities to obtain marketing approval for our current and future product candidates and to support manufacturing on a commercial scale;</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implement plans to establish and operate in-house manufacturing operations and facilities, if deemed appropriate;</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current and future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260" w:right="40" w:hanging="368"/>
        <w:spacing w:after="0" w:line="312" w:lineRule="auto"/>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and retain additional personnel, such as nonclinical, clinical, pharmacovigilance, quality assurance, regulatory affairs, manufacturing, distribution, legal, compliance, medical affairs, finance, general and administrative, commercial, and scientific personnel; and</w:t>
      </w:r>
    </w:p>
    <w:p>
      <w:pPr>
        <w:spacing w:after="0" w:line="31" w:lineRule="exact"/>
        <w:rPr>
          <w:rFonts w:ascii="Times New Roman" w:cs="Times New Roman" w:eastAsia="Times New Roman" w:hAnsi="Times New Roman"/>
          <w:sz w:val="17"/>
          <w:szCs w:val="17"/>
          <w:color w:val="auto"/>
        </w:rPr>
      </w:pPr>
    </w:p>
    <w:p>
      <w:pPr>
        <w:ind w:left="1260" w:hanging="368"/>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Based on our current operational plans and assumptions, we expect that our current cash, cash equivalents, investments, and interest receivable will be sufficient to fund operations through at least twelve months from the date of issuance of our consolidated financial statements. We have based these estimates on assumptions that may prove to be wrong, and we could utilize our available capital resources sooner than we expect. As we progress with our development programs and the regulatory review process, we expect to incur significant expenses related to product manufacturing, pre-commercial activities and commercialization. We may also require additional capital to pursue in-licenses or acquisitions of other programs to further expand our pipeline.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our product candidates and programs, we are unable to estimate the exact amount of our working capital requirements. Our future funding requirements will depend on and could increase significantly as a result of many factors, including:</w:t>
      </w:r>
    </w:p>
    <w:p>
      <w:pPr>
        <w:spacing w:after="0" w:line="68" w:lineRule="exact"/>
        <w:rPr>
          <w:sz w:val="20"/>
          <w:szCs w:val="20"/>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laboratory testing, and preclinical and clinical development for our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our preclinical studies and clinical trials, which may be significantly slower or cost more than we currently anticipate and will depend substantially upon the performance of third-party contractors;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by patients receiving our current and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and license agreements on favorable terms, if at all, and the extent to which we acquire or in-license technologies or programs, if at all;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clinical trials in a timely manner and to quickly resolve any delays or clinical holds that may be imposed on our development programs;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our facilities to accommodate our expected growth in personnel;</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 parties with whom we contract to manufacture adequate clinical and commercial supplies of our current and future product candidates, remain in good standing with regulatory authorities and develop, validate, and maintain commercially viable manufacturing processes that are compliant with current good manufacturing practices;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technologies or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our product candidates, if and when approved;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costs of operating as a public company.</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Until such time, if ever, that we can generate product revenue sufficient to achieve profitability, we expect to finance our cash needs through equity offerings, debt financings, government or other third-party funding, marketing and distribution arrangements, and other collaborations, strategic alliances and licensing arrangements. To the extent that we raise additional capital through the sale of equity, current ownership interests will be diluted. If we raise additional funds through government or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Debt financing, if available, may involve agreements that include covenants limiting or restricting our ability to take specific actions, such as incurring additional debt, making capital expenditures, or declaring dividends.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certain contractual obligations under various license and collaboration agreements. Under these agreements, we will be required to make milestone payments upon successful completion and achievement of certain intellectual property, clinical, regulatory, and sales milestones, and we will be required to make milestone and royalty payments in connection with the sale of products developed under these agreements. In addition, under our co-development agreement, if Taiho generates sufficient data to support commercial purposes or a regulatory submission for new zipalertinib indications that it independently develops, half of Taiho’s independent development costs, subject to certain adjustments, will be deducted from future pre-tax profits related to potential U.S. sales of zipalertinib. As the achievement and timing of these future contractual obligations are not probable or estimable, such amounts have not been included in our consolidated balance sheets as of March 31, 2026 and December 31, 2025.</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total future minimum lease payments of $2.8 million, with $1.0 million payable within twelve months. See Note 9 to our consolidated financial statements included in this Quarterly Report on Form 10-Q for further detail on our lease obligations and the timing of expected future payments.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we enter into agreements in the normal course of business with CROs for clinical trials and with other vendors for preclinical studies, manufacturing services, and other services and products for operating purposes, which are generally cancelable upon written notice.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critical accounting policies have not materially changed from those described in the 2025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and adopted accounting pronouncements that may potentially impact our financial position and results of operations is disclosed in Note 2 of our consolidated financial statements included in this Quarterly Report on Form 10-Q.</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not applicable as we are electing scaled disclosure requirements available to smaller reporting companies with respect to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management, our principal executive officer and principal financial officer have concluded that our disclosure controls and procedures as defined in Rules 13a-15(e) and 15d-15(e) under the Securities Exchange Act of 1934 (as amended, the "Exchange Act") were effective as of March 31, 2026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March 31, 2026 that have materially affected, or are reasonably likely to materially affect, our internal control over financial reporting.</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factors discussed in Part I, “Item 1A. Risk Factors” in our Annual Report on Form 10-K for the year ended December 31, 2025 (the “2025 10-K"), which could materially affect our business, financial condition or future results. The risk factors disclosure in our 2025 10-K is qualified by the information that is described in this Quarterly Report on Form 10-Q. The risks described in our 2025 10-K are not our only risks. Additional risks and uncertainties not presently known to us or that we currently believe to be immaterial also may materially adversely affect our business, financial condition or future results. There have been no material changes to our risk factors as previously disclosed in the 2025 10-K.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2026, none of our directors and officers (as defined in Rule 16a-1(f) under the Exchange Act) adopted, modified, or terminated a “Rule 10b5-1 trading arrangement” or a “non-Rule 10b5-1 trading arrangement,” as those terms are defined in Item 408(a) of Regulation S-K.</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700" w:type="dxa"/>
            <w:vAlign w:val="bottom"/>
            <w:gridSpan w:val="7"/>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70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1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Second Amended and Restated Certificate of Incorporation of the Registrant, as amended by the Certificate of Amendment, effective as of</w:t>
              </w:r>
            </w:hyperlink>
          </w:p>
        </w:tc>
        <w:tc>
          <w:tcPr>
            <w:tcW w:w="20" w:type="dxa"/>
            <w:vAlign w:val="bottom"/>
            <w:tcBorders>
              <w:bottom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April 15, 2024 (incorporated by reference to Exhibit 3.1 of the Registrant’s Quarterly Report on Form 10-Q filed with the SEC on May 15,</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66">
              <w:r>
                <w:rPr>
                  <w:rFonts w:ascii="Times New Roman" w:cs="Times New Roman" w:eastAsia="Times New Roman" w:hAnsi="Times New Roman"/>
                  <w:sz w:val="18"/>
                  <w:szCs w:val="18"/>
                  <w:color w:val="0000FF"/>
                  <w:w w:val="98"/>
                </w:rPr>
                <w:t>2024).</w:t>
              </w:r>
            </w:hyperlink>
          </w:p>
        </w:tc>
        <w:tc>
          <w:tcPr>
            <w:tcW w:w="2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01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Third Amended and Restated Bylaws of the Registrant, effective as of April 15, 2024 (incorporated by reference to Exhibit 3.2 of the</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10"/>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Registrant’s Current Report on Form 8-K filed with the SEC on April 16, 2024).</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101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Certificate of Designation of Preferences, Rights and Limitations of Series A Convertible Preferred Stock (incorporated by reference to</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Exhibit 3.1 of the Registrant's Current Report on Form 8-K filed with the SEC on January 19, 2023).</w:t>
              </w:r>
            </w:hyperlink>
          </w:p>
        </w:tc>
        <w:tc>
          <w:tcPr>
            <w:tcW w:w="29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Amendment Four to the Collaboration Agreement, dated February 20, 2026, by and between Adimab, LLC and the Registrant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Non-Employee Director Compensation Policy (incorporated by reference to Exhibit 10.20 of the Registrant’s Annual Report on Form 10-K</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filed with the SEC on March 10, 2026).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67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 Documents.</w:t>
            </w:r>
          </w:p>
        </w:tc>
        <w:tc>
          <w:tcPr>
            <w:tcW w:w="0" w:type="dxa"/>
            <w:vAlign w:val="bottom"/>
          </w:tcPr>
          <w:p>
            <w:pPr>
              <w:spacing w:after="0"/>
              <w:rPr>
                <w:sz w:val="1"/>
                <w:szCs w:val="1"/>
                <w:color w:val="auto"/>
              </w:rPr>
            </w:pP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1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512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left="5540" w:right="5280" w:hanging="5532"/>
        <w:spacing w:after="0" w:line="265" w:lineRule="auto"/>
        <w:tabs>
          <w:tab w:leader="none" w:pos="14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compensatory plan, contract or arrangement.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80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Cullinan Therapeutics,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780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By: /s/ Nadim Ahmed</w:t>
            </w:r>
          </w:p>
        </w:tc>
      </w:tr>
      <w:tr>
        <w:trPr>
          <w:trHeight w:val="191"/>
        </w:trPr>
        <w:tc>
          <w:tcPr>
            <w:tcW w:w="34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Nadim Ahmed</w:t>
            </w:r>
          </w:p>
        </w:tc>
      </w:tr>
      <w:tr>
        <w:trPr>
          <w:trHeight w:val="216"/>
        </w:trPr>
        <w:tc>
          <w:tcPr>
            <w:tcW w:w="3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4"/>
        </w:trPr>
        <w:tc>
          <w:tcPr>
            <w:tcW w:w="3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6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780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By: /s/ Mary Kay Fenton</w:t>
            </w:r>
          </w:p>
        </w:tc>
      </w:tr>
      <w:tr>
        <w:trPr>
          <w:trHeight w:val="191"/>
        </w:trPr>
        <w:tc>
          <w:tcPr>
            <w:tcW w:w="34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Mary Kay Fenton</w:t>
            </w:r>
          </w:p>
        </w:tc>
      </w:tr>
      <w:tr>
        <w:trPr>
          <w:trHeight w:val="216"/>
        </w:trPr>
        <w:tc>
          <w:tcPr>
            <w:tcW w:w="3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4"/>
        </w:trPr>
        <w:tc>
          <w:tcPr>
            <w:tcW w:w="3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48"/>
        </w:trPr>
        <w:tc>
          <w:tcPr>
            <w:tcW w:w="3440" w:type="dxa"/>
            <w:vAlign w:val="bottom"/>
          </w:tcPr>
          <w:p>
            <w:pPr>
              <w:spacing w:after="0"/>
              <w:rPr>
                <w:sz w:val="24"/>
                <w:szCs w:val="24"/>
                <w:color w:val="auto"/>
              </w:rPr>
            </w:pPr>
          </w:p>
        </w:tc>
        <w:tc>
          <w:tcPr>
            <w:tcW w:w="2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c>
          <w:tcPr>
            <w:tcW w:w="522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Portions of this Exhibit have been redacted because they are both (i) not material and (ii) would be competitively harmful if publicly disclosed.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that was omitted has been noted in this document with a placeholder identified by the mark “[***]”.</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FOUR TO THE COLLABORATION AGREEMENT</w:t>
      </w:r>
    </w:p>
    <w:p>
      <w:pPr>
        <w:spacing w:after="0" w:line="212"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AMENDMENT FOUR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dated February 20, 2026 (the "</w:t>
      </w:r>
      <w:r>
        <w:rPr>
          <w:rFonts w:ascii="Times New Roman" w:cs="Times New Roman" w:eastAsia="Times New Roman" w:hAnsi="Times New Roman"/>
          <w:sz w:val="18"/>
          <w:szCs w:val="18"/>
          <w:b w:val="1"/>
          <w:bCs w:val="1"/>
          <w:color w:val="auto"/>
        </w:rPr>
        <w:t>Amendment Effective Date</w:t>
      </w:r>
      <w:r>
        <w:rPr>
          <w:rFonts w:ascii="Times New Roman" w:cs="Times New Roman" w:eastAsia="Times New Roman" w:hAnsi="Times New Roman"/>
          <w:sz w:val="18"/>
          <w:szCs w:val="18"/>
          <w:color w:val="auto"/>
        </w:rPr>
        <w:t>"), amends the</w:t>
      </w:r>
      <w:r>
        <w:rPr>
          <w:rFonts w:ascii="Times New Roman" w:cs="Times New Roman" w:eastAsia="Times New Roman" w:hAnsi="Times New Roman"/>
          <w:sz w:val="18"/>
          <w:szCs w:val="18"/>
          <w:b w:val="1"/>
          <w:bCs w:val="1"/>
          <w:color w:val="auto"/>
        </w:rPr>
        <w:t xml:space="preserve"> COLLABORATION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November 28, 2018, as amended on April 30, 2024, July 11, 2024, and March 17,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between Adimab, LLC, a Delaware limited liability company having an address at 7 Lucent Drive, Lebanon, NH 03766 ("</w:t>
      </w:r>
      <w:r>
        <w:rPr>
          <w:rFonts w:ascii="Times New Roman" w:cs="Times New Roman" w:eastAsia="Times New Roman" w:hAnsi="Times New Roman"/>
          <w:sz w:val="18"/>
          <w:szCs w:val="18"/>
          <w:b w:val="1"/>
          <w:bCs w:val="1"/>
          <w:color w:val="auto"/>
        </w:rPr>
        <w:t>Adimab</w:t>
      </w:r>
      <w:r>
        <w:rPr>
          <w:rFonts w:ascii="Times New Roman" w:cs="Times New Roman" w:eastAsia="Times New Roman" w:hAnsi="Times New Roman"/>
          <w:sz w:val="18"/>
          <w:szCs w:val="18"/>
          <w:color w:val="auto"/>
        </w:rPr>
        <w:t>"), and Cullinan Therapeutics, Inc. (formerly, Cullinan Management, Inc.), a Delaware corporation having an address at 1 Main Street, Suite 1350, Cambridge, MA 02142 ("</w:t>
      </w:r>
      <w:r>
        <w:rPr>
          <w:rFonts w:ascii="Times New Roman" w:cs="Times New Roman" w:eastAsia="Times New Roman" w:hAnsi="Times New Roman"/>
          <w:sz w:val="18"/>
          <w:szCs w:val="18"/>
          <w:b w:val="1"/>
          <w:bCs w:val="1"/>
          <w:color w:val="auto"/>
        </w:rPr>
        <w:t>Cullinan</w:t>
      </w:r>
      <w:r>
        <w:rPr>
          <w:rFonts w:ascii="Times New Roman" w:cs="Times New Roman" w:eastAsia="Times New Roman" w:hAnsi="Times New Roman"/>
          <w:sz w:val="18"/>
          <w:szCs w:val="18"/>
          <w:color w:val="auto"/>
        </w:rPr>
        <w:t>"). Capitalized terms used herein and not defined shall have the meanings ascribed to them in the Agreement.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now wish to amend the terms of the Agreement, as further set forth herein, to collaborate on Research Programs for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premises and the mutual covenants set forth below,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of which is hereby acknowledged, Adimab and Cullinan hereby agree as follows:</w:t>
      </w:r>
    </w:p>
    <w:p>
      <w:pPr>
        <w:spacing w:after="0" w:line="143" w:lineRule="exact"/>
        <w:rPr>
          <w:sz w:val="20"/>
          <w:szCs w:val="20"/>
          <w:color w:val="auto"/>
        </w:rPr>
      </w:pPr>
    </w:p>
    <w:p>
      <w:pPr>
        <w:ind w:left="940" w:right="4200" w:hanging="183"/>
        <w:spacing w:after="0" w:line="284" w:lineRule="auto"/>
        <w:tabs>
          <w:tab w:leader="none" w:pos="9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2.1(a)(i) (</w:t>
      </w:r>
      <w:r>
        <w:rPr>
          <w:rFonts w:ascii="Times New Roman" w:cs="Times New Roman" w:eastAsia="Times New Roman" w:hAnsi="Times New Roman"/>
          <w:sz w:val="18"/>
          <w:szCs w:val="18"/>
          <w:i w:val="1"/>
          <w:iCs w:val="1"/>
          <w:color w:val="auto"/>
        </w:rPr>
        <w:t>Research Plans for Targets Other Than CD3</w:t>
      </w:r>
      <w:r>
        <w:rPr>
          <w:rFonts w:ascii="Times New Roman" w:cs="Times New Roman" w:eastAsia="Times New Roman" w:hAnsi="Times New Roman"/>
          <w:sz w:val="18"/>
          <w:szCs w:val="18"/>
          <w:color w:val="auto"/>
        </w:rPr>
        <w:t>) of the Agreement is deleted and replaced with the following:</w:t>
      </w:r>
    </w:p>
    <w:p>
      <w:pPr>
        <w:spacing w:after="0" w:line="14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p>
    <w:p>
      <w:pPr>
        <w:spacing w:after="0" w:line="210" w:lineRule="exact"/>
        <w:rPr>
          <w:sz w:val="20"/>
          <w:szCs w:val="20"/>
          <w:color w:val="auto"/>
        </w:rPr>
      </w:pPr>
    </w:p>
    <w:p>
      <w:pPr>
        <w:ind w:left="980" w:right="4040" w:hanging="223"/>
        <w:spacing w:after="0" w:line="284" w:lineRule="auto"/>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sentence of Section 2.1(a)(i) (</w:t>
      </w:r>
      <w:r>
        <w:rPr>
          <w:rFonts w:ascii="Times New Roman" w:cs="Times New Roman" w:eastAsia="Times New Roman" w:hAnsi="Times New Roman"/>
          <w:sz w:val="18"/>
          <w:szCs w:val="18"/>
          <w:i w:val="1"/>
          <w:iCs w:val="1"/>
          <w:color w:val="auto"/>
        </w:rPr>
        <w:t>Research Plans for Targets Other Than CD3</w:t>
      </w:r>
      <w:r>
        <w:rPr>
          <w:rFonts w:ascii="Times New Roman" w:cs="Times New Roman" w:eastAsia="Times New Roman" w:hAnsi="Times New Roman"/>
          <w:sz w:val="18"/>
          <w:szCs w:val="18"/>
          <w:color w:val="auto"/>
        </w:rPr>
        <w:t>) of the Agreement is deleted and replaced with the following:</w:t>
      </w:r>
    </w:p>
    <w:p>
      <w:pPr>
        <w:spacing w:after="0" w:line="1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4680" w:right="4140" w:hanging="3923"/>
        <w:spacing w:after="0" w:line="516" w:lineRule="auto"/>
        <w:tabs>
          <w:tab w:leader="none" w:pos="93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other terms of the Agreement shall remain unchanged and in full force and effect. </w:t>
      </w: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728345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ind w:right="42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by duly authorized persons executed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as of the Amendment Effective Date.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Cullinan Therapeutics, Inc.:</w:t>
            </w:r>
          </w:p>
        </w:tc>
        <w:tc>
          <w:tcPr>
            <w:tcW w:w="6940" w:type="dxa"/>
            <w:vAlign w:val="bottom"/>
            <w:gridSpan w:val="3"/>
          </w:tcPr>
          <w:p>
            <w:pPr>
              <w:ind w:left="1420"/>
              <w:spacing w:after="0"/>
              <w:rPr>
                <w:sz w:val="20"/>
                <w:szCs w:val="20"/>
                <w:color w:val="auto"/>
              </w:rPr>
            </w:pPr>
            <w:r>
              <w:rPr>
                <w:rFonts w:ascii="Times New Roman" w:cs="Times New Roman" w:eastAsia="Times New Roman" w:hAnsi="Times New Roman"/>
                <w:sz w:val="18"/>
                <w:szCs w:val="18"/>
                <w:b w:val="1"/>
                <w:bCs w:val="1"/>
                <w:color w:val="auto"/>
              </w:rPr>
              <w:t>Adimab, LLC:</w:t>
            </w:r>
          </w:p>
        </w:tc>
      </w:tr>
      <w:tr>
        <w:trPr>
          <w:trHeight w:val="391"/>
        </w:trPr>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By: /s/ Markus Mohrs</w:t>
            </w:r>
          </w:p>
        </w:tc>
        <w:tc>
          <w:tcPr>
            <w:tcW w:w="69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By: /s/ Phil Chase</w:t>
            </w:r>
          </w:p>
        </w:tc>
      </w:tr>
      <w:tr>
        <w:trPr>
          <w:trHeight w:val="20"/>
        </w:trPr>
        <w:tc>
          <w:tcPr>
            <w:tcW w:w="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18"/>
        </w:trPr>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Markus Mohrs</w:t>
            </w:r>
          </w:p>
        </w:tc>
        <w:tc>
          <w:tcPr>
            <w:tcW w:w="69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Name: Phil Chase</w:t>
            </w:r>
          </w:p>
        </w:tc>
      </w:tr>
      <w:tr>
        <w:trPr>
          <w:trHeight w:val="216"/>
        </w:trPr>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Title: Vice President, Preclinical R&amp;D</w:t>
            </w:r>
          </w:p>
        </w:tc>
        <w:tc>
          <w:tcPr>
            <w:tcW w:w="69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Date: February 24, 2026</w:t>
            </w:r>
          </w:p>
        </w:tc>
        <w:tc>
          <w:tcPr>
            <w:tcW w:w="69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Date: February 25, 2026</w:t>
            </w:r>
          </w:p>
        </w:tc>
      </w:tr>
      <w:tr>
        <w:trPr>
          <w:trHeight w:val="1748"/>
        </w:trPr>
        <w:tc>
          <w:tcPr>
            <w:tcW w:w="4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Nadim Ahmed, certify that:</w:t>
      </w:r>
    </w:p>
    <w:p>
      <w:pPr>
        <w:spacing w:after="0" w:line="117"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Cullinan Therapeutics, Inc. (the “registrant”);</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right="60" w:hanging="479"/>
        <w:spacing w:after="0" w:line="266" w:lineRule="auto"/>
        <w:tabs>
          <w:tab w:leader="none" w:pos="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97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97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479"/>
        <w:spacing w:after="0" w:line="282" w:lineRule="auto"/>
        <w:tabs>
          <w:tab w:leader="none" w:pos="100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7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tabs>
          <w:tab w:leader="none" w:pos="5600" w:val="left"/>
          <w:tab w:leader="none" w:pos="800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Nadim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829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Nadim Ahmed</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Kay Fenton, certify that:</w:t>
      </w:r>
    </w:p>
    <w:p>
      <w:pPr>
        <w:spacing w:after="0" w:line="117"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Cullinan Therapeutics, Inc. (the “registrant”);</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right="60" w:hanging="479"/>
        <w:spacing w:after="0" w:line="266" w:lineRule="auto"/>
        <w:tabs>
          <w:tab w:leader="none" w:pos="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92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97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479"/>
        <w:spacing w:after="0" w:line="282" w:lineRule="auto"/>
        <w:tabs>
          <w:tab w:leader="none" w:pos="100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7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tabs>
          <w:tab w:leader="none" w:pos="5600" w:val="left"/>
          <w:tab w:leader="none" w:pos="784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Mary Kay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Mary Kay Fenton</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Cullinan Therapeutics, Inc. (the “Company”) on Form 10-Q for the period ended March 31,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980" w:hanging="439"/>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00" w:hanging="479"/>
        <w:spacing w:after="0" w:line="282" w:lineRule="auto"/>
        <w:tabs>
          <w:tab w:leader="none" w:pos="97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tabs>
          <w:tab w:leader="none" w:pos="5640" w:val="left"/>
          <w:tab w:leader="none" w:pos="800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Nadim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Nadim Ahmed</w:t>
      </w:r>
    </w:p>
    <w:p>
      <w:pPr>
        <w:spacing w:after="0" w:line="9"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spacing w:after="0"/>
        <w:tabs>
          <w:tab w:leader="none" w:pos="5640" w:val="left"/>
          <w:tab w:leader="none" w:pos="790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Mary Kay Fenton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575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1"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Mary Kay Fenton</w:t>
      </w:r>
    </w:p>
    <w:p>
      <w:pPr>
        <w:spacing w:after="0" w:line="9"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2"/>
    </w:lvl>
  </w:abstractNum>
  <w:abstractNum w:abstractNumId="6">
    <w:nsid w:val="431BD7B7"/>
    <w:multiLevelType w:val="hybridMultilevel"/>
    <w:lvl w:ilvl="0">
      <w:lvlJc w:val="left"/>
      <w:lvlText w:val="(%1)"/>
      <w:numFmt w:val="decimal"/>
      <w:start w:val="3"/>
    </w:lvl>
  </w:abstractNum>
  <w:abstractNum w:abstractNumId="7">
    <w:nsid w:val="3F2DBA31"/>
    <w:multiLevelType w:val="hybridMultilevel"/>
    <w:lvl w:ilvl="0">
      <w:lvlJc w:val="left"/>
      <w:lvlText w:val="(%1)"/>
      <w:numFmt w:val="decimal"/>
      <w:start w:val="4"/>
    </w:lvl>
  </w:abstractNum>
  <w:abstractNum w:abstractNumId="8">
    <w:nsid w:val="7C83E458"/>
    <w:multiLevelType w:val="hybridMultilevel"/>
    <w:lvl w:ilvl="0">
      <w:lvlJc w:val="left"/>
      <w:lvlText w:val="(%1)"/>
      <w:numFmt w:val="decimal"/>
      <w:start w:val="5"/>
    </w:lvl>
  </w:abstractNum>
  <w:abstractNum w:abstractNumId="9">
    <w:nsid w:val="257130A3"/>
    <w:multiLevelType w:val="hybridMultilevel"/>
    <w:lvl w:ilvl="0">
      <w:lvlJc w:val="left"/>
      <w:lvlText w:val="(%1)"/>
      <w:numFmt w:val="decimal"/>
      <w:start w:val="6"/>
    </w:lvl>
  </w:abstractNum>
  <w:abstractNum w:abstractNumId="10">
    <w:nsid w:val="62BBD95A"/>
    <w:multiLevelType w:val="hybridMultilevel"/>
    <w:lvl w:ilvl="0">
      <w:lvlJc w:val="left"/>
      <w:lvlText w:val="(%1)"/>
      <w:numFmt w:val="decimal"/>
      <w:start w:val="7"/>
    </w:lvl>
  </w:abstractNum>
  <w:abstractNum w:abstractNumId="11">
    <w:nsid w:val="436C6125"/>
    <w:multiLevelType w:val="hybridMultilevel"/>
    <w:lvl w:ilvl="0">
      <w:lvlJc w:val="left"/>
      <w:lvlText w:val="(%1)"/>
      <w:numFmt w:val="decimal"/>
      <w:start w:val="8"/>
    </w:lvl>
  </w:abstractNum>
  <w:abstractNum w:abstractNumId="12">
    <w:nsid w:val="628C895D"/>
    <w:multiLevelType w:val="hybridMultilevel"/>
    <w:lvl w:ilvl="0">
      <w:lvlJc w:val="left"/>
      <w:lvlText w:val="(%1)"/>
      <w:numFmt w:val="decimal"/>
      <w:start w:val="9"/>
    </w:lvl>
  </w:abstractNum>
  <w:abstractNum w:abstractNumId="13">
    <w:nsid w:val="333AB105"/>
    <w:multiLevelType w:val="hybridMultilevel"/>
    <w:lvl w:ilvl="0">
      <w:lvlJc w:val="left"/>
      <w:lvlText w:val="(%1)"/>
      <w:numFmt w:val="decimal"/>
      <w:start w:val="10"/>
    </w:lvl>
  </w:abstractNum>
  <w:abstractNum w:abstractNumId="14">
    <w:nsid w:val="721DA317"/>
    <w:multiLevelType w:val="hybridMultilevel"/>
    <w:lvl w:ilvl="0">
      <w:lvlJc w:val="left"/>
      <w:lvlText w:val="(%1)"/>
      <w:numFmt w:val="decimal"/>
      <w:start w:val="1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2"/>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2"/>
    </w:lvl>
  </w:abstractNum>
  <w:abstractNum w:abstractNumId="25">
    <w:nsid w:val="71F32454"/>
    <w:multiLevelType w:val="hybridMultilevel"/>
    <w:lvl w:ilvl="0">
      <w:lvlJc w:val="left"/>
      <w:lvlText w:val="%1."/>
      <w:numFmt w:val="decimal"/>
      <w:start w:val="3"/>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66" Type="http://schemas.openxmlformats.org/officeDocument/2006/relationships/hyperlink" Target="https://www.sec.gov/Archives/edgar/data/1789972/000095017024060535/cgem-ex3_1.htm" TargetMode="External"/><Relationship Id="rId167" Type="http://schemas.openxmlformats.org/officeDocument/2006/relationships/hyperlink" Target="https://www.sec.gov/Archives/edgar/data/1789972/000095017024044593/cgem-ex3_2.htm" TargetMode="External"/><Relationship Id="rId168" Type="http://schemas.openxmlformats.org/officeDocument/2006/relationships/hyperlink" Target="https://www.sec.gov/Archives/edgar/data/1789972/000119312523011002/d39935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2026-05-07T06:19:06Z</dcterms:created>
  <dcterms:modified xsi:type="dcterms:W3CDTF">2026-05-07T06:19:06Z</dcterms:modified>
</cp:coreProperties>
</file>